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驻乌干休所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firstLine="0" w:firstLineChars="0"/>
        <w:jc w:val="left"/>
        <w:textAlignment w:val="auto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主要职能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落实老干部的政治待遇，协助有关方面落实生活待遇；组织老干部开展各种有益身心健康的文化娱乐活动和体育健身活动，就近参观经济建设；负责解决老干部生活中的实际困难，及时向上级反映老干部的意见、建议和要求；负责干休所的安全保卫，环境卫生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无下属预算单位，下设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个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宋体" w:eastAsia="仿宋_GB2312"/>
          <w:kern w:val="0"/>
          <w:sz w:val="32"/>
          <w:szCs w:val="32"/>
        </w:rPr>
        <w:t>，分别是：办公室、医务所。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人；离休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10527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50"/>
        <w:gridCol w:w="435"/>
        <w:gridCol w:w="1710"/>
        <w:gridCol w:w="840"/>
        <w:gridCol w:w="885"/>
        <w:gridCol w:w="630"/>
        <w:gridCol w:w="630"/>
        <w:gridCol w:w="660"/>
        <w:gridCol w:w="429"/>
        <w:gridCol w:w="442"/>
        <w:gridCol w:w="570"/>
        <w:gridCol w:w="495"/>
        <w:gridCol w:w="465"/>
        <w:gridCol w:w="64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eastAsia="zh-CN"/>
              </w:rPr>
              <w:t>国有资本经营预算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35"/>
        <w:gridCol w:w="473"/>
        <w:gridCol w:w="2542"/>
        <w:gridCol w:w="1704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277.41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240.57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36.84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70"/>
        <w:gridCol w:w="2670"/>
        <w:gridCol w:w="447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36.84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240.57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21.43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6"/>
        <w:gridCol w:w="432"/>
        <w:gridCol w:w="420"/>
        <w:gridCol w:w="1035"/>
        <w:gridCol w:w="1230"/>
        <w:gridCol w:w="750"/>
        <w:gridCol w:w="465"/>
        <w:gridCol w:w="630"/>
        <w:gridCol w:w="735"/>
        <w:gridCol w:w="615"/>
        <w:gridCol w:w="169"/>
        <w:gridCol w:w="446"/>
        <w:gridCol w:w="420"/>
        <w:gridCol w:w="600"/>
        <w:gridCol w:w="345"/>
        <w:gridCol w:w="315"/>
        <w:gridCol w:w="300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6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老干部场馆运行费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离退休党支部书记工作补贴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聘用人员工资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29.22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29.22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36.84</w:t>
            </w:r>
          </w:p>
        </w:tc>
        <w:tc>
          <w:tcPr>
            <w:tcW w:w="46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3.90</w:t>
            </w:r>
          </w:p>
        </w:tc>
        <w:tc>
          <w:tcPr>
            <w:tcW w:w="735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61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克孜勒苏柯尔克孜自治州驻乌干休所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年没有使用政府性基金预算拨款安排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支出，政府性基金预算支出情况表为空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spacing w:val="-6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/>
          <w:spacing w:val="-6"/>
          <w:kern w:val="0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按照全口径预算的原则，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人员工资变动使人员经费增加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国有资本经营预算未安排。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万元，主要原因是人员工资变动使人员经费增加。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项目支出聘用人员工资调整使项目支出减少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拨款和国有资本经营预算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277.41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社会保障和就业支出277.41万元，主要用于人员经费219.14万元；公用经费21.43 万元；项目经费36.84万元。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3.88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%。主要原因是：人员工资变动使人员经费增加。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1.85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4.78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项目支出聘用人员工资调整使项目支出减少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社会保障与就业支出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(类：208)277.41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占100 %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行政事业单位离退休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离退休人员管理机构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：2021年预算数为240.57万元，比上年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3.88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%。主要原因是：人员工资变动使人员经费增加。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行政事业单位离退休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其他行政事业单位养老支出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：2021年预算数为36.84万元，比上年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执行数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减少了1.85万元，下降4.78%，主要原因是：项目支出中聘用人员经费减少。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219.14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58.47万元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4.87万元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15.51万元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：老干部场馆运行费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：根据干休所工作性质，为更好服务于老干部需要。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3.9万元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：根据活动场馆具体需求进行分配。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：离退休党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支部</w:t>
      </w:r>
      <w:r>
        <w:rPr>
          <w:rFonts w:hint="eastAsia" w:ascii="仿宋_GB2312" w:hAnsi="黑体" w:eastAsia="仿宋_GB2312"/>
          <w:sz w:val="32"/>
          <w:szCs w:val="32"/>
        </w:rPr>
        <w:t>书记工作补贴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：根据文件发放标准，对干休所六个离退休老干部党支部的书记、委员发放工作补贴。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：3.72万元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：根据文件发放标准，对干休所六个离退休老干部党支部的书记、委员发放工作补贴。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：书记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补贴3600元/年，委员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1200元/年。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：干休所6个离退休党支部书记，13个委员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22"/>
          <w:lang w:eastAsia="zh-CN"/>
        </w:rPr>
        <w:t>干休所的离退休党员，鼓励离退休老干部离退休后发挥余热。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.项目名称：聘用人员工资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设立的政策依据：根据公共安全工作要求及单位为老干部服务工作需求。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预算安排规模：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29.22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项目承担单位：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资金分配情况：根据工作岗位职能分配工资。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资金执行时间：20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资金来源：财政拨款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补贴人数：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补贴标准：平均月工资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补贴范围：单位聘用的保安、驾驶员。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补贴方式：发放给个人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发放程序：每月发放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受益人群和社会效益：解决了聘用人员的就业，同时为老干部的出行、日常生活提供方便，安全、环境优美得到保障。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根据实际车辆运行情况，厉行节约，减少经费开支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根据单位实际情况，厉行节约，减少经费开支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工会经费和福利费根据工资比例计提有所增加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年部门（单位）预算未安排购置车辆经费（或安排购置车辆经费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万元。具体情况见下表（按项目分别填报）：</w:t>
      </w: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ind w:firstLine="1606" w:firstLineChars="500"/>
              <w:jc w:val="both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ind w:firstLine="1606" w:firstLineChars="500"/>
              <w:jc w:val="both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老干部场馆运行费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干休所离退休老干部的需要，对活动场所设施进行维护和老干部活动用品的购买，包括围墙翻修、热力管网阀门更换、活动场所两处卫生间修缮改造、下水疏通，为老干部生活、学习、活动提供各全方位的服务。使老干部场所正常运转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维修维护活动场所个数（个）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围墙翻修长度（米）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热力管网更换阀门个数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两处卫生间修缮改造面积（</w:t>
            </w:r>
            <w:r>
              <w:rPr>
                <w:rStyle w:val="24"/>
                <w:lang w:val="en-US" w:eastAsia="zh-CN" w:bidi="ar"/>
              </w:rPr>
              <w:t>㎡</w:t>
            </w:r>
            <w:r>
              <w:rPr>
                <w:rStyle w:val="23"/>
                <w:lang w:val="en-US" w:eastAsia="zh-CN" w:bidi="ar"/>
              </w:rPr>
              <w:t>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活动人员出勤率（%）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工作完成及时率（%）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老干部场馆运行费（万元）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提高老干部的晚年生活质量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使老干部老有所学、老有所乐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离退休党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支部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书记工作补贴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根据文件精神，为加强和改进离退休老干部党组织建设，进一步发挥支部书记、委员凝聚力、引领老党员的带头人作用。按要求每月按时发放19名离退休党支部书记委员工作补贴。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发放人数（人）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离退休党支部书记工作补贴（万元）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保障了离退休党组织的活力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不断强化离退休干部党组织战斗堡垒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受益党支部书记委员满意度（%）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64"/>
        <w:gridCol w:w="1112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聘用人员工资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29.22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29.22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根据干休所离退休老干部的需要，聘用保安、司机。为老干部的出行、就医提供方便，使干休所安全、环境优美得到保障。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聘用人员数量（人）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发放工资及时率（%）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聘用人员工资发放标准（元/月）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聘用人员工资发放（万元）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保障老干部的用车服务、日常生活提供方便，安全、环境优美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提高人员的生活水平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受益聘用人员满意度（%）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321" w:firstLineChars="1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440" w:hanging="5440" w:hangingChars="1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>- 33 -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11"/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>- 33 -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BB7F"/>
    <w:multiLevelType w:val="singleLevel"/>
    <w:tmpl w:val="7776BB7F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3712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4997E26"/>
    <w:rsid w:val="08F566A8"/>
    <w:rsid w:val="0B152456"/>
    <w:rsid w:val="0FF02104"/>
    <w:rsid w:val="147D4BE8"/>
    <w:rsid w:val="1ADB67D3"/>
    <w:rsid w:val="27701EA2"/>
    <w:rsid w:val="285A704B"/>
    <w:rsid w:val="2F9A4FE3"/>
    <w:rsid w:val="31281221"/>
    <w:rsid w:val="37011A93"/>
    <w:rsid w:val="371A723A"/>
    <w:rsid w:val="4EE514F8"/>
    <w:rsid w:val="4F8857A5"/>
    <w:rsid w:val="4FB94901"/>
    <w:rsid w:val="579557C6"/>
    <w:rsid w:val="595C1E04"/>
    <w:rsid w:val="693C1F3B"/>
    <w:rsid w:val="712F72D5"/>
    <w:rsid w:val="74C00F6E"/>
    <w:rsid w:val="754A6A6F"/>
    <w:rsid w:val="7986444F"/>
    <w:rsid w:val="7A5D5482"/>
    <w:rsid w:val="7C6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21</TotalTime>
  <ScaleCrop>false</ScaleCrop>
  <LinksUpToDate>false</LinksUpToDate>
  <CharactersWithSpaces>16055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干休所</cp:lastModifiedBy>
  <cp:lastPrinted>2021-03-01T09:53:16Z</cp:lastPrinted>
  <dcterms:modified xsi:type="dcterms:W3CDTF">2021-03-01T10:09:50Z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373350585_btnclosed</vt:lpwstr>
  </property>
</Properties>
</file>