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社会保险管理局</w:t>
      </w:r>
    </w:p>
    <w:bookmarkEnd w:id="2"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pStyle w:val="2"/>
      </w:pPr>
    </w:p>
    <w:p>
      <w:pPr>
        <w:widowControl/>
        <w:spacing w:line="4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部门（单位）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部门（单位）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部门（单位）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ab/>
      </w: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871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ab/>
      </w:r>
    </w:p>
    <w:p>
      <w:pPr>
        <w:widowControl/>
        <w:tabs>
          <w:tab w:val="left" w:pos="1871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概</w:t>
      </w:r>
      <w:r>
        <w:rPr>
          <w:rFonts w:hint="eastAsia" w:ascii="黑体" w:hAnsi="黑体" w:eastAsia="黑体"/>
          <w:kern w:val="0"/>
          <w:sz w:val="32"/>
          <w:szCs w:val="32"/>
        </w:rPr>
        <w:t>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克孜勒苏柯尔克孜自治州社会保险管理局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承担着全州10亿基金及全州70万余人次的五项社会保险（养老保险、工伤保险、失业保险）基金的征缴、结算、审核、支付、运行、管理、下解上解分配。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单位无下属预算单位，下设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室，分别是：办公室、计财科、社会基金征缴科、社会基金结算科、社会保险稽核科、档案管理科。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人，其中：在职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color w:val="0000FF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tbl>
      <w:tblPr>
        <w:tblStyle w:val="8"/>
        <w:tblpPr w:leftFromText="180" w:rightFromText="180" w:vertAnchor="text" w:horzAnchor="page" w:tblpX="62" w:tblpY="527"/>
        <w:tblOverlap w:val="never"/>
        <w:tblW w:w="11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0"/>
        <w:gridCol w:w="1830"/>
        <w:gridCol w:w="336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第二部分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  <w:lang w:val="en-US" w:eastAsia="zh-CN"/>
              </w:rPr>
              <w:t>2021年克孜勒苏柯尔克孜自治州社会保险管理局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预算公开表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表一：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部门（单位）收支总体情况表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编制部门（单位）：克孜勒苏柯尔克孜自治州社会保险管理局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        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一般公共预算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政府性基金预算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单位其他资金收入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上级专项收入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资源勘探工业信息等支出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 抗疫特别国债安排的支出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收      入      总      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363.82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8"/>
        <w:tblW w:w="9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88"/>
        <w:gridCol w:w="340"/>
        <w:gridCol w:w="428"/>
        <w:gridCol w:w="90"/>
        <w:gridCol w:w="828"/>
        <w:gridCol w:w="121"/>
        <w:gridCol w:w="641"/>
        <w:gridCol w:w="161"/>
        <w:gridCol w:w="595"/>
        <w:gridCol w:w="160"/>
        <w:gridCol w:w="424"/>
        <w:gridCol w:w="153"/>
        <w:gridCol w:w="584"/>
        <w:gridCol w:w="153"/>
        <w:gridCol w:w="363"/>
        <w:gridCol w:w="67"/>
        <w:gridCol w:w="450"/>
        <w:gridCol w:w="364"/>
        <w:gridCol w:w="118"/>
        <w:gridCol w:w="1"/>
        <w:gridCol w:w="292"/>
        <w:gridCol w:w="224"/>
        <w:gridCol w:w="187"/>
        <w:gridCol w:w="255"/>
        <w:gridCol w:w="156"/>
        <w:gridCol w:w="232"/>
        <w:gridCol w:w="179"/>
        <w:gridCol w:w="530"/>
        <w:gridCol w:w="319"/>
        <w:gridCol w:w="78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outlineLvl w:val="1"/>
              <w:rPr>
                <w:rFonts w:hint="eastAsia" w:ascii="宋体" w:hAnsi="宋体" w:eastAsia="仿宋_GB2312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表二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9" w:type="dxa"/>
          <w:trHeight w:val="412" w:hRule="atLeast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4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部门（单位）收入总体情况表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5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编制部门（单位）：克孜勒苏柯尔克孜自治州社会保险管理局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1022" w:hRule="atLeast"/>
        </w:trPr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单位其他资金收入</w:t>
            </w:r>
          </w:p>
        </w:tc>
        <w:tc>
          <w:tcPr>
            <w:tcW w:w="4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上级专项收入</w:t>
            </w:r>
          </w:p>
        </w:tc>
        <w:tc>
          <w:tcPr>
            <w:tcW w:w="4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24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48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48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48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358.82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309.50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52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7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7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</w:tr>
    </w:tbl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8"/>
        <w:tblW w:w="79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455"/>
        <w:gridCol w:w="455"/>
        <w:gridCol w:w="1588"/>
        <w:gridCol w:w="1214"/>
        <w:gridCol w:w="1112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outlineLvl w:val="1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表三：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280" w:lineRule="exact"/>
        <w:jc w:val="center"/>
        <w:outlineLvl w:val="1"/>
        <w:rPr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tbl>
      <w:tblPr>
        <w:tblStyle w:val="8"/>
        <w:tblW w:w="7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504"/>
        <w:gridCol w:w="504"/>
        <w:gridCol w:w="1757"/>
        <w:gridCol w:w="1246"/>
        <w:gridCol w:w="97"/>
        <w:gridCol w:w="1015"/>
        <w:gridCol w:w="216"/>
        <w:gridCol w:w="896"/>
        <w:gridCol w:w="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5" w:type="dxa"/>
          <w:trHeight w:val="360" w:hRule="atLeast"/>
        </w:trPr>
        <w:tc>
          <w:tcPr>
            <w:tcW w:w="5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编制部门（单位）：克孜勒苏柯尔克孜自治州社会保险管理局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3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344.52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344.52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358.82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344.52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344.52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19.30 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8"/>
        <w:tblW w:w="10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425"/>
        <w:gridCol w:w="115"/>
        <w:gridCol w:w="72"/>
        <w:gridCol w:w="468"/>
        <w:gridCol w:w="488"/>
        <w:gridCol w:w="1867"/>
        <w:gridCol w:w="946"/>
        <w:gridCol w:w="637"/>
        <w:gridCol w:w="217"/>
        <w:gridCol w:w="440"/>
        <w:gridCol w:w="431"/>
        <w:gridCol w:w="225"/>
        <w:gridCol w:w="554"/>
        <w:gridCol w:w="140"/>
        <w:gridCol w:w="637"/>
        <w:gridCol w:w="281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63" w:hRule="atLeast"/>
        </w:trPr>
        <w:tc>
          <w:tcPr>
            <w:tcW w:w="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20" w:beforeLines="50" w:line="280" w:lineRule="exact"/>
              <w:outlineLvl w:val="1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表四：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8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20" w:beforeLines="50" w:line="280" w:lineRule="exact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财政拨款收支预算总体情况表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20" w:beforeLines="50" w:line="280" w:lineRule="exact"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81" w:hRule="atLeast"/>
        </w:trPr>
        <w:tc>
          <w:tcPr>
            <w:tcW w:w="6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编制部门（单位）：克孜勒苏柯尔克孜自治州社会保险管理局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34" w:hRule="atLeast"/>
        </w:trPr>
        <w:tc>
          <w:tcPr>
            <w:tcW w:w="3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5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财政拨款支出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        目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9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一般公共预算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07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政府性基金预算</w:t>
            </w:r>
          </w:p>
        </w:tc>
        <w:tc>
          <w:tcPr>
            <w:tcW w:w="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188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3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196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8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3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15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03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71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3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196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3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资源勘探工业信息等支出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3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07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07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25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25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4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08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29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06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169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6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6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4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6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 抗疫特别国债安排的支出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59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45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8"/>
              <w:tblW w:w="1549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10"/>
              <w:gridCol w:w="1830"/>
              <w:gridCol w:w="3360"/>
              <w:gridCol w:w="1770"/>
              <w:gridCol w:w="1740"/>
              <w:gridCol w:w="1560"/>
              <w:gridCol w:w="17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/>
                    </w:rPr>
                    <w:t>收   入   总    计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314.50 </w:t>
                  </w:r>
                </w:p>
              </w:tc>
              <w:tc>
                <w:tcPr>
                  <w:tcW w:w="3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支   出  总   计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314.50 </w:t>
                  </w:r>
                </w:p>
              </w:tc>
              <w:tc>
                <w:tcPr>
                  <w:tcW w:w="17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314.50 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  <w:r>
                    <w:rPr>
                      <w:rStyle w:val="24"/>
                      <w:lang w:val="en-US" w:eastAsia="zh-CN" w:bidi="ar"/>
                    </w:rPr>
                    <w:t>.00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2" w:type="dxa"/>
          <w:trHeight w:val="243" w:hRule="atLeast"/>
        </w:trPr>
        <w:tc>
          <w:tcPr>
            <w:tcW w:w="95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2" w:type="dxa"/>
          <w:trHeight w:val="360" w:hRule="atLeast"/>
        </w:trPr>
        <w:tc>
          <w:tcPr>
            <w:tcW w:w="95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2" w:type="dxa"/>
          <w:trHeight w:val="280" w:hRule="atLeast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3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1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/>
    <w:tbl>
      <w:tblPr>
        <w:tblStyle w:val="8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731"/>
        <w:gridCol w:w="2850"/>
        <w:gridCol w:w="994"/>
        <w:gridCol w:w="1687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86.37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86.37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108.07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108.07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28.39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28.39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23.03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23.03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20.43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20.43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13.25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13.25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288.48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19.73 </w:t>
            </w:r>
          </w:p>
        </w:tc>
      </w:tr>
    </w:tbl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/>
    <w:tbl>
      <w:tblPr>
        <w:tblStyle w:val="8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468"/>
        <w:gridCol w:w="413"/>
        <w:gridCol w:w="1237"/>
        <w:gridCol w:w="957"/>
        <w:gridCol w:w="768"/>
        <w:gridCol w:w="525"/>
        <w:gridCol w:w="638"/>
        <w:gridCol w:w="656"/>
        <w:gridCol w:w="405"/>
        <w:gridCol w:w="329"/>
        <w:gridCol w:w="268"/>
        <w:gridCol w:w="345"/>
        <w:gridCol w:w="231"/>
        <w:gridCol w:w="313"/>
        <w:gridCol w:w="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表七：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3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项目支出合计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资本性支出(基本建设)</w:t>
            </w:r>
          </w:p>
        </w:tc>
        <w:tc>
          <w:tcPr>
            <w:tcW w:w="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对企业补助(基本建设)</w:t>
            </w:r>
          </w:p>
        </w:tc>
        <w:tc>
          <w:tcPr>
            <w:tcW w:w="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线路租赁费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岗位见习补贴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</w:pPr>
    </w:p>
    <w:p/>
    <w:tbl>
      <w:tblPr>
        <w:tblStyle w:val="8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7"/>
        <w:gridCol w:w="1581"/>
        <w:gridCol w:w="995"/>
        <w:gridCol w:w="995"/>
        <w:gridCol w:w="996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表八：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tbl>
      <w:tblPr>
        <w:tblStyle w:val="8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303"/>
        <w:gridCol w:w="303"/>
        <w:gridCol w:w="1724"/>
        <w:gridCol w:w="1341"/>
        <w:gridCol w:w="1210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表九：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562" w:firstLineChars="200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49.32万元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363.82万元。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克州社会保险给局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在职人员14人整体划转到克州医疗保障局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国有资本经营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上年财政拨款结余弥补2020年支出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年末财政拨款无结余，只有其他资金户的结余。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344.52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240.24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在职人员14人整体划转到克州医疗保障局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2021年我单位上核心三版系统，原来的系统交换数据在地方服务器上进行交换，上核心三版后交换数据由自治区统一管理，故单位延续项目机房服务费在2021年项目里减少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和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收入预算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.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一般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社会保障经办机构309.5万元、其他人力资源和社会保障管理事务支出5万元。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合计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314.5万元，其中：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308.2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减少183.06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在职人员14人整体划转到克州医疗保障局。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下降6.4%，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2021年有减少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机房托管服务费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社会保障和就业支出（类：208）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社会保障和就业支出（类：208）人力资源和社会保障管理事务（款：01）社会保险经办机构（项：09）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:2021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309.5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181.76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在职人员14人整体划转到克州医疗保障局。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社会保障和就业支出（类：208）人力资源和社会保障管理事务（款：01）其他人力资源和社会保障管理事务支出（项：99）：2021年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8.4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62.69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主要原因为2021年预算中减少项目机房托管服务费。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308.2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288.48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86.37万元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108.07万元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28.39万元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23.03万元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20.43万元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13.25万元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8万元、水费0.5万元、电费2万元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线路租赁费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州本级项目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</w:t>
      </w:r>
      <w:r>
        <w:rPr>
          <w:rFonts w:ascii="仿宋_GB2312" w:hAnsi="黑体" w:eastAsia="仿宋_GB2312" w:cs="Times New Roman"/>
          <w:sz w:val="32"/>
          <w:szCs w:val="32"/>
        </w:rPr>
        <w:t>情况</w:t>
      </w:r>
      <w:r>
        <w:rPr>
          <w:rFonts w:hint="eastAsia" w:ascii="仿宋_GB2312" w:hAnsi="黑体" w:eastAsia="仿宋_GB2312" w:cs="Times New Roman"/>
          <w:sz w:val="32"/>
          <w:szCs w:val="32"/>
        </w:rPr>
        <w:t>：承担着全州60万人的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项社会保险（养老保险、工伤保险、失业保险、城镇居民基本养老保险）基金的征缴、审核、结算、支付、运行、管理、上解下解分配工作；负责社会保险待遇支付标准核定与发放工作；管理全州养老保险、失业保险、工伤保险工作；负责社会保险关系的登记、中断、接续、转移工作；承担全州各项社会保险的社会化管理和服务工作；管理和维护“克州社会保险管理信息系统”，负责全州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机关事业单位养老待遇、工伤保险、失业保险、城乡居民养老待遇和职业年金的征收</w:t>
      </w:r>
      <w:r>
        <w:rPr>
          <w:rFonts w:hint="eastAsia" w:ascii="仿宋_GB2312" w:hAnsi="黑体" w:eastAsia="仿宋_GB2312" w:cs="Times New Roman"/>
          <w:sz w:val="32"/>
          <w:szCs w:val="32"/>
        </w:rPr>
        <w:t>费用的审核、结算、报销及社保业务档案管理、报表定期上报工作；同时担负全州社会保险经办部门业务指导、基金监管运行分析等工作。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2021年全年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岗位见习补贴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落实自治区常态化疫情防控工作。克财社【2020】86号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1.3万元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克孜勒苏柯尔克孜自治州社会保险管理局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岗位见习补贴3人，540元/月，2021年补贴8个月。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2021年1月至2021年8月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财政拨款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3人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540元/月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见习生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按月发放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走银行工资代发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加大了大中专学生的就业率，维护了社会稳定。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单位未安排因公出国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的开支；公务用车购置费为0，未安排预算。主要原因是压缩三公经费的开支；公务用车运行费减少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万元，主要原因是压缩三公经费的开支；公务接待费减少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万元，主要原因是压缩三公经费的开支。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人员减少人头经费减少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万元，政府采购服务预算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333.26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年度，本年度实行绩效管理的一般公共预算项目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8"/>
        <w:tblW w:w="9043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317"/>
        <w:gridCol w:w="604"/>
        <w:gridCol w:w="2194"/>
        <w:gridCol w:w="2681"/>
        <w:gridCol w:w="3150"/>
        <w:gridCol w:w="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54" w:hRule="atLeast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54" w:hRule="atLeast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线路租赁费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克孜勒苏柯尔克孜自治州社会保险管理局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其中：财政拨款：5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17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着全州60万人的九项社会保险（养老保险、工伤保险、失业保险、城镇居民基本养老保险）基金的征缴、审核、结算、支付、运行、管理、上解下解分配工作；负责社会保险待遇支付标准核定与发放工作；管理全州养老保险、失业保险、工伤保险、负责社会保险关系的登记、中断、接续、转移工作；承担全州各项社会保险的社会化管理和服务工作；管理和维护“克州社会保险管理信息系统”和“医疗保险管理信息系统”，负责全州定点医院、门诊、零售药店服务协议管理工作；填表审批、审核、结算、报销及社保业务档案管理、报表定期上报工作；同时担负全州社会保险经办部门业务指导、基金监管运行分析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租用专线网络数量（条）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信息自动化运行保障率（%）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项目完成及时率（%）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网络线路租赁标准（万元/年）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提高工作服务水平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保障就医结算日常需要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8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521"/>
        <w:gridCol w:w="1605"/>
        <w:gridCol w:w="3437"/>
        <w:gridCol w:w="275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0" w:hRule="atLeast"/>
        </w:trPr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岗位见习补贴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克孜勒苏柯尔克孜自治州社会保险管理局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其中：财政拨款：1.3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落实自治区常态化疫情防控工作。克财社【2020】86号，加大了大中专学生的就业率，维护了社会稳定。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岗位补贴保障率（%）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项目完成及时率（%）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岗位补贴标准（万元/月）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提高工作服务水平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保障岗位补贴需要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widowControl/>
        <w:spacing w:line="48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克孜勒苏柯尔克孜自治州社会保险管理局无其他事项说明。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</w:t>
      </w:r>
      <w:r>
        <w:rPr>
          <w:rFonts w:hint="eastAsia" w:ascii="仿宋_GB2312" w:eastAsia="仿宋_GB2312"/>
          <w:sz w:val="32"/>
          <w:szCs w:val="32"/>
          <w:lang w:eastAsia="zh-CN"/>
        </w:rPr>
        <w:t>、国有资本经营预算</w:t>
      </w:r>
      <w:r>
        <w:rPr>
          <w:rFonts w:hint="eastAsia" w:ascii="仿宋_GB2312" w:eastAsia="仿宋_GB2312"/>
          <w:sz w:val="32"/>
          <w:szCs w:val="32"/>
        </w:rPr>
        <w:t>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、其他资金：</w:t>
      </w:r>
      <w:r>
        <w:rPr>
          <w:rFonts w:hint="eastAsia" w:ascii="仿宋_GB2312" w:eastAsia="仿宋_GB2312"/>
          <w:sz w:val="32"/>
          <w:szCs w:val="32"/>
        </w:rPr>
        <w:t>包括其他收入等。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部门（单位）支出预算的组成部分，是自治区本级部门（单位）为完成其特定的行政任务或事业发展目标，在基本支出预算之外编制的年度项目支出计划。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公务用车运行费和公务接待费。其中公务用车运行费指单位公务用车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指各部门（单位）的公用经费，包括办公及差旅费、会议费、福利费、办公用房水电费、公务用车运行维护费。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</w:p>
    <w:p>
      <w:pPr>
        <w:widowControl/>
        <w:spacing w:line="520" w:lineRule="exact"/>
        <w:jc w:val="center"/>
        <w:rPr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31" w:y="37"/>
      <w:jc w:val="right"/>
      <w:rPr>
        <w:rStyle w:val="12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hint="eastAsia" w:ascii="宋体" w:hAnsi="宋体" w:eastAsia="宋体"/>
        <w:sz w:val="28"/>
      </w:rPr>
      <w:t xml:space="preserve"> 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56" w:y="37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9522A"/>
    <w:rsid w:val="00121764"/>
    <w:rsid w:val="001410DA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93EEC"/>
    <w:rsid w:val="004B5A44"/>
    <w:rsid w:val="004D2619"/>
    <w:rsid w:val="004F62F9"/>
    <w:rsid w:val="00520D5A"/>
    <w:rsid w:val="006B6A8C"/>
    <w:rsid w:val="006D5EAD"/>
    <w:rsid w:val="007219F8"/>
    <w:rsid w:val="007E2CEA"/>
    <w:rsid w:val="009035BA"/>
    <w:rsid w:val="00907796"/>
    <w:rsid w:val="0096028F"/>
    <w:rsid w:val="0099744C"/>
    <w:rsid w:val="009C6198"/>
    <w:rsid w:val="00A9706D"/>
    <w:rsid w:val="00B127E0"/>
    <w:rsid w:val="00BA582F"/>
    <w:rsid w:val="00C117E5"/>
    <w:rsid w:val="00CA4E1E"/>
    <w:rsid w:val="00DC05BF"/>
    <w:rsid w:val="00E72E1E"/>
    <w:rsid w:val="00F23808"/>
    <w:rsid w:val="00F54FE8"/>
    <w:rsid w:val="00F830A1"/>
    <w:rsid w:val="00F83503"/>
    <w:rsid w:val="00F90952"/>
    <w:rsid w:val="021D0585"/>
    <w:rsid w:val="02E274C1"/>
    <w:rsid w:val="07753405"/>
    <w:rsid w:val="081C071F"/>
    <w:rsid w:val="08973B4C"/>
    <w:rsid w:val="09155887"/>
    <w:rsid w:val="091D5DBC"/>
    <w:rsid w:val="0A051F3E"/>
    <w:rsid w:val="0D873062"/>
    <w:rsid w:val="0D947D80"/>
    <w:rsid w:val="0DBD458C"/>
    <w:rsid w:val="0F5506A7"/>
    <w:rsid w:val="0FB80240"/>
    <w:rsid w:val="104C253E"/>
    <w:rsid w:val="10781D50"/>
    <w:rsid w:val="113D7CA2"/>
    <w:rsid w:val="115D0178"/>
    <w:rsid w:val="11B44FE2"/>
    <w:rsid w:val="12A65F05"/>
    <w:rsid w:val="137A6A9E"/>
    <w:rsid w:val="14232ACA"/>
    <w:rsid w:val="147D4BE8"/>
    <w:rsid w:val="14AD7C2C"/>
    <w:rsid w:val="14C83DDF"/>
    <w:rsid w:val="14EA0D7F"/>
    <w:rsid w:val="15C9535E"/>
    <w:rsid w:val="15CA62B2"/>
    <w:rsid w:val="16453FC1"/>
    <w:rsid w:val="16563838"/>
    <w:rsid w:val="16B61FA4"/>
    <w:rsid w:val="173700AA"/>
    <w:rsid w:val="17EA5C0F"/>
    <w:rsid w:val="1A2D081E"/>
    <w:rsid w:val="1AD73975"/>
    <w:rsid w:val="1ADB67D3"/>
    <w:rsid w:val="1C6E770C"/>
    <w:rsid w:val="1C992671"/>
    <w:rsid w:val="1CA533A4"/>
    <w:rsid w:val="1CB8585A"/>
    <w:rsid w:val="1F7E1B88"/>
    <w:rsid w:val="20253063"/>
    <w:rsid w:val="20E13D1E"/>
    <w:rsid w:val="215109FB"/>
    <w:rsid w:val="22116CF7"/>
    <w:rsid w:val="223C3A0D"/>
    <w:rsid w:val="22486F10"/>
    <w:rsid w:val="22C737D2"/>
    <w:rsid w:val="23C51557"/>
    <w:rsid w:val="240B2E9A"/>
    <w:rsid w:val="25214FC4"/>
    <w:rsid w:val="252E1EB1"/>
    <w:rsid w:val="265D0F10"/>
    <w:rsid w:val="266B7B0F"/>
    <w:rsid w:val="27CD7BA2"/>
    <w:rsid w:val="27EA4446"/>
    <w:rsid w:val="289C3394"/>
    <w:rsid w:val="28BA314B"/>
    <w:rsid w:val="28F773B8"/>
    <w:rsid w:val="290269BD"/>
    <w:rsid w:val="2A834221"/>
    <w:rsid w:val="2AAA7371"/>
    <w:rsid w:val="2B503BC6"/>
    <w:rsid w:val="2B903AC2"/>
    <w:rsid w:val="2C5E374E"/>
    <w:rsid w:val="2D203B1D"/>
    <w:rsid w:val="2EB65FA6"/>
    <w:rsid w:val="31244695"/>
    <w:rsid w:val="32071BA8"/>
    <w:rsid w:val="33330E19"/>
    <w:rsid w:val="34D3748D"/>
    <w:rsid w:val="35DB0DD1"/>
    <w:rsid w:val="366F1946"/>
    <w:rsid w:val="36B2261A"/>
    <w:rsid w:val="371F7608"/>
    <w:rsid w:val="37207BAD"/>
    <w:rsid w:val="37947EE4"/>
    <w:rsid w:val="394C0139"/>
    <w:rsid w:val="3A972F15"/>
    <w:rsid w:val="3BF053E9"/>
    <w:rsid w:val="3DC9248E"/>
    <w:rsid w:val="3EB009F9"/>
    <w:rsid w:val="3EB872E7"/>
    <w:rsid w:val="3EF16309"/>
    <w:rsid w:val="3F4A7FC6"/>
    <w:rsid w:val="3F7147BD"/>
    <w:rsid w:val="3F8A5433"/>
    <w:rsid w:val="3FAF3952"/>
    <w:rsid w:val="414C1EC9"/>
    <w:rsid w:val="425D2DBB"/>
    <w:rsid w:val="433B15EB"/>
    <w:rsid w:val="434341AA"/>
    <w:rsid w:val="44AA127B"/>
    <w:rsid w:val="45567DFC"/>
    <w:rsid w:val="47041F5F"/>
    <w:rsid w:val="47C97ED6"/>
    <w:rsid w:val="4A9B5C6A"/>
    <w:rsid w:val="4BF0705E"/>
    <w:rsid w:val="4C477745"/>
    <w:rsid w:val="4D060492"/>
    <w:rsid w:val="4D674206"/>
    <w:rsid w:val="4E5A1518"/>
    <w:rsid w:val="4EA14C73"/>
    <w:rsid w:val="4EE514F8"/>
    <w:rsid w:val="4FBF3C4E"/>
    <w:rsid w:val="4FD5459E"/>
    <w:rsid w:val="4FDD744B"/>
    <w:rsid w:val="50AD5FB2"/>
    <w:rsid w:val="50B80127"/>
    <w:rsid w:val="522702FD"/>
    <w:rsid w:val="524B63CA"/>
    <w:rsid w:val="52964524"/>
    <w:rsid w:val="54B1050F"/>
    <w:rsid w:val="55C2020E"/>
    <w:rsid w:val="5630647A"/>
    <w:rsid w:val="566A323C"/>
    <w:rsid w:val="57782F9F"/>
    <w:rsid w:val="58451C20"/>
    <w:rsid w:val="58EC401C"/>
    <w:rsid w:val="59786C79"/>
    <w:rsid w:val="59C954E0"/>
    <w:rsid w:val="59E9270E"/>
    <w:rsid w:val="5AE4571C"/>
    <w:rsid w:val="5B8E693E"/>
    <w:rsid w:val="5BD04F44"/>
    <w:rsid w:val="5CE37FFD"/>
    <w:rsid w:val="5D2B69EB"/>
    <w:rsid w:val="5D615190"/>
    <w:rsid w:val="5E561347"/>
    <w:rsid w:val="5FE264BC"/>
    <w:rsid w:val="607B4F03"/>
    <w:rsid w:val="61194EF6"/>
    <w:rsid w:val="61DE7F35"/>
    <w:rsid w:val="61FB7BB0"/>
    <w:rsid w:val="622B472A"/>
    <w:rsid w:val="633546D0"/>
    <w:rsid w:val="638A1D16"/>
    <w:rsid w:val="641662F8"/>
    <w:rsid w:val="64751A98"/>
    <w:rsid w:val="647F30BE"/>
    <w:rsid w:val="65964F7F"/>
    <w:rsid w:val="67DD5D53"/>
    <w:rsid w:val="68021551"/>
    <w:rsid w:val="68BE0A03"/>
    <w:rsid w:val="693D3B86"/>
    <w:rsid w:val="6A35060F"/>
    <w:rsid w:val="6B4028E1"/>
    <w:rsid w:val="6BA57E1C"/>
    <w:rsid w:val="6BE32DB0"/>
    <w:rsid w:val="6C830213"/>
    <w:rsid w:val="71A765C5"/>
    <w:rsid w:val="72067338"/>
    <w:rsid w:val="720B50D5"/>
    <w:rsid w:val="72554AD8"/>
    <w:rsid w:val="72576D27"/>
    <w:rsid w:val="74C00F6E"/>
    <w:rsid w:val="74E31C52"/>
    <w:rsid w:val="75325F88"/>
    <w:rsid w:val="768B3A86"/>
    <w:rsid w:val="769351A7"/>
    <w:rsid w:val="77B218BA"/>
    <w:rsid w:val="77BC17EF"/>
    <w:rsid w:val="77E9218B"/>
    <w:rsid w:val="77F15EB3"/>
    <w:rsid w:val="7A313FC4"/>
    <w:rsid w:val="7A8F3160"/>
    <w:rsid w:val="7D2236B8"/>
    <w:rsid w:val="7E636F27"/>
    <w:rsid w:val="7FA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字符"/>
    <w:basedOn w:val="10"/>
    <w:link w:val="5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link w:val="3"/>
    <w:semiHidden/>
    <w:qFormat/>
    <w:uiPriority w:val="0"/>
    <w:rPr>
      <w:sz w:val="18"/>
      <w:szCs w:val="18"/>
    </w:rPr>
  </w:style>
  <w:style w:type="character" w:customStyle="1" w:styleId="16">
    <w:name w:val="正文文本缩进 3 字符"/>
    <w:link w:val="6"/>
    <w:qFormat/>
    <w:uiPriority w:val="0"/>
    <w:rPr>
      <w:rFonts w:eastAsia="仿宋_GB2312"/>
      <w:sz w:val="32"/>
      <w:szCs w:val="24"/>
    </w:rPr>
  </w:style>
  <w:style w:type="paragraph" w:customStyle="1" w:styleId="17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8">
    <w:name w:val="正文文本缩进 3 字符1"/>
    <w:basedOn w:val="1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1">
    <w:name w:val="批注框文本 字符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3">
    <w:name w:val="普通(网站)1"/>
    <w:basedOn w:val="1"/>
    <w:qFormat/>
    <w:uiPriority w:val="0"/>
    <w:rPr>
      <w:rFonts w:ascii="Calibri" w:hAnsi="Calibri" w:cs="黑体"/>
      <w:sz w:val="24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2401</Words>
  <Characters>13686</Characters>
  <Lines>114</Lines>
  <Paragraphs>32</Paragraphs>
  <TotalTime>7</TotalTime>
  <ScaleCrop>false</ScaleCrop>
  <LinksUpToDate>false</LinksUpToDate>
  <CharactersWithSpaces>16055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2021-01-27T08:28:00Z</dcterms:created>
  <dc:creator>薛理升</dc:creator>
  <cp:lastModifiedBy>lenovo</cp:lastModifiedBy>
  <dcterms:modified xsi:type="dcterms:W3CDTF">2021-08-18T09:35:22Z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