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社会保险管理局2021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ab/>
      </w: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702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871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ab/>
      </w:r>
    </w:p>
    <w:p>
      <w:pPr>
        <w:widowControl/>
        <w:tabs>
          <w:tab w:val="left" w:pos="1871"/>
        </w:tabs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概</w:t>
      </w:r>
      <w:r>
        <w:rPr>
          <w:rFonts w:hint="eastAsia" w:ascii="黑体" w:hAnsi="黑体" w:eastAsia="黑体"/>
          <w:kern w:val="0"/>
          <w:sz w:val="32"/>
          <w:szCs w:val="32"/>
        </w:rPr>
        <w:t>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克孜勒苏柯尔克孜自治州社会保险管理局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承担着全州10亿基金及全州70万余人次的五项社会保险（养老保险、工伤保险、失业保险）基金的征缴、结算、审核、支付、运行、管理、下解上解分配。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>室，分别是：办公室、计财科、社会基金征缴科、社会基金结算科、社会保险稽核科、档案管理科。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lang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人，其中：在职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</w:t>
      </w:r>
      <w:bookmarkStart w:id="2" w:name="_GoBack"/>
      <w:bookmarkEnd w:id="2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color w:val="0000FF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tbl>
      <w:tblPr>
        <w:tblStyle w:val="11"/>
        <w:tblpPr w:leftFromText="180" w:rightFromText="180" w:vertAnchor="text" w:horzAnchor="page" w:tblpX="62" w:tblpY="527"/>
        <w:tblOverlap w:val="never"/>
        <w:tblW w:w="11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1830"/>
        <w:gridCol w:w="336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表一：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部门（单位）收支总体情况表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单位其他资金收入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上级专项收入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资源勘探工业信息等支出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 抗疫特别国债安排的支出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49.32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收      入      总      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363.82</w:t>
            </w:r>
          </w:p>
        </w:tc>
      </w:tr>
    </w:tbl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2021年克孜勒苏柯尔克孜自治州社会保险管理局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11"/>
        <w:tblW w:w="9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8"/>
        <w:gridCol w:w="340"/>
        <w:gridCol w:w="428"/>
        <w:gridCol w:w="90"/>
        <w:gridCol w:w="828"/>
        <w:gridCol w:w="121"/>
        <w:gridCol w:w="641"/>
        <w:gridCol w:w="161"/>
        <w:gridCol w:w="595"/>
        <w:gridCol w:w="160"/>
        <w:gridCol w:w="424"/>
        <w:gridCol w:w="153"/>
        <w:gridCol w:w="584"/>
        <w:gridCol w:w="153"/>
        <w:gridCol w:w="363"/>
        <w:gridCol w:w="67"/>
        <w:gridCol w:w="403"/>
        <w:gridCol w:w="45"/>
        <w:gridCol w:w="1"/>
        <w:gridCol w:w="365"/>
        <w:gridCol w:w="118"/>
        <w:gridCol w:w="1"/>
        <w:gridCol w:w="292"/>
        <w:gridCol w:w="224"/>
        <w:gridCol w:w="187"/>
        <w:gridCol w:w="255"/>
        <w:gridCol w:w="156"/>
        <w:gridCol w:w="232"/>
        <w:gridCol w:w="179"/>
        <w:gridCol w:w="530"/>
        <w:gridCol w:w="319"/>
        <w:gridCol w:w="78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outlineLvl w:val="1"/>
              <w:rPr>
                <w:rFonts w:hint="eastAsia" w:ascii="宋体" w:hAnsi="宋体" w:eastAsia="仿宋_GB2312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表二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9" w:type="dxa"/>
          <w:trHeight w:val="412" w:hRule="atLeast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84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部门（单位）收入总体情况表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7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7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单位其他资金收入</w:t>
            </w:r>
          </w:p>
        </w:tc>
        <w:tc>
          <w:tcPr>
            <w:tcW w:w="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上级专项收入</w:t>
            </w:r>
          </w:p>
        </w:tc>
        <w:tc>
          <w:tcPr>
            <w:tcW w:w="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7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36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2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4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4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4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358.82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309.50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8" w:type="dxa"/>
          <w:trHeight w:val="7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11"/>
        <w:tblW w:w="7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455"/>
        <w:gridCol w:w="455"/>
        <w:gridCol w:w="1588"/>
        <w:gridCol w:w="1214"/>
        <w:gridCol w:w="1112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outlineLvl w:val="1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表三：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280" w:lineRule="exact"/>
        <w:jc w:val="center"/>
        <w:outlineLvl w:val="1"/>
        <w:rPr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tbl>
      <w:tblPr>
        <w:tblStyle w:val="11"/>
        <w:tblW w:w="7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504"/>
        <w:gridCol w:w="504"/>
        <w:gridCol w:w="1757"/>
        <w:gridCol w:w="1246"/>
        <w:gridCol w:w="97"/>
        <w:gridCol w:w="1015"/>
        <w:gridCol w:w="216"/>
        <w:gridCol w:w="896"/>
        <w:gridCol w:w="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5" w:type="dxa"/>
          <w:trHeight w:val="360" w:hRule="atLeast"/>
        </w:trPr>
        <w:tc>
          <w:tcPr>
            <w:tcW w:w="5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358.82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344.52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11"/>
        <w:tblW w:w="10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425"/>
        <w:gridCol w:w="115"/>
        <w:gridCol w:w="72"/>
        <w:gridCol w:w="468"/>
        <w:gridCol w:w="488"/>
        <w:gridCol w:w="1867"/>
        <w:gridCol w:w="946"/>
        <w:gridCol w:w="637"/>
        <w:gridCol w:w="217"/>
        <w:gridCol w:w="440"/>
        <w:gridCol w:w="431"/>
        <w:gridCol w:w="225"/>
        <w:gridCol w:w="554"/>
        <w:gridCol w:w="140"/>
        <w:gridCol w:w="637"/>
        <w:gridCol w:w="281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3" w:hRule="atLeast"/>
        </w:trPr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20" w:beforeLines="50" w:line="280" w:lineRule="exact"/>
              <w:outlineLvl w:val="1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表四：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8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20" w:beforeLines="50" w:line="28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财政拨款收支预算总体情况表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20" w:beforeLines="50" w:line="280" w:lineRule="exact"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81" w:hRule="atLeast"/>
        </w:trPr>
        <w:tc>
          <w:tcPr>
            <w:tcW w:w="6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编制部门（单位）：克孜勒苏柯尔克孜自治州社会保险管理局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3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9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一般公共预算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7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政府性基金预算</w:t>
            </w:r>
          </w:p>
        </w:tc>
        <w:tc>
          <w:tcPr>
            <w:tcW w:w="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88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96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8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1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0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71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3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96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3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资源勘探工业信息等支出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3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7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7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2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25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4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08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29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06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169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44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6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252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 抗疫特别国债安排的支出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59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49.32 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3" w:type="dxa"/>
          <w:trHeight w:val="360" w:hRule="atLeast"/>
        </w:trPr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11"/>
              <w:tblW w:w="1549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10"/>
              <w:gridCol w:w="1830"/>
              <w:gridCol w:w="3360"/>
              <w:gridCol w:w="1770"/>
              <w:gridCol w:w="1740"/>
              <w:gridCol w:w="1560"/>
              <w:gridCol w:w="17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/>
                    </w:rPr>
                    <w:t>收   入   总    计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314.50 </w:t>
                  </w:r>
                </w:p>
              </w:tc>
              <w:tc>
                <w:tcPr>
                  <w:tcW w:w="3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支   出  总   计</w:t>
                  </w: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314.50 </w:t>
                  </w:r>
                </w:p>
              </w:tc>
              <w:tc>
                <w:tcPr>
                  <w:tcW w:w="17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314.50 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  <w:r>
                    <w:rPr>
                      <w:rStyle w:val="24"/>
                      <w:lang w:val="en-US" w:eastAsia="zh-CN" w:bidi="ar"/>
                    </w:rPr>
                    <w:t>.00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2" w:type="dxa"/>
          <w:trHeight w:val="243" w:hRule="atLeast"/>
        </w:trPr>
        <w:tc>
          <w:tcPr>
            <w:tcW w:w="95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2" w:type="dxa"/>
          <w:trHeight w:val="360" w:hRule="atLeast"/>
        </w:trPr>
        <w:tc>
          <w:tcPr>
            <w:tcW w:w="95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2" w:type="dxa"/>
          <w:trHeight w:val="280" w:hRule="atLeast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3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314.50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tbl>
      <w:tblPr>
        <w:tblStyle w:val="11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731"/>
        <w:gridCol w:w="2850"/>
        <w:gridCol w:w="994"/>
        <w:gridCol w:w="1687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288.48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86.37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108.07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23.03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20.43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13.25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13.25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/>
    <w:tbl>
      <w:tblPr>
        <w:tblStyle w:val="11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468"/>
        <w:gridCol w:w="413"/>
        <w:gridCol w:w="1237"/>
        <w:gridCol w:w="957"/>
        <w:gridCol w:w="768"/>
        <w:gridCol w:w="525"/>
        <w:gridCol w:w="638"/>
        <w:gridCol w:w="656"/>
        <w:gridCol w:w="405"/>
        <w:gridCol w:w="329"/>
        <w:gridCol w:w="268"/>
        <w:gridCol w:w="345"/>
        <w:gridCol w:w="231"/>
        <w:gridCol w:w="313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表七：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项目支出合计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资本性支出(基本建设)</w:t>
            </w:r>
          </w:p>
        </w:tc>
        <w:tc>
          <w:tcPr>
            <w:tcW w:w="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对企业补助(基本建设)</w:t>
            </w:r>
          </w:p>
        </w:tc>
        <w:tc>
          <w:tcPr>
            <w:tcW w:w="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线路租赁费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岗位见习补贴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pStyle w:val="2"/>
        <w:ind w:left="0" w:leftChars="0" w:firstLine="0" w:firstLineChars="0"/>
      </w:pPr>
    </w:p>
    <w:p/>
    <w:p>
      <w:pPr>
        <w:pStyle w:val="2"/>
      </w:pPr>
    </w:p>
    <w:tbl>
      <w:tblPr>
        <w:tblStyle w:val="11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7"/>
        <w:gridCol w:w="1581"/>
        <w:gridCol w:w="995"/>
        <w:gridCol w:w="995"/>
        <w:gridCol w:w="996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表八：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tbl>
      <w:tblPr>
        <w:tblStyle w:val="11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303"/>
        <w:gridCol w:w="303"/>
        <w:gridCol w:w="1724"/>
        <w:gridCol w:w="1341"/>
        <w:gridCol w:w="1210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表九：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克孜勒苏柯尔克孜自治州社会保险管理局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562" w:firstLineChars="200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克州社会保险给局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国有资本经营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上年财政拨款结余弥补2020年支出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年末财政拨款无结余，只有其他资金户的结余。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240.24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2021年我单位上核心三版系统，原来的系统交换数据在地方服务器上进行交换，上核心三版后交换数据由自治区统一管理，故单位延续项目机房服务费在2021年项目里减少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.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社会保障和就业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社会保障经办机构309.5万元、其他人力资源和社会保障管理事务支出5万元。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合计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314.5万元，其中：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308.2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减少183.06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下降6.4%，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2021年有减少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机房托管服务费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社会保障和就业支出（类：208）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社会保障和就业支出（类：208）人力资源和社会保障管理事务（款：01）社会保险经办机构（项：09）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:2021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309.5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181.76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在职人员14人整体划转到克州医疗保障局。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社会保障和就业支出（类：208）人力资源和社会保障管理事务（款：01）其他人力资源和社会保障管理事务支出（项：99）：2021年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62.69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主要原因为2021年预算中减少项目机房托管服务费。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308.2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288.48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86.37万元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108.07万元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8万元、水费0.5万元、电费2万元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线路租赁费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州本级项目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</w:t>
      </w:r>
      <w:r>
        <w:rPr>
          <w:rFonts w:ascii="仿宋_GB2312" w:hAnsi="黑体" w:eastAsia="仿宋_GB2312" w:cs="Times New Roman"/>
          <w:sz w:val="32"/>
          <w:szCs w:val="32"/>
        </w:rPr>
        <w:t>情况</w:t>
      </w:r>
      <w:r>
        <w:rPr>
          <w:rFonts w:hint="eastAsia" w:ascii="仿宋_GB2312" w:hAnsi="黑体" w:eastAsia="仿宋_GB2312" w:cs="Times New Roman"/>
          <w:sz w:val="32"/>
          <w:szCs w:val="32"/>
        </w:rPr>
        <w:t>：承担着全州60万人的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项社会保险（养老保险、工伤保险、失业保险、城镇居民基本养老保险）基金的征缴、审核、结算、支付、运行、管理、上解下解分配工作；负责社会保险待遇支付标准核定与发放工作；管理全州养老保险、失业保险、工伤保险工作；负责社会保险关系的登记、中断、接续、转移工作；承担全州各项社会保险的社会化管理和服务工作；管理和维护“克州社会保险管理信息系统”，负责全州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机关事业单位养老待遇、工伤保险、失业保险、城乡居民养老待遇和职业年金的征收</w:t>
      </w:r>
      <w:r>
        <w:rPr>
          <w:rFonts w:hint="eastAsia" w:ascii="仿宋_GB2312" w:hAnsi="黑体" w:eastAsia="仿宋_GB2312" w:cs="Times New Roman"/>
          <w:sz w:val="32"/>
          <w:szCs w:val="32"/>
        </w:rPr>
        <w:t>费用的审核、结算、报销及社保业务档案管理、报表定期上报工作；同时担负全州社会保险经办部门业务指导、基金监管运行分析等工作。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岗位见习补贴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落实自治区常态化疫情防控工作。克财社【2020】86号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克孜勒苏柯尔克孜自治州社会保险管理局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岗位见习补贴3人，540元/月，2021年补贴8个月。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2021年1月至2021年8月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财政拨款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540元/月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见习生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按月发放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走银行工资代发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加大了大中专学生的就业率，维护了社会稳定。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单位未安排因公出国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的开支；公务用车购置费为0，未安排预算。主要原因是压缩三公经费的开支；公务用车运行费减少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万元，主要原因是压缩三公经费的开支。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人员减少人头经费减少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万元，政府采购服务预算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333.26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11"/>
        <w:tblW w:w="9043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317"/>
        <w:gridCol w:w="604"/>
        <w:gridCol w:w="2194"/>
        <w:gridCol w:w="2681"/>
        <w:gridCol w:w="3150"/>
        <w:gridCol w:w="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54" w:hRule="atLeast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54" w:hRule="atLeast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线路租赁费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克孜勒苏柯尔克孜自治州社会保险管理局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其中：财政拨款：5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1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17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着全州60万人的九项社会保险（养老保险、工伤保险、失业保险、城镇居民基本养老保险）基金的征缴、审核、结算、支付、运行、管理、上解下解分配工作；负责社会保险待遇支付标准核定与发放工作；管理全州养老保险、失业保险、工伤保险、负责社会保险关系的登记、中断、接续、转移工作；承担全州各项社会保险的社会化管理和服务工作；管理和维护“克州社会保险管理信息系统”和“医疗保险管理信息系统”，负责全州定点医院、门诊、零售药店服务协议管理工作；填表审批、审核、结算、报销及社保业务档案管理、报表定期上报工作；同时担负全州社会保险经办部门业务指导、基金监管运行分析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租用专线网络数量（条）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信息自动化运行保障率（%）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项目完成及时率（%）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网络线路租赁标准（万元/年）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提高工作服务水平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保障就医结算日常需要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00" w:hRule="atLeast"/>
        </w:trPr>
        <w:tc>
          <w:tcPr>
            <w:tcW w:w="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11"/>
        <w:tblW w:w="8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521"/>
        <w:gridCol w:w="1605"/>
        <w:gridCol w:w="3437"/>
        <w:gridCol w:w="275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0" w:hRule="atLeast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岗位见习补贴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克孜勒苏柯尔克孜自治州社会保险管理局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其中：财政拨款：1.3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5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落实自治区常态化疫情防控工作。克财社【2020】86号，加大了大中专学生的就业率，维护了社会稳定。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岗位补贴保障率（%）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项目完成及时率（%）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岗位补贴标准（万元/月）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提高工作服务水平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保障岗位补贴需要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widowControl/>
        <w:spacing w:line="48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克孜勒苏柯尔克孜自治州社会保险管理局无其他事项说明。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</w:t>
      </w:r>
      <w:r>
        <w:rPr>
          <w:rFonts w:hint="eastAsia" w:ascii="仿宋_GB2312" w:eastAsia="仿宋_GB2312"/>
          <w:sz w:val="32"/>
          <w:szCs w:val="32"/>
          <w:lang w:eastAsia="zh-CN"/>
        </w:rPr>
        <w:t>、国有资本经营预算</w:t>
      </w:r>
      <w:r>
        <w:rPr>
          <w:rFonts w:hint="eastAsia" w:ascii="仿宋_GB2312" w:eastAsia="仿宋_GB2312"/>
          <w:sz w:val="32"/>
          <w:szCs w:val="32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、其他资金：</w:t>
      </w:r>
      <w:r>
        <w:rPr>
          <w:rFonts w:hint="eastAsia" w:ascii="仿宋_GB2312" w:eastAsia="仿宋_GB2312"/>
          <w:sz w:val="32"/>
          <w:szCs w:val="32"/>
        </w:rPr>
        <w:t>包括其他收入等。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公务用车运行费和公务接待费。其中公务用车运行费指单位公务用车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指各部门（单位）的公用经费，包括办公及差旅费、会议费、福利费、办公用房水电费、公务用车运行维护费。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克孜勒苏柯尔克孜自治州社会保险管理局</w:t>
      </w:r>
    </w:p>
    <w:p>
      <w:pPr>
        <w:widowControl/>
        <w:spacing w:line="520" w:lineRule="exact"/>
        <w:jc w:val="center"/>
        <w:rPr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31" w:y="37"/>
      <w:jc w:val="right"/>
      <w:rPr>
        <w:rStyle w:val="10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56" w:y="37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9522A"/>
    <w:rsid w:val="00121764"/>
    <w:rsid w:val="001410DA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93EEC"/>
    <w:rsid w:val="004B5A44"/>
    <w:rsid w:val="004D2619"/>
    <w:rsid w:val="004F62F9"/>
    <w:rsid w:val="00520D5A"/>
    <w:rsid w:val="006B6A8C"/>
    <w:rsid w:val="006D5EAD"/>
    <w:rsid w:val="007219F8"/>
    <w:rsid w:val="007E2CEA"/>
    <w:rsid w:val="009035BA"/>
    <w:rsid w:val="00907796"/>
    <w:rsid w:val="0096028F"/>
    <w:rsid w:val="0099744C"/>
    <w:rsid w:val="009C6198"/>
    <w:rsid w:val="00A9706D"/>
    <w:rsid w:val="00B127E0"/>
    <w:rsid w:val="00BA582F"/>
    <w:rsid w:val="00C117E5"/>
    <w:rsid w:val="00CA4E1E"/>
    <w:rsid w:val="00DC05BF"/>
    <w:rsid w:val="00E72E1E"/>
    <w:rsid w:val="00F23808"/>
    <w:rsid w:val="00F54FE8"/>
    <w:rsid w:val="00F830A1"/>
    <w:rsid w:val="00F83503"/>
    <w:rsid w:val="00F90952"/>
    <w:rsid w:val="02E274C1"/>
    <w:rsid w:val="08973B4C"/>
    <w:rsid w:val="09155887"/>
    <w:rsid w:val="091D5DBC"/>
    <w:rsid w:val="0D873062"/>
    <w:rsid w:val="0D947D80"/>
    <w:rsid w:val="0DBD458C"/>
    <w:rsid w:val="0F5506A7"/>
    <w:rsid w:val="104C253E"/>
    <w:rsid w:val="113D7CA2"/>
    <w:rsid w:val="115D0178"/>
    <w:rsid w:val="12A65F05"/>
    <w:rsid w:val="14232ACA"/>
    <w:rsid w:val="147D4BE8"/>
    <w:rsid w:val="14AD7C2C"/>
    <w:rsid w:val="14C83DDF"/>
    <w:rsid w:val="14EA0D7F"/>
    <w:rsid w:val="15C9535E"/>
    <w:rsid w:val="15CA62B2"/>
    <w:rsid w:val="16453FC1"/>
    <w:rsid w:val="16563838"/>
    <w:rsid w:val="16B61FA4"/>
    <w:rsid w:val="173700AA"/>
    <w:rsid w:val="17EA5C0F"/>
    <w:rsid w:val="1A2D081E"/>
    <w:rsid w:val="1AD73975"/>
    <w:rsid w:val="1ADB67D3"/>
    <w:rsid w:val="1C6E770C"/>
    <w:rsid w:val="1C992671"/>
    <w:rsid w:val="1CA533A4"/>
    <w:rsid w:val="1CB8585A"/>
    <w:rsid w:val="1F7E1B88"/>
    <w:rsid w:val="20253063"/>
    <w:rsid w:val="215109FB"/>
    <w:rsid w:val="22116CF7"/>
    <w:rsid w:val="223C3A0D"/>
    <w:rsid w:val="23C51557"/>
    <w:rsid w:val="240B2E9A"/>
    <w:rsid w:val="25214FC4"/>
    <w:rsid w:val="252E1EB1"/>
    <w:rsid w:val="265D0F10"/>
    <w:rsid w:val="266B7B0F"/>
    <w:rsid w:val="289C3394"/>
    <w:rsid w:val="28BA314B"/>
    <w:rsid w:val="290269BD"/>
    <w:rsid w:val="2AAA7371"/>
    <w:rsid w:val="2C5E374E"/>
    <w:rsid w:val="2D203B1D"/>
    <w:rsid w:val="2EB65FA6"/>
    <w:rsid w:val="31244695"/>
    <w:rsid w:val="33330E19"/>
    <w:rsid w:val="35DB0DD1"/>
    <w:rsid w:val="366F1946"/>
    <w:rsid w:val="36B2261A"/>
    <w:rsid w:val="37207BAD"/>
    <w:rsid w:val="37947EE4"/>
    <w:rsid w:val="394C0139"/>
    <w:rsid w:val="3A972F15"/>
    <w:rsid w:val="3EB009F9"/>
    <w:rsid w:val="3EB872E7"/>
    <w:rsid w:val="3EF16309"/>
    <w:rsid w:val="3F7147BD"/>
    <w:rsid w:val="3FAF3952"/>
    <w:rsid w:val="414C1EC9"/>
    <w:rsid w:val="425D2DBB"/>
    <w:rsid w:val="433B15EB"/>
    <w:rsid w:val="45567DFC"/>
    <w:rsid w:val="4A9B5C6A"/>
    <w:rsid w:val="4BF0705E"/>
    <w:rsid w:val="4C477745"/>
    <w:rsid w:val="4D060492"/>
    <w:rsid w:val="4D674206"/>
    <w:rsid w:val="4EA14C73"/>
    <w:rsid w:val="4EE514F8"/>
    <w:rsid w:val="4FBF3C4E"/>
    <w:rsid w:val="50AD5FB2"/>
    <w:rsid w:val="50B80127"/>
    <w:rsid w:val="522702FD"/>
    <w:rsid w:val="524B63CA"/>
    <w:rsid w:val="54B1050F"/>
    <w:rsid w:val="5630647A"/>
    <w:rsid w:val="566A323C"/>
    <w:rsid w:val="57782F9F"/>
    <w:rsid w:val="58451C20"/>
    <w:rsid w:val="59786C79"/>
    <w:rsid w:val="59E9270E"/>
    <w:rsid w:val="5AE4571C"/>
    <w:rsid w:val="5BD04F44"/>
    <w:rsid w:val="5CE37FFD"/>
    <w:rsid w:val="5D2B69EB"/>
    <w:rsid w:val="5D615190"/>
    <w:rsid w:val="5E561347"/>
    <w:rsid w:val="5FE264BC"/>
    <w:rsid w:val="607B4F03"/>
    <w:rsid w:val="61194EF6"/>
    <w:rsid w:val="61DE7F35"/>
    <w:rsid w:val="622B472A"/>
    <w:rsid w:val="641662F8"/>
    <w:rsid w:val="64751A98"/>
    <w:rsid w:val="647F30BE"/>
    <w:rsid w:val="67DD5D53"/>
    <w:rsid w:val="68021551"/>
    <w:rsid w:val="68BE0A03"/>
    <w:rsid w:val="693D3B86"/>
    <w:rsid w:val="6B4028E1"/>
    <w:rsid w:val="6BA57E1C"/>
    <w:rsid w:val="6C830213"/>
    <w:rsid w:val="71A765C5"/>
    <w:rsid w:val="72067338"/>
    <w:rsid w:val="720B50D5"/>
    <w:rsid w:val="72554AD8"/>
    <w:rsid w:val="72576D27"/>
    <w:rsid w:val="74C00F6E"/>
    <w:rsid w:val="75325F88"/>
    <w:rsid w:val="768B3A86"/>
    <w:rsid w:val="77B218BA"/>
    <w:rsid w:val="77BC17EF"/>
    <w:rsid w:val="77E9218B"/>
    <w:rsid w:val="77F15EB3"/>
    <w:rsid w:val="7A313FC4"/>
    <w:rsid w:val="7E6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link w:val="3"/>
    <w:semiHidden/>
    <w:qFormat/>
    <w:uiPriority w:val="0"/>
    <w:rPr>
      <w:sz w:val="18"/>
      <w:szCs w:val="18"/>
    </w:rPr>
  </w:style>
  <w:style w:type="character" w:customStyle="1" w:styleId="16">
    <w:name w:val="正文文本缩进 3 字符"/>
    <w:link w:val="6"/>
    <w:qFormat/>
    <w:uiPriority w:val="0"/>
    <w:rPr>
      <w:rFonts w:eastAsia="仿宋_GB2312"/>
      <w:sz w:val="32"/>
      <w:szCs w:val="24"/>
    </w:rPr>
  </w:style>
  <w:style w:type="paragraph" w:customStyle="1" w:styleId="17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8">
    <w:name w:val="正文文本缩进 3 字符1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1">
    <w:name w:val="批注框文本 字符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2401</Words>
  <Characters>13686</Characters>
  <Lines>114</Lines>
  <Paragraphs>32</Paragraphs>
  <TotalTime>17</TotalTime>
  <ScaleCrop>false</ScaleCrop>
  <LinksUpToDate>false</LinksUpToDate>
  <CharactersWithSpaces>16055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2021-01-27T08:28:00Z</dcterms:created>
  <dc:creator>薛理升</dc:creator>
  <cp:lastModifiedBy> ﹏〆学荟緈諨</cp:lastModifiedBy>
  <dcterms:modified xsi:type="dcterms:W3CDTF">2021-02-20T10:59:40Z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