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克州林草局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36"/>
          <w:szCs w:val="36"/>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克州林业和草原局</w:t>
      </w:r>
      <w:r>
        <w:rPr>
          <w:rFonts w:hint="eastAsia" w:ascii="仿宋_GB2312" w:hAnsi="宋体" w:eastAsia="仿宋_GB2312"/>
          <w:b/>
          <w:kern w:val="0"/>
          <w:sz w:val="32"/>
          <w:szCs w:val="32"/>
        </w:rPr>
        <w:t>单位概况</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克州林草局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b/>
          <w:bCs/>
          <w:color w:val="auto"/>
          <w:kern w:val="0"/>
          <w:sz w:val="32"/>
          <w:szCs w:val="32"/>
        </w:rPr>
      </w:pPr>
      <w:r>
        <w:rPr>
          <w:rFonts w:hint="eastAsia" w:ascii="黑体" w:hAnsi="黑体" w:eastAsia="黑体"/>
          <w:b/>
          <w:bCs/>
          <w:color w:val="auto"/>
          <w:kern w:val="0"/>
          <w:sz w:val="32"/>
          <w:szCs w:val="32"/>
        </w:rPr>
        <w:t xml:space="preserve">第一部分  </w:t>
      </w:r>
      <w:r>
        <w:rPr>
          <w:rFonts w:hint="eastAsia" w:ascii="黑体" w:hAnsi="黑体" w:eastAsia="黑体"/>
          <w:b/>
          <w:bCs/>
          <w:color w:val="auto"/>
          <w:kern w:val="0"/>
          <w:sz w:val="32"/>
          <w:szCs w:val="32"/>
          <w:lang w:eastAsia="zh-CN"/>
        </w:rPr>
        <w:t>克州林草局</w:t>
      </w:r>
      <w:r>
        <w:rPr>
          <w:rFonts w:hint="eastAsia" w:ascii="黑体" w:hAnsi="黑体" w:eastAsia="黑体"/>
          <w:b/>
          <w:bCs/>
          <w:color w:val="auto"/>
          <w:kern w:val="0"/>
          <w:sz w:val="32"/>
          <w:szCs w:val="32"/>
        </w:rPr>
        <w:t>单位概况</w:t>
      </w:r>
    </w:p>
    <w:p>
      <w:pPr>
        <w:widowControl/>
        <w:jc w:val="center"/>
        <w:outlineLvl w:val="1"/>
        <w:rPr>
          <w:rFonts w:ascii="宋体" w:hAnsi="宋体"/>
          <w:b/>
          <w:kern w:val="0"/>
          <w:sz w:val="32"/>
          <w:szCs w:val="32"/>
        </w:rPr>
      </w:pPr>
    </w:p>
    <w:p>
      <w:pPr>
        <w:widowControl/>
        <w:numPr>
          <w:ilvl w:val="0"/>
          <w:numId w:val="1"/>
        </w:numPr>
        <w:spacing w:line="560" w:lineRule="exact"/>
        <w:ind w:left="640" w:leftChars="0" w:firstLine="0" w:firstLineChars="0"/>
        <w:jc w:val="left"/>
        <w:rPr>
          <w:rFonts w:hint="eastAsia" w:ascii="黑体" w:hAnsi="黑体" w:eastAsia="黑体" w:cs="宋体"/>
          <w:bCs/>
          <w:kern w:val="0"/>
          <w:sz w:val="32"/>
          <w:szCs w:val="32"/>
        </w:rPr>
      </w:pPr>
      <w:r>
        <w:rPr>
          <w:rFonts w:hint="eastAsia" w:ascii="黑体" w:hAnsi="黑体" w:eastAsia="黑体" w:cs="宋体"/>
          <w:bCs/>
          <w:kern w:val="0"/>
          <w:sz w:val="32"/>
          <w:szCs w:val="32"/>
        </w:rPr>
        <w:t>主要职能</w:t>
      </w:r>
    </w:p>
    <w:p>
      <w:pPr>
        <w:widowControl/>
        <w:numPr>
          <w:ilvl w:val="0"/>
          <w:numId w:val="0"/>
        </w:numPr>
        <w:spacing w:line="560" w:lineRule="exact"/>
        <w:ind w:firstLine="640" w:firstLineChars="200"/>
        <w:jc w:val="left"/>
        <w:rPr>
          <w:rFonts w:hint="eastAsia" w:ascii="仿宋_GB2312" w:eastAsia="仿宋_GB2312"/>
          <w:sz w:val="32"/>
          <w:szCs w:val="32"/>
        </w:rPr>
      </w:pPr>
      <w:r>
        <w:rPr>
          <w:rFonts w:hint="eastAsia" w:ascii="楷体_GB2312" w:hAnsi="仿宋" w:eastAsia="楷体_GB2312"/>
          <w:sz w:val="32"/>
          <w:szCs w:val="32"/>
        </w:rPr>
        <w:t>（一）</w:t>
      </w:r>
      <w:r>
        <w:rPr>
          <w:rFonts w:hint="eastAsia" w:ascii="仿宋_GB2312" w:eastAsia="仿宋_GB2312"/>
          <w:sz w:val="32"/>
          <w:szCs w:val="32"/>
        </w:rPr>
        <w:t>贯彻执行国家、自治区关于</w:t>
      </w:r>
      <w:r>
        <w:rPr>
          <w:rFonts w:hint="eastAsia" w:ascii="仿宋_GB2312" w:eastAsia="仿宋_GB2312"/>
          <w:sz w:val="32"/>
          <w:szCs w:val="32"/>
          <w:lang w:eastAsia="zh-CN"/>
        </w:rPr>
        <w:t>林草业</w:t>
      </w:r>
      <w:r>
        <w:rPr>
          <w:rFonts w:hint="eastAsia" w:ascii="仿宋_GB2312" w:eastAsia="仿宋_GB2312"/>
          <w:sz w:val="32"/>
          <w:szCs w:val="32"/>
        </w:rPr>
        <w:t>及其生态建设的法律、法规和方针、政策；拟订全州</w:t>
      </w:r>
      <w:r>
        <w:rPr>
          <w:rFonts w:hint="eastAsia" w:ascii="仿宋_GB2312" w:eastAsia="仿宋_GB2312"/>
          <w:sz w:val="32"/>
          <w:szCs w:val="32"/>
          <w:lang w:eastAsia="zh-CN"/>
        </w:rPr>
        <w:t>林草业</w:t>
      </w:r>
      <w:r>
        <w:rPr>
          <w:rFonts w:hint="eastAsia" w:ascii="仿宋_GB2312" w:eastAsia="仿宋_GB2312"/>
          <w:sz w:val="32"/>
          <w:szCs w:val="32"/>
        </w:rPr>
        <w:t>发展战略、中长期规划，并组织实施和监督检查；组织开展全州森林资源、陆生野生动植物资源、湿地和荒漠的调查、动态监测和评估，并统一发布相关信息；承办全州</w:t>
      </w:r>
      <w:r>
        <w:rPr>
          <w:rFonts w:hint="eastAsia" w:ascii="仿宋_GB2312" w:eastAsia="仿宋_GB2312"/>
          <w:sz w:val="32"/>
          <w:szCs w:val="32"/>
          <w:lang w:eastAsia="zh-CN"/>
        </w:rPr>
        <w:t>林草业</w:t>
      </w:r>
      <w:r>
        <w:rPr>
          <w:rFonts w:hint="eastAsia" w:ascii="仿宋_GB2312" w:eastAsia="仿宋_GB2312"/>
          <w:sz w:val="32"/>
          <w:szCs w:val="32"/>
        </w:rPr>
        <w:t>生态文明建设的有关工作。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（二）组织、协调、指导和监督全州造林绿化、迹地更新、花卉等工作；指导各类公益林和商品林的培育和以植树种草等生物措施防治水土流失工作；指导、监督全民义务植树、造林绿化工作。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三）组织全州森林资源调查、动态监测和统计；审核、监督森林资源的使用；监督检查林木凭证采伐、运输；组织、指导林地、林权管理；组织实施林权登记、发证工作，依法对征用、占用林地进行审核报批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（四）组织、协调、指导和监督全州湿地保护工作。执行湿地保护的有关自治区标准和规定；组织实施建立湿地保护管理工作；监督湿地的合理利用。</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（五）组织、协调、指导和监督全州荒漠化防治工作。认真执行相关标准和规定，监督沙化土地的合理利用；组织、指导沙尘暴灾害预测预报和应急处置。</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六）依法组织、管理和指导陆生野生动植物的救护繁育、栖息地恢复发展、疫源疫病监测；负责克州范围内濒危物种进出口和国家级、自治区级保护的野生动物、珍稀树种、珍稀野生植物及其产品出疆的报批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（七）负责全州</w:t>
      </w:r>
      <w:r>
        <w:rPr>
          <w:rFonts w:hint="eastAsia" w:ascii="仿宋_GB2312" w:eastAsia="仿宋_GB2312"/>
          <w:sz w:val="32"/>
          <w:szCs w:val="32"/>
          <w:lang w:eastAsia="zh-CN"/>
        </w:rPr>
        <w:t>林草业</w:t>
      </w:r>
      <w:r>
        <w:rPr>
          <w:rFonts w:hint="eastAsia" w:ascii="仿宋_GB2312" w:eastAsia="仿宋_GB2312"/>
          <w:sz w:val="32"/>
          <w:szCs w:val="32"/>
        </w:rPr>
        <w:t>系统自然保护区的监督管理。在国家和自治区自然保护区区划、规划原则的指导下，依法指导森林、湿地、荒漠化和陆生野生动物类型自然保护区的建设和管理；监督管理</w:t>
      </w:r>
      <w:r>
        <w:rPr>
          <w:rFonts w:hint="eastAsia" w:ascii="仿宋_GB2312" w:eastAsia="仿宋_GB2312"/>
          <w:sz w:val="32"/>
          <w:szCs w:val="32"/>
          <w:lang w:eastAsia="zh-CN"/>
        </w:rPr>
        <w:t>林草业</w:t>
      </w:r>
      <w:r>
        <w:rPr>
          <w:rFonts w:hint="eastAsia" w:ascii="仿宋_GB2312" w:eastAsia="仿宋_GB2312"/>
          <w:sz w:val="32"/>
          <w:szCs w:val="32"/>
        </w:rPr>
        <w:t>生物种质资源、转基因生物安全、植物新品种保护；按分工负责生物多样性保护的有关工作。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（八）组织制订集体林权制度、国有林场等重大</w:t>
      </w:r>
      <w:r>
        <w:rPr>
          <w:rFonts w:hint="eastAsia" w:ascii="仿宋_GB2312" w:eastAsia="仿宋_GB2312"/>
          <w:sz w:val="32"/>
          <w:szCs w:val="32"/>
          <w:lang w:eastAsia="zh-CN"/>
        </w:rPr>
        <w:t>林草业</w:t>
      </w:r>
      <w:r>
        <w:rPr>
          <w:rFonts w:hint="eastAsia" w:ascii="仿宋_GB2312" w:eastAsia="仿宋_GB2312"/>
          <w:sz w:val="32"/>
          <w:szCs w:val="32"/>
        </w:rPr>
        <w:t>改革意见并指导监督实施；组织制订农村</w:t>
      </w:r>
      <w:r>
        <w:rPr>
          <w:rFonts w:hint="eastAsia" w:ascii="仿宋_GB2312" w:eastAsia="仿宋_GB2312"/>
          <w:sz w:val="32"/>
          <w:szCs w:val="32"/>
          <w:lang w:eastAsia="zh-CN"/>
        </w:rPr>
        <w:t>林草业</w:t>
      </w:r>
      <w:r>
        <w:rPr>
          <w:rFonts w:hint="eastAsia" w:ascii="仿宋_GB2312" w:eastAsia="仿宋_GB2312"/>
          <w:sz w:val="32"/>
          <w:szCs w:val="32"/>
        </w:rPr>
        <w:t>发展、维护农民经营</w:t>
      </w:r>
      <w:r>
        <w:rPr>
          <w:rFonts w:hint="eastAsia" w:ascii="仿宋_GB2312" w:eastAsia="仿宋_GB2312"/>
          <w:sz w:val="32"/>
          <w:szCs w:val="32"/>
          <w:lang w:eastAsia="zh-CN"/>
        </w:rPr>
        <w:t>林草业</w:t>
      </w:r>
      <w:r>
        <w:rPr>
          <w:rFonts w:hint="eastAsia" w:ascii="仿宋_GB2312" w:eastAsia="仿宋_GB2312"/>
          <w:sz w:val="32"/>
          <w:szCs w:val="32"/>
        </w:rPr>
        <w:t>合法权益的政策措施；指导、监督农村林地承包经营和林权流转；会同有关部门指导林权纠纷调处和林地承包合同纠纷仲裁；依法负责退耕还林工作；代表自治州人民政府指导克州平原林场、克州奥依塔克林场、克州中心苗圃的建设和管理。</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（九）监督检查全州各产业对森林、湿地、荒漠和陆生野生动植物资源的开发利用。认真执行</w:t>
      </w:r>
      <w:r>
        <w:rPr>
          <w:rFonts w:hint="eastAsia" w:ascii="仿宋_GB2312" w:eastAsia="仿宋_GB2312"/>
          <w:sz w:val="32"/>
          <w:szCs w:val="32"/>
          <w:lang w:eastAsia="zh-CN"/>
        </w:rPr>
        <w:t>林草业</w:t>
      </w:r>
      <w:r>
        <w:rPr>
          <w:rFonts w:hint="eastAsia" w:ascii="仿宋_GB2312" w:eastAsia="仿宋_GB2312"/>
          <w:sz w:val="32"/>
          <w:szCs w:val="32"/>
        </w:rPr>
        <w:t>产业国家标准并监督实施；组织指导林产品质量监督。</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（十）承办克州森林防火指挥部的具体工作；承办</w:t>
      </w:r>
      <w:r>
        <w:rPr>
          <w:rFonts w:hint="eastAsia" w:ascii="仿宋_GB2312" w:eastAsia="仿宋_GB2312"/>
          <w:sz w:val="32"/>
          <w:szCs w:val="32"/>
          <w:lang w:eastAsia="zh-CN"/>
        </w:rPr>
        <w:t>林草业</w:t>
      </w:r>
      <w:r>
        <w:rPr>
          <w:rFonts w:hint="eastAsia" w:ascii="仿宋_GB2312" w:eastAsia="仿宋_GB2312"/>
          <w:sz w:val="32"/>
          <w:szCs w:val="32"/>
        </w:rPr>
        <w:t>行政执法监管的责任；监督管理</w:t>
      </w:r>
      <w:r>
        <w:rPr>
          <w:rFonts w:hint="eastAsia" w:ascii="仿宋_GB2312" w:eastAsia="仿宋_GB2312"/>
          <w:sz w:val="32"/>
          <w:szCs w:val="32"/>
          <w:lang w:eastAsia="zh-CN"/>
        </w:rPr>
        <w:t>林草业</w:t>
      </w:r>
      <w:r>
        <w:rPr>
          <w:rFonts w:hint="eastAsia" w:ascii="仿宋_GB2312" w:eastAsia="仿宋_GB2312"/>
          <w:sz w:val="32"/>
          <w:szCs w:val="32"/>
        </w:rPr>
        <w:t>公安队伍；指导全州</w:t>
      </w:r>
      <w:r>
        <w:rPr>
          <w:rFonts w:hint="eastAsia" w:ascii="仿宋_GB2312" w:eastAsia="仿宋_GB2312"/>
          <w:sz w:val="32"/>
          <w:szCs w:val="32"/>
          <w:lang w:eastAsia="zh-CN"/>
        </w:rPr>
        <w:t>林草业</w:t>
      </w:r>
      <w:r>
        <w:rPr>
          <w:rFonts w:hint="eastAsia" w:ascii="仿宋_GB2312" w:eastAsia="仿宋_GB2312"/>
          <w:sz w:val="32"/>
          <w:szCs w:val="32"/>
        </w:rPr>
        <w:t>重大违法案件的查处；指导</w:t>
      </w:r>
      <w:r>
        <w:rPr>
          <w:rFonts w:hint="eastAsia" w:ascii="仿宋_GB2312" w:eastAsia="仿宋_GB2312"/>
          <w:sz w:val="32"/>
          <w:szCs w:val="32"/>
          <w:lang w:eastAsia="zh-CN"/>
        </w:rPr>
        <w:t>林草业</w:t>
      </w:r>
      <w:r>
        <w:rPr>
          <w:rFonts w:hint="eastAsia" w:ascii="仿宋_GB2312" w:eastAsia="仿宋_GB2312"/>
          <w:sz w:val="32"/>
          <w:szCs w:val="32"/>
        </w:rPr>
        <w:t>有害生物的防治、检疫工作。</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（十一）认真执行自治区</w:t>
      </w:r>
      <w:r>
        <w:rPr>
          <w:rFonts w:hint="eastAsia" w:ascii="仿宋_GB2312" w:eastAsia="仿宋_GB2312"/>
          <w:sz w:val="32"/>
          <w:szCs w:val="32"/>
          <w:lang w:eastAsia="zh-CN"/>
        </w:rPr>
        <w:t>林草业</w:t>
      </w:r>
      <w:r>
        <w:rPr>
          <w:rFonts w:hint="eastAsia" w:ascii="仿宋_GB2312" w:eastAsia="仿宋_GB2312"/>
          <w:sz w:val="32"/>
          <w:szCs w:val="32"/>
        </w:rPr>
        <w:t>及其生态建设的财政经济调节政策和生态补偿制度；组织制订自治州本级部门预算并组织实施；管理监督自治州本级</w:t>
      </w:r>
      <w:r>
        <w:rPr>
          <w:rFonts w:hint="eastAsia" w:ascii="仿宋_GB2312" w:eastAsia="仿宋_GB2312"/>
          <w:sz w:val="32"/>
          <w:szCs w:val="32"/>
          <w:lang w:eastAsia="zh-CN"/>
        </w:rPr>
        <w:t>林草业</w:t>
      </w:r>
      <w:r>
        <w:rPr>
          <w:rFonts w:hint="eastAsia" w:ascii="仿宋_GB2312" w:eastAsia="仿宋_GB2312"/>
          <w:sz w:val="32"/>
          <w:szCs w:val="32"/>
        </w:rPr>
        <w:t>资金；管理自治州本级</w:t>
      </w:r>
      <w:r>
        <w:rPr>
          <w:rFonts w:hint="eastAsia" w:ascii="仿宋_GB2312" w:eastAsia="仿宋_GB2312"/>
          <w:sz w:val="32"/>
          <w:szCs w:val="32"/>
          <w:lang w:eastAsia="zh-CN"/>
        </w:rPr>
        <w:t>林草业</w:t>
      </w:r>
      <w:r>
        <w:rPr>
          <w:rFonts w:hint="eastAsia" w:ascii="仿宋_GB2312" w:eastAsia="仿宋_GB2312"/>
          <w:sz w:val="32"/>
          <w:szCs w:val="32"/>
        </w:rPr>
        <w:t>国有资产；会同有关部门对自治区规划内和年度计划内固定资产投资项目进行审计。</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十二）贯彻落实国家和自治区有关林果业发展的法律、法规和方针、政策；建议起草自治州有关林果业发展的方针、政策、规程、标准，并监督执行；组织制订全州林果业发展规划和年度计划，并组织实施和监督检查；指导全州林果业的生产经营、林果业灾害综合防控体系建设。</w:t>
      </w:r>
    </w:p>
    <w:p>
      <w:pPr>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（十三）组织指导</w:t>
      </w:r>
      <w:r>
        <w:rPr>
          <w:rFonts w:hint="eastAsia" w:ascii="仿宋_GB2312" w:eastAsia="仿宋_GB2312"/>
          <w:sz w:val="32"/>
          <w:szCs w:val="32"/>
          <w:lang w:eastAsia="zh-CN"/>
        </w:rPr>
        <w:t>林草业</w:t>
      </w:r>
      <w:r>
        <w:rPr>
          <w:rFonts w:hint="eastAsia" w:ascii="仿宋_GB2312" w:eastAsia="仿宋_GB2312"/>
          <w:sz w:val="32"/>
          <w:szCs w:val="32"/>
        </w:rPr>
        <w:t>科技和教育工作；指导全州</w:t>
      </w:r>
      <w:r>
        <w:rPr>
          <w:rFonts w:hint="eastAsia" w:ascii="仿宋_GB2312" w:eastAsia="仿宋_GB2312"/>
          <w:sz w:val="32"/>
          <w:szCs w:val="32"/>
          <w:lang w:eastAsia="zh-CN"/>
        </w:rPr>
        <w:t>林草业</w:t>
      </w:r>
      <w:r>
        <w:rPr>
          <w:rFonts w:hint="eastAsia" w:ascii="仿宋_GB2312" w:eastAsia="仿宋_GB2312"/>
          <w:sz w:val="32"/>
          <w:szCs w:val="32"/>
        </w:rPr>
        <w:t>队伍建设。</w:t>
      </w:r>
    </w:p>
    <w:p>
      <w:pPr>
        <w:widowControl/>
        <w:spacing w:line="560" w:lineRule="exact"/>
        <w:ind w:firstLine="640" w:firstLineChars="200"/>
        <w:jc w:val="left"/>
        <w:rPr>
          <w:rFonts w:ascii="仿宋_GB2312" w:hAnsi="宋体" w:eastAsia="仿宋_GB2312" w:cs="宋体"/>
          <w:bCs/>
          <w:kern w:val="0"/>
          <w:sz w:val="32"/>
          <w:szCs w:val="32"/>
        </w:rPr>
      </w:pPr>
      <w:r>
        <w:rPr>
          <w:rFonts w:hint="eastAsia" w:ascii="仿宋_GB2312" w:eastAsia="仿宋_GB2312"/>
          <w:sz w:val="32"/>
          <w:szCs w:val="32"/>
        </w:rPr>
        <w:t>（十四）承办自治州人民政府及上级</w:t>
      </w:r>
      <w:r>
        <w:rPr>
          <w:rFonts w:hint="eastAsia" w:ascii="仿宋_GB2312" w:eastAsia="仿宋_GB2312"/>
          <w:sz w:val="32"/>
          <w:szCs w:val="32"/>
          <w:lang w:eastAsia="zh-CN"/>
        </w:rPr>
        <w:t>林草业</w:t>
      </w:r>
      <w:r>
        <w:rPr>
          <w:rFonts w:hint="eastAsia" w:ascii="仿宋_GB2312" w:eastAsia="仿宋_GB2312"/>
          <w:sz w:val="32"/>
          <w:szCs w:val="32"/>
        </w:rPr>
        <w:t>部门交办的其他事项。</w:t>
      </w:r>
      <w:r>
        <w:rPr>
          <w:rFonts w:hint="eastAsia" w:ascii="仿宋_GB2312" w:hAnsi="宋体" w:eastAsia="仿宋_GB2312" w:cs="宋体"/>
          <w:bCs/>
          <w:kern w:val="0"/>
          <w:sz w:val="32"/>
          <w:szCs w:val="32"/>
        </w:rPr>
        <w:t xml:space="preserve"> </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kern w:val="0"/>
          <w:sz w:val="32"/>
          <w:szCs w:val="32"/>
          <w:lang w:eastAsia="zh-CN"/>
        </w:rPr>
        <w:t>　</w:t>
      </w: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hint="eastAsia" w:ascii="仿宋_GB2312" w:eastAsia="仿宋_GB2312"/>
          <w:sz w:val="32"/>
          <w:szCs w:val="32"/>
        </w:rPr>
      </w:pPr>
      <w:r>
        <w:rPr>
          <w:rFonts w:hint="eastAsia" w:ascii="仿宋_GB2312" w:hAnsi="宋体" w:eastAsia="仿宋_GB2312"/>
          <w:kern w:val="0"/>
          <w:sz w:val="32"/>
          <w:szCs w:val="32"/>
          <w:lang w:eastAsia="zh-CN"/>
        </w:rPr>
        <w:t>克孜勒苏柯尔克孜自治州林草局</w:t>
      </w:r>
      <w:r>
        <w:rPr>
          <w:rFonts w:hint="eastAsia" w:ascii="仿宋_GB2312" w:hAnsi="黑体" w:eastAsia="仿宋_GB2312" w:cs="宋体"/>
          <w:bCs/>
          <w:kern w:val="0"/>
          <w:sz w:val="32"/>
          <w:szCs w:val="32"/>
        </w:rPr>
        <w:t>单位无下属预算单位，下设</w:t>
      </w:r>
      <w:r>
        <w:rPr>
          <w:rFonts w:hint="eastAsia" w:ascii="仿宋_GB2312" w:eastAsia="仿宋_GB2312"/>
          <w:sz w:val="32"/>
          <w:szCs w:val="32"/>
          <w:lang w:val="en-US" w:eastAsia="zh-CN"/>
        </w:rPr>
        <w:t>8</w:t>
      </w:r>
      <w:r>
        <w:rPr>
          <w:rFonts w:hint="eastAsia" w:ascii="仿宋_GB2312" w:eastAsia="仿宋_GB2312"/>
          <w:sz w:val="32"/>
          <w:szCs w:val="32"/>
        </w:rPr>
        <w:t>个</w:t>
      </w:r>
      <w:r>
        <w:rPr>
          <w:rFonts w:hint="eastAsia" w:ascii="仿宋_GB2312" w:eastAsia="仿宋_GB2312"/>
          <w:sz w:val="32"/>
          <w:szCs w:val="32"/>
          <w:lang w:eastAsia="zh-CN"/>
        </w:rPr>
        <w:t>科</w:t>
      </w:r>
      <w:r>
        <w:rPr>
          <w:rFonts w:hint="eastAsia" w:ascii="仿宋_GB2312" w:eastAsia="仿宋_GB2312"/>
          <w:sz w:val="32"/>
          <w:szCs w:val="32"/>
        </w:rPr>
        <w:t>室</w:t>
      </w:r>
      <w:r>
        <w:rPr>
          <w:rFonts w:hint="eastAsia" w:ascii="仿宋_GB2312" w:eastAsia="仿宋_GB2312"/>
          <w:sz w:val="32"/>
          <w:szCs w:val="32"/>
          <w:lang w:eastAsia="zh-CN"/>
        </w:rPr>
        <w:t>一个领导小组办公室</w:t>
      </w:r>
      <w:r>
        <w:rPr>
          <w:rFonts w:hint="eastAsia" w:ascii="仿宋_GB2312" w:eastAsia="仿宋_GB2312"/>
          <w:sz w:val="32"/>
          <w:szCs w:val="32"/>
        </w:rPr>
        <w:t>，分别是：办公室、</w:t>
      </w:r>
      <w:r>
        <w:rPr>
          <w:rFonts w:hint="eastAsia" w:ascii="仿宋_GB2312" w:eastAsia="仿宋_GB2312"/>
          <w:sz w:val="32"/>
          <w:szCs w:val="32"/>
          <w:lang w:eastAsia="zh-CN"/>
        </w:rPr>
        <w:t>业务一</w:t>
      </w:r>
      <w:r>
        <w:rPr>
          <w:rFonts w:hint="eastAsia" w:ascii="仿宋_GB2312" w:eastAsia="仿宋_GB2312"/>
          <w:sz w:val="32"/>
          <w:szCs w:val="32"/>
        </w:rPr>
        <w:t>科、</w:t>
      </w:r>
      <w:r>
        <w:rPr>
          <w:rFonts w:hint="eastAsia" w:ascii="仿宋_GB2312" w:eastAsia="仿宋_GB2312"/>
          <w:sz w:val="32"/>
          <w:szCs w:val="32"/>
          <w:lang w:eastAsia="zh-CN"/>
        </w:rPr>
        <w:t>业务二</w:t>
      </w:r>
      <w:r>
        <w:rPr>
          <w:rFonts w:hint="eastAsia" w:ascii="仿宋_GB2312" w:eastAsia="仿宋_GB2312"/>
          <w:sz w:val="32"/>
          <w:szCs w:val="32"/>
        </w:rPr>
        <w:t>科、州绿化委员会办公室、州护林防火指挥部办公室、州林业有害生物防治检疫局、州野生动植物保护管理办公室、州林木种苗管理站、州防沙治沙工作协调领导小组办公室。</w:t>
      </w:r>
    </w:p>
    <w:p>
      <w:pPr>
        <w:widowControl/>
        <w:spacing w:line="560" w:lineRule="exact"/>
        <w:ind w:firstLine="640"/>
        <w:jc w:val="left"/>
        <w:rPr>
          <w:rFonts w:hint="eastAsia" w:ascii="仿宋_GB2312" w:hAnsi="宋体" w:eastAsia="仿宋_GB2312" w:cs="宋体"/>
          <w:color w:val="auto"/>
          <w:kern w:val="0"/>
          <w:sz w:val="32"/>
          <w:szCs w:val="32"/>
        </w:rPr>
      </w:pPr>
      <w:r>
        <w:rPr>
          <w:rFonts w:hint="eastAsia" w:ascii="仿宋_GB2312" w:hAnsi="宋体" w:eastAsia="仿宋_GB2312"/>
          <w:color w:val="auto"/>
          <w:kern w:val="0"/>
          <w:sz w:val="32"/>
          <w:szCs w:val="32"/>
          <w:lang w:eastAsia="zh-CN"/>
        </w:rPr>
        <w:t>克州林草局</w:t>
      </w:r>
      <w:r>
        <w:rPr>
          <w:rFonts w:hint="eastAsia" w:ascii="仿宋_GB2312" w:hAnsi="宋体" w:eastAsia="仿宋_GB2312" w:cs="宋体"/>
          <w:color w:val="auto"/>
          <w:kern w:val="0"/>
          <w:sz w:val="32"/>
          <w:szCs w:val="32"/>
        </w:rPr>
        <w:t>单位编制数</w:t>
      </w:r>
      <w:r>
        <w:rPr>
          <w:rFonts w:hint="eastAsia" w:ascii="仿宋_GB2312" w:hAnsi="宋体" w:eastAsia="仿宋_GB2312" w:cs="宋体"/>
          <w:color w:val="auto"/>
          <w:kern w:val="0"/>
          <w:sz w:val="32"/>
          <w:szCs w:val="32"/>
          <w:lang w:val="en-US" w:eastAsia="zh-CN"/>
        </w:rPr>
        <w:t>40</w:t>
      </w:r>
      <w:r>
        <w:rPr>
          <w:rFonts w:hint="eastAsia" w:ascii="仿宋_GB2312" w:hAnsi="宋体" w:eastAsia="仿宋_GB2312" w:cs="宋体"/>
          <w:color w:val="auto"/>
          <w:kern w:val="0"/>
          <w:sz w:val="32"/>
          <w:szCs w:val="32"/>
        </w:rPr>
        <w:t>，实有人数</w:t>
      </w:r>
      <w:r>
        <w:rPr>
          <w:rFonts w:hint="eastAsia" w:ascii="仿宋_GB2312" w:hAnsi="宋体" w:eastAsia="仿宋_GB2312" w:cs="宋体"/>
          <w:color w:val="auto"/>
          <w:kern w:val="0"/>
          <w:sz w:val="32"/>
          <w:szCs w:val="32"/>
          <w:lang w:val="en-US" w:eastAsia="zh-CN"/>
        </w:rPr>
        <w:t>42</w:t>
      </w:r>
      <w:r>
        <w:rPr>
          <w:rFonts w:hint="eastAsia" w:ascii="仿宋_GB2312" w:hAnsi="宋体" w:eastAsia="仿宋_GB2312" w:cs="宋体"/>
          <w:color w:val="auto"/>
          <w:kern w:val="0"/>
          <w:sz w:val="32"/>
          <w:szCs w:val="32"/>
        </w:rPr>
        <w:t>人，其中：在职</w:t>
      </w:r>
      <w:r>
        <w:rPr>
          <w:rFonts w:hint="eastAsia" w:ascii="仿宋_GB2312" w:hAnsi="宋体" w:eastAsia="仿宋_GB2312" w:cs="宋体"/>
          <w:color w:val="auto"/>
          <w:kern w:val="0"/>
          <w:sz w:val="32"/>
          <w:szCs w:val="32"/>
          <w:lang w:val="en-US" w:eastAsia="zh-CN"/>
        </w:rPr>
        <w:t>37</w:t>
      </w:r>
      <w:r>
        <w:rPr>
          <w:rFonts w:hint="eastAsia" w:ascii="仿宋_GB2312" w:hAnsi="宋体" w:eastAsia="仿宋_GB2312" w:cs="宋体"/>
          <w:color w:val="auto"/>
          <w:kern w:val="0"/>
          <w:sz w:val="32"/>
          <w:szCs w:val="32"/>
        </w:rPr>
        <w:t>人，减少</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退休</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人，增加或减少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人；离休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 xml:space="preserve"> 人，增加或减少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人。</w:t>
      </w:r>
    </w:p>
    <w:p>
      <w:pPr>
        <w:widowControl/>
        <w:spacing w:line="560" w:lineRule="exact"/>
        <w:ind w:firstLine="640"/>
        <w:jc w:val="left"/>
        <w:rPr>
          <w:rFonts w:hint="eastAsia" w:ascii="仿宋_GB2312" w:hAnsi="宋体" w:eastAsia="仿宋_GB2312" w:cs="宋体"/>
          <w:color w:val="auto"/>
          <w:kern w:val="0"/>
          <w:sz w:val="32"/>
          <w:szCs w:val="32"/>
        </w:rPr>
      </w:pPr>
    </w:p>
    <w:p>
      <w:pPr>
        <w:widowControl/>
        <w:spacing w:line="560" w:lineRule="exact"/>
        <w:ind w:firstLine="640"/>
        <w:jc w:val="left"/>
        <w:rPr>
          <w:rFonts w:hint="eastAsia" w:ascii="仿宋_GB2312" w:hAnsi="宋体" w:eastAsia="仿宋_GB2312" w:cs="宋体"/>
          <w:color w:val="auto"/>
          <w:kern w:val="0"/>
          <w:sz w:val="32"/>
          <w:szCs w:val="32"/>
        </w:rPr>
      </w:pPr>
    </w:p>
    <w:p>
      <w:pPr>
        <w:widowControl/>
        <w:spacing w:line="560" w:lineRule="exact"/>
        <w:ind w:firstLine="64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克州林业和草原局</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547.45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547.45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743.45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691.45</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52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743.45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743.45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克州林业和草原局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0"/>
        <w:tblW w:w="10620" w:type="dxa"/>
        <w:tblInd w:w="-450" w:type="dxa"/>
        <w:tblLayout w:type="fixed"/>
        <w:tblCellMar>
          <w:top w:w="0" w:type="dxa"/>
          <w:left w:w="108" w:type="dxa"/>
          <w:bottom w:w="0" w:type="dxa"/>
          <w:right w:w="108" w:type="dxa"/>
        </w:tblCellMar>
      </w:tblPr>
      <w:tblGrid>
        <w:gridCol w:w="521"/>
        <w:gridCol w:w="449"/>
        <w:gridCol w:w="434"/>
        <w:gridCol w:w="1336"/>
        <w:gridCol w:w="816"/>
        <w:gridCol w:w="834"/>
        <w:gridCol w:w="466"/>
        <w:gridCol w:w="534"/>
        <w:gridCol w:w="512"/>
        <w:gridCol w:w="535"/>
        <w:gridCol w:w="740"/>
        <w:gridCol w:w="683"/>
        <w:gridCol w:w="705"/>
        <w:gridCol w:w="703"/>
        <w:gridCol w:w="1352"/>
      </w:tblGrid>
      <w:tr>
        <w:tblPrEx>
          <w:tblLayout w:type="fixed"/>
          <w:tblCellMar>
            <w:top w:w="0" w:type="dxa"/>
            <w:left w:w="108" w:type="dxa"/>
            <w:bottom w:w="0" w:type="dxa"/>
            <w:right w:w="108" w:type="dxa"/>
          </w:tblCellMar>
        </w:tblPrEx>
        <w:trPr>
          <w:trHeight w:val="526" w:hRule="atLeast"/>
        </w:trPr>
        <w:tc>
          <w:tcPr>
            <w:tcW w:w="14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3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5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35"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8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705"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7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3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2"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33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3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6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1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5"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5"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70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35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213　</w:t>
            </w:r>
          </w:p>
        </w:tc>
        <w:tc>
          <w:tcPr>
            <w:tcW w:w="44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02　</w:t>
            </w:r>
          </w:p>
        </w:tc>
        <w:tc>
          <w:tcPr>
            <w:tcW w:w="434"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01</w:t>
            </w:r>
          </w:p>
        </w:tc>
        <w:tc>
          <w:tcPr>
            <w:tcW w:w="1336"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行政运行　</w:t>
            </w:r>
          </w:p>
        </w:tc>
        <w:tc>
          <w:tcPr>
            <w:tcW w:w="816" w:type="dxa"/>
            <w:tcBorders>
              <w:top w:val="nil"/>
              <w:left w:val="nil"/>
              <w:bottom w:val="single" w:color="auto" w:sz="4" w:space="0"/>
              <w:right w:val="single" w:color="auto" w:sz="4" w:space="0"/>
            </w:tcBorders>
            <w:shd w:val="clear" w:color="auto" w:fill="auto"/>
            <w:vAlign w:val="top"/>
          </w:tcPr>
          <w:p>
            <w:pPr>
              <w:jc w:val="lef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533.45</w:t>
            </w:r>
          </w:p>
        </w:tc>
        <w:tc>
          <w:tcPr>
            <w:tcW w:w="834" w:type="dxa"/>
            <w:tcBorders>
              <w:top w:val="nil"/>
              <w:left w:val="nil"/>
              <w:bottom w:val="single" w:color="auto" w:sz="4" w:space="0"/>
              <w:right w:val="single" w:color="auto" w:sz="4" w:space="0"/>
            </w:tcBorders>
            <w:shd w:val="clear" w:color="auto" w:fill="auto"/>
            <w:vAlign w:val="top"/>
          </w:tcPr>
          <w:p>
            <w:pPr>
              <w:jc w:val="lef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533.45</w:t>
            </w:r>
          </w:p>
        </w:tc>
        <w:tc>
          <w:tcPr>
            <w:tcW w:w="466" w:type="dxa"/>
            <w:tcBorders>
              <w:top w:val="nil"/>
              <w:left w:val="nil"/>
              <w:bottom w:val="single" w:color="auto" w:sz="4" w:space="0"/>
              <w:right w:val="single" w:color="auto" w:sz="4" w:space="0"/>
            </w:tcBorders>
            <w:shd w:val="clear" w:color="000000" w:fill="FFFFFF"/>
            <w:vAlign w:val="top"/>
          </w:tcPr>
          <w:p>
            <w:pPr>
              <w:jc w:val="left"/>
              <w:rPr>
                <w:rFonts w:hint="eastAsia" w:ascii="仿宋_GB2312" w:eastAsia="仿宋_GB2312"/>
                <w:color w:val="000000"/>
                <w:sz w:val="20"/>
                <w:szCs w:val="20"/>
                <w:lang w:val="en-US" w:eastAsia="zh-CN"/>
              </w:rPr>
            </w:pPr>
          </w:p>
        </w:tc>
        <w:tc>
          <w:tcPr>
            <w:tcW w:w="534" w:type="dxa"/>
            <w:tcBorders>
              <w:top w:val="nil"/>
              <w:left w:val="nil"/>
              <w:bottom w:val="single" w:color="auto" w:sz="4" w:space="0"/>
              <w:right w:val="single" w:color="auto" w:sz="4" w:space="0"/>
            </w:tcBorders>
            <w:shd w:val="clear" w:color="000000" w:fill="FFFFFF"/>
            <w:vAlign w:val="top"/>
          </w:tcPr>
          <w:p>
            <w:pPr>
              <w:jc w:val="left"/>
              <w:rPr>
                <w:rFonts w:hint="eastAsia" w:ascii="仿宋_GB2312" w:eastAsia="仿宋_GB2312"/>
                <w:color w:val="000000"/>
                <w:sz w:val="20"/>
                <w:szCs w:val="20"/>
                <w:lang w:val="en-US" w:eastAsia="zh-CN"/>
              </w:rPr>
            </w:pPr>
          </w:p>
        </w:tc>
        <w:tc>
          <w:tcPr>
            <w:tcW w:w="512" w:type="dxa"/>
            <w:tcBorders>
              <w:top w:val="nil"/>
              <w:left w:val="nil"/>
              <w:bottom w:val="single" w:color="auto" w:sz="4" w:space="0"/>
              <w:right w:val="single" w:color="auto" w:sz="4" w:space="0"/>
            </w:tcBorders>
            <w:shd w:val="clear" w:color="000000" w:fill="FFFFFF"/>
            <w:vAlign w:val="top"/>
          </w:tcPr>
          <w:p>
            <w:pPr>
              <w:jc w:val="left"/>
              <w:rPr>
                <w:rFonts w:ascii="仿宋_GB2312" w:hAnsi="宋体" w:eastAsia="仿宋_GB2312" w:cs="宋体"/>
                <w:color w:val="000000"/>
                <w:sz w:val="20"/>
                <w:szCs w:val="20"/>
                <w:highlight w:val="yellow"/>
              </w:rPr>
            </w:pPr>
          </w:p>
        </w:tc>
        <w:tc>
          <w:tcPr>
            <w:tcW w:w="535" w:type="dxa"/>
            <w:tcBorders>
              <w:top w:val="single" w:color="auto" w:sz="4" w:space="0"/>
              <w:left w:val="nil"/>
              <w:bottom w:val="single" w:color="auto" w:sz="4" w:space="0"/>
              <w:right w:val="single" w:color="auto" w:sz="4" w:space="0"/>
            </w:tcBorders>
            <w:shd w:val="clear" w:color="000000" w:fill="FFFFFF"/>
            <w:vAlign w:val="top"/>
          </w:tcPr>
          <w:p>
            <w:pPr>
              <w:jc w:val="left"/>
              <w:rPr>
                <w:rFonts w:ascii="仿宋_GB2312" w:eastAsia="仿宋_GB2312"/>
                <w:color w:val="000000"/>
                <w:sz w:val="20"/>
                <w:szCs w:val="20"/>
                <w:highlight w:val="yellow"/>
              </w:rPr>
            </w:pPr>
          </w:p>
        </w:tc>
        <w:tc>
          <w:tcPr>
            <w:tcW w:w="740" w:type="dxa"/>
            <w:tcBorders>
              <w:top w:val="nil"/>
              <w:left w:val="single" w:color="auto" w:sz="4" w:space="0"/>
              <w:bottom w:val="single" w:color="auto" w:sz="4" w:space="0"/>
              <w:right w:val="single" w:color="auto" w:sz="4" w:space="0"/>
            </w:tcBorders>
            <w:shd w:val="clear" w:color="000000" w:fill="FFFFFF"/>
            <w:vAlign w:val="top"/>
          </w:tcPr>
          <w:p>
            <w:pPr>
              <w:jc w:val="left"/>
              <w:rPr>
                <w:rFonts w:ascii="仿宋_GB2312" w:hAnsi="宋体" w:eastAsia="仿宋_GB2312" w:cs="宋体"/>
                <w:color w:val="000000"/>
                <w:sz w:val="20"/>
                <w:szCs w:val="20"/>
                <w:highlight w:val="yellow"/>
              </w:rPr>
            </w:pPr>
          </w:p>
        </w:tc>
        <w:tc>
          <w:tcPr>
            <w:tcW w:w="683" w:type="dxa"/>
            <w:tcBorders>
              <w:top w:val="nil"/>
              <w:left w:val="nil"/>
              <w:bottom w:val="single" w:color="auto" w:sz="4" w:space="0"/>
              <w:right w:val="single" w:color="auto" w:sz="4" w:space="0"/>
            </w:tcBorders>
            <w:shd w:val="clear" w:color="000000" w:fill="FFFFFF"/>
            <w:vAlign w:val="top"/>
          </w:tcPr>
          <w:p>
            <w:pPr>
              <w:jc w:val="left"/>
              <w:rPr>
                <w:rFonts w:ascii="仿宋_GB2312" w:hAnsi="宋体" w:eastAsia="仿宋_GB2312" w:cs="宋体"/>
                <w:color w:val="000000"/>
                <w:sz w:val="20"/>
                <w:szCs w:val="20"/>
                <w:highlight w:val="yellow"/>
              </w:rPr>
            </w:pPr>
          </w:p>
        </w:tc>
        <w:tc>
          <w:tcPr>
            <w:tcW w:w="705" w:type="dxa"/>
            <w:tcBorders>
              <w:top w:val="single" w:color="auto" w:sz="4" w:space="0"/>
              <w:left w:val="nil"/>
              <w:bottom w:val="single" w:color="auto" w:sz="4" w:space="0"/>
              <w:right w:val="single" w:color="auto" w:sz="4" w:space="0"/>
            </w:tcBorders>
            <w:shd w:val="clear" w:color="000000" w:fill="FFFFFF"/>
            <w:vAlign w:val="top"/>
          </w:tcPr>
          <w:p>
            <w:pPr>
              <w:jc w:val="left"/>
              <w:rPr>
                <w:rFonts w:hint="eastAsia" w:ascii="仿宋_GB2312" w:eastAsia="仿宋_GB2312"/>
                <w:color w:val="000000"/>
                <w:sz w:val="20"/>
                <w:szCs w:val="20"/>
                <w:highlight w:val="yellow"/>
                <w:lang w:val="en-US" w:eastAsia="zh-CN"/>
              </w:rPr>
            </w:pPr>
          </w:p>
        </w:tc>
        <w:tc>
          <w:tcPr>
            <w:tcW w:w="703" w:type="dxa"/>
            <w:tcBorders>
              <w:top w:val="nil"/>
              <w:left w:val="single" w:color="auto" w:sz="4" w:space="0"/>
              <w:bottom w:val="single" w:color="auto" w:sz="4" w:space="0"/>
              <w:right w:val="single" w:color="auto" w:sz="4" w:space="0"/>
            </w:tcBorders>
            <w:shd w:val="clear" w:color="000000" w:fill="FFFFFF"/>
            <w:vAlign w:val="top"/>
          </w:tcPr>
          <w:p>
            <w:pPr>
              <w:jc w:val="left"/>
              <w:rPr>
                <w:rFonts w:ascii="仿宋_GB2312" w:hAnsi="宋体" w:eastAsia="仿宋_GB2312" w:cs="宋体"/>
                <w:color w:val="000000"/>
                <w:sz w:val="20"/>
                <w:szCs w:val="20"/>
                <w:highlight w:val="yellow"/>
              </w:rPr>
            </w:pPr>
          </w:p>
        </w:tc>
        <w:tc>
          <w:tcPr>
            <w:tcW w:w="1352" w:type="dxa"/>
            <w:tcBorders>
              <w:top w:val="nil"/>
              <w:left w:val="nil"/>
              <w:bottom w:val="single" w:color="auto" w:sz="4" w:space="0"/>
              <w:right w:val="single" w:color="auto" w:sz="4" w:space="0"/>
            </w:tcBorders>
            <w:shd w:val="clear" w:color="000000" w:fill="FFFFFF"/>
            <w:vAlign w:val="top"/>
          </w:tcPr>
          <w:p>
            <w:pPr>
              <w:jc w:val="left"/>
              <w:rPr>
                <w:rFonts w:hint="eastAsia" w:ascii="仿宋_GB2312" w:hAnsi="宋体" w:eastAsia="仿宋_GB2312" w:cs="宋体"/>
                <w:color w:val="000000"/>
                <w:sz w:val="20"/>
                <w:szCs w:val="20"/>
                <w:highlight w:val="yellow"/>
                <w:lang w:val="en-US" w:eastAsia="zh-CN"/>
              </w:rPr>
            </w:pP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02</w:t>
            </w:r>
          </w:p>
        </w:tc>
        <w:tc>
          <w:tcPr>
            <w:tcW w:w="434" w:type="dxa"/>
            <w:tcBorders>
              <w:top w:val="nil"/>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34</w:t>
            </w:r>
          </w:p>
        </w:tc>
        <w:tc>
          <w:tcPr>
            <w:tcW w:w="13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林业草原防灾减灾　</w:t>
            </w:r>
          </w:p>
        </w:tc>
        <w:tc>
          <w:tcPr>
            <w:tcW w:w="816"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10</w:t>
            </w: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vAlign w:val="top"/>
          </w:tcPr>
          <w:p>
            <w:pPr>
              <w:jc w:val="lef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10</w:t>
            </w:r>
          </w:p>
        </w:tc>
        <w:tc>
          <w:tcPr>
            <w:tcW w:w="740"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vAlign w:val="top"/>
          </w:tcPr>
          <w:p>
            <w:pPr>
              <w:jc w:val="lef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top"/>
          </w:tcPr>
          <w:p>
            <w:pPr>
              <w:ind w:right="400"/>
              <w:jc w:val="left"/>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02</w:t>
            </w:r>
          </w:p>
        </w:tc>
        <w:tc>
          <w:tcPr>
            <w:tcW w:w="434" w:type="dxa"/>
            <w:tcBorders>
              <w:top w:val="nil"/>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07</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森林资源管理</w:t>
            </w:r>
          </w:p>
        </w:tc>
        <w:tc>
          <w:tcPr>
            <w:tcW w:w="816"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32</w:t>
            </w: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vAlign w:val="top"/>
          </w:tcPr>
          <w:p>
            <w:pPr>
              <w:jc w:val="lef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20</w:t>
            </w:r>
          </w:p>
        </w:tc>
        <w:tc>
          <w:tcPr>
            <w:tcW w:w="740"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vAlign w:val="top"/>
          </w:tcPr>
          <w:p>
            <w:pPr>
              <w:jc w:val="lef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top"/>
          </w:tcPr>
          <w:p>
            <w:pPr>
              <w:ind w:right="400"/>
              <w:jc w:val="left"/>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12</w:t>
            </w:r>
          </w:p>
        </w:tc>
      </w:tr>
      <w:tr>
        <w:tblPrEx>
          <w:tblLayout w:type="fixed"/>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02</w:t>
            </w:r>
          </w:p>
        </w:tc>
        <w:tc>
          <w:tcPr>
            <w:tcW w:w="434" w:type="dxa"/>
            <w:tcBorders>
              <w:top w:val="nil"/>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09</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森林生态效益补偿</w:t>
            </w:r>
          </w:p>
        </w:tc>
        <w:tc>
          <w:tcPr>
            <w:tcW w:w="816"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65</w:t>
            </w: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vAlign w:val="top"/>
          </w:tcPr>
          <w:p>
            <w:pPr>
              <w:jc w:val="lef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50</w:t>
            </w:r>
          </w:p>
        </w:tc>
        <w:tc>
          <w:tcPr>
            <w:tcW w:w="740"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vAlign w:val="top"/>
          </w:tcPr>
          <w:p>
            <w:pPr>
              <w:jc w:val="lef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top"/>
          </w:tcPr>
          <w:p>
            <w:pPr>
              <w:ind w:right="400"/>
              <w:jc w:val="left"/>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15</w:t>
            </w: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02</w:t>
            </w:r>
          </w:p>
        </w:tc>
        <w:tc>
          <w:tcPr>
            <w:tcW w:w="434" w:type="dxa"/>
            <w:tcBorders>
              <w:top w:val="nil"/>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99</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其他林业和草原支出</w:t>
            </w:r>
          </w:p>
        </w:tc>
        <w:tc>
          <w:tcPr>
            <w:tcW w:w="816"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103　</w:t>
            </w:r>
          </w:p>
        </w:tc>
        <w:tc>
          <w:tcPr>
            <w:tcW w:w="834"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14</w:t>
            </w: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vAlign w:val="top"/>
          </w:tcPr>
          <w:p>
            <w:pPr>
              <w:jc w:val="lef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40</w:t>
            </w:r>
          </w:p>
        </w:tc>
        <w:tc>
          <w:tcPr>
            <w:tcW w:w="740"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vAlign w:val="top"/>
          </w:tcPr>
          <w:p>
            <w:pPr>
              <w:jc w:val="lef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24</w:t>
            </w:r>
          </w:p>
        </w:tc>
        <w:tc>
          <w:tcPr>
            <w:tcW w:w="703" w:type="dxa"/>
            <w:tcBorders>
              <w:top w:val="nil"/>
              <w:left w:val="single" w:color="auto" w:sz="4" w:space="0"/>
              <w:bottom w:val="single" w:color="auto" w:sz="4" w:space="0"/>
              <w:right w:val="single" w:color="auto" w:sz="4" w:space="0"/>
            </w:tcBorders>
            <w:shd w:val="clear" w:color="auto" w:fill="auto"/>
            <w:vAlign w:val="top"/>
          </w:tcPr>
          <w:p>
            <w:pPr>
              <w:jc w:val="lef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top"/>
          </w:tcPr>
          <w:p>
            <w:pPr>
              <w:ind w:right="400"/>
              <w:jc w:val="left"/>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25</w:t>
            </w: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PrEx>
        <w:trPr>
          <w:trHeight w:val="4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556"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540"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4"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2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57"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PrEx>
        <w:trPr>
          <w:trHeight w:val="37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2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83" w:hRule="atLeast"/>
        </w:trPr>
        <w:tc>
          <w:tcPr>
            <w:tcW w:w="52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743.45　</w:t>
            </w:r>
          </w:p>
        </w:tc>
        <w:tc>
          <w:tcPr>
            <w:tcW w:w="8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547.45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single" w:color="auto" w:sz="4" w:space="0"/>
              <w:left w:val="nil"/>
              <w:bottom w:val="single" w:color="auto" w:sz="4" w:space="0"/>
              <w:right w:val="single" w:color="auto" w:sz="4" w:space="0"/>
            </w:tcBorders>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120</w:t>
            </w:r>
          </w:p>
        </w:tc>
        <w:tc>
          <w:tcPr>
            <w:tcW w:w="74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24</w:t>
            </w:r>
          </w:p>
        </w:tc>
        <w:tc>
          <w:tcPr>
            <w:tcW w:w="70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rPr>
              <w:t>　</w:t>
            </w:r>
            <w:r>
              <w:rPr>
                <w:rFonts w:hint="eastAsia" w:ascii="仿宋_GB2312" w:hAnsi="宋体" w:eastAsia="仿宋_GB2312" w:cs="宋体"/>
                <w:color w:val="000000"/>
                <w:sz w:val="20"/>
                <w:szCs w:val="20"/>
                <w:lang w:val="en-US" w:eastAsia="zh-CN"/>
              </w:rPr>
              <w:t>52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克州林业和草原局</w:t>
      </w:r>
      <w:r>
        <w:rPr>
          <w:rFonts w:hint="eastAsia" w:ascii="仿宋_GB2312" w:hAnsi="宋体" w:eastAsia="仿宋_GB2312"/>
          <w:kern w:val="0"/>
          <w:sz w:val="24"/>
        </w:rPr>
        <w:t xml:space="preserve">              单位：万元</w:t>
      </w:r>
    </w:p>
    <w:tbl>
      <w:tblPr>
        <w:tblStyle w:val="10"/>
        <w:tblW w:w="9420" w:type="dxa"/>
        <w:tblInd w:w="-240" w:type="dxa"/>
        <w:tblLayout w:type="fixed"/>
        <w:tblCellMar>
          <w:top w:w="0" w:type="dxa"/>
          <w:left w:w="108" w:type="dxa"/>
          <w:bottom w:w="0" w:type="dxa"/>
          <w:right w:w="108" w:type="dxa"/>
        </w:tblCellMar>
      </w:tblPr>
      <w:tblGrid>
        <w:gridCol w:w="496"/>
        <w:gridCol w:w="417"/>
        <w:gridCol w:w="400"/>
        <w:gridCol w:w="2492"/>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000000"/>
                <w:kern w:val="0"/>
                <w:sz w:val="16"/>
                <w:szCs w:val="16"/>
                <w:lang w:val="en-US" w:eastAsia="zh-CN"/>
              </w:rPr>
            </w:pPr>
            <w:r>
              <w:rPr>
                <w:rFonts w:hint="eastAsia" w:ascii="宋体" w:hAnsi="宋体" w:eastAsia="宋体" w:cs="宋体"/>
                <w:i w:val="0"/>
                <w:color w:val="000000"/>
                <w:kern w:val="0"/>
                <w:sz w:val="18"/>
                <w:szCs w:val="18"/>
                <w:u w:val="none"/>
                <w:lang w:val="en-US" w:eastAsia="zh-CN" w:bidi="ar"/>
              </w:rPr>
              <w:t>01</w:t>
            </w: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行政运行（林业）</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533.45 </w:t>
            </w:r>
          </w:p>
        </w:tc>
        <w:tc>
          <w:tcPr>
            <w:tcW w:w="1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533.45 </w:t>
            </w:r>
          </w:p>
        </w:tc>
        <w:tc>
          <w:tcPr>
            <w:tcW w:w="1904"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34</w:t>
            </w: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林业草原防灾减灾</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c>
          <w:tcPr>
            <w:tcW w:w="185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07</w:t>
            </w: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森林资源管理</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32.00 </w:t>
            </w:r>
          </w:p>
        </w:tc>
        <w:tc>
          <w:tcPr>
            <w:tcW w:w="185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32.00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99</w:t>
            </w: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其他林业和草原支出</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103.00 </w:t>
            </w:r>
          </w:p>
        </w:tc>
        <w:tc>
          <w:tcPr>
            <w:tcW w:w="185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103.00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213</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02</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09</w:t>
            </w:r>
          </w:p>
        </w:tc>
        <w:tc>
          <w:tcPr>
            <w:tcW w:w="2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森林生态效益补偿</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65.00 </w:t>
            </w:r>
          </w:p>
        </w:tc>
        <w:tc>
          <w:tcPr>
            <w:tcW w:w="185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65.00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 xml:space="preserve">743.45 </w:t>
            </w:r>
          </w:p>
        </w:tc>
        <w:tc>
          <w:tcPr>
            <w:tcW w:w="1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 xml:space="preserve">533.45 </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 xml:space="preserve">210.00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lang w:eastAsia="zh-CN"/>
        </w:rPr>
        <w:t>克州林业和草原局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8"/>
          <w:szCs w:val="28"/>
        </w:rPr>
        <w:t xml:space="preserve">    </w:t>
      </w:r>
      <w:r>
        <w:rPr>
          <w:rFonts w:hint="eastAsia" w:ascii="仿宋_GB2312" w:hAnsi="宋体" w:eastAsia="仿宋_GB2312"/>
          <w:kern w:val="0"/>
          <w:sz w:val="28"/>
          <w:szCs w:val="28"/>
          <w:lang w:val="en-US" w:eastAsia="zh-CN"/>
        </w:rPr>
        <w:t xml:space="preserve">                   </w:t>
      </w:r>
      <w:r>
        <w:rPr>
          <w:rFonts w:hint="eastAsia" w:ascii="仿宋_GB2312" w:hAnsi="宋体" w:eastAsia="仿宋_GB2312"/>
          <w:kern w:val="0"/>
          <w:sz w:val="28"/>
          <w:szCs w:val="28"/>
        </w:rPr>
        <w:t xml:space="preserve"> 单位：万元</w:t>
      </w:r>
    </w:p>
    <w:tbl>
      <w:tblPr>
        <w:tblStyle w:val="10"/>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547.45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547.45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547.45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547.45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547.45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547.45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547.45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564"/>
        <w:gridCol w:w="2363"/>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克州林业和草原局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62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3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36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b/>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宋体"/>
                <w:b/>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02</w:t>
            </w:r>
          </w:p>
        </w:tc>
        <w:tc>
          <w:tcPr>
            <w:tcW w:w="5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宋体"/>
                <w:b/>
                <w:color w:val="000000"/>
                <w:kern w:val="0"/>
                <w:sz w:val="20"/>
                <w:szCs w:val="20"/>
                <w:lang w:val="en-US" w:eastAsia="zh-CN"/>
              </w:rPr>
            </w:pPr>
            <w:r>
              <w:rPr>
                <w:rFonts w:hint="eastAsia" w:ascii="宋体" w:hAnsi="宋体" w:eastAsia="宋体" w:cs="宋体"/>
                <w:i w:val="0"/>
                <w:color w:val="000000"/>
                <w:kern w:val="0"/>
                <w:sz w:val="18"/>
                <w:szCs w:val="18"/>
                <w:u w:val="none"/>
                <w:lang w:val="en-US" w:eastAsia="zh-CN" w:bidi="ar"/>
              </w:rPr>
              <w:t>01</w:t>
            </w:r>
          </w:p>
        </w:tc>
        <w:tc>
          <w:tcPr>
            <w:tcW w:w="23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b/>
                <w:bCs w:val="0"/>
                <w:color w:val="000000"/>
                <w:kern w:val="0"/>
                <w:sz w:val="20"/>
                <w:szCs w:val="20"/>
              </w:rPr>
            </w:pPr>
            <w:r>
              <w:rPr>
                <w:rFonts w:hint="eastAsia" w:ascii="宋体" w:hAnsi="宋体" w:eastAsia="宋体" w:cs="宋体"/>
                <w:i w:val="0"/>
                <w:color w:val="000000"/>
                <w:kern w:val="0"/>
                <w:sz w:val="18"/>
                <w:szCs w:val="18"/>
                <w:u w:val="none"/>
                <w:lang w:val="en-US" w:eastAsia="zh-CN" w:bidi="ar"/>
              </w:rPr>
              <w:t>行政运行（林业）</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b/>
                <w:bCs w:val="0"/>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533.45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533.45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213</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5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3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其他林业和草原支出</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14.00 </w:t>
            </w:r>
          </w:p>
        </w:tc>
        <w:tc>
          <w:tcPr>
            <w:tcW w:w="18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14.00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3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547.45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533.45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14.00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bookmarkStart w:id="0" w:name="_GoBack"/>
      <w:bookmarkEnd w:id="0"/>
    </w:p>
    <w:tbl>
      <w:tblPr>
        <w:tblStyle w:val="10"/>
        <w:tblW w:w="9328" w:type="dxa"/>
        <w:tblInd w:w="-148" w:type="dxa"/>
        <w:tblLayout w:type="fixed"/>
        <w:tblCellMar>
          <w:top w:w="0" w:type="dxa"/>
          <w:left w:w="108" w:type="dxa"/>
          <w:bottom w:w="0" w:type="dxa"/>
          <w:right w:w="108" w:type="dxa"/>
        </w:tblCellMar>
      </w:tblPr>
      <w:tblGrid>
        <w:gridCol w:w="757"/>
        <w:gridCol w:w="764"/>
        <w:gridCol w:w="2704"/>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克州林业和草原局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521"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7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6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70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3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15</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会议费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r>
      <w:tr>
        <w:tblPrEx>
          <w:tblLayout w:type="fixed"/>
          <w:tblCellMar>
            <w:top w:w="0" w:type="dxa"/>
            <w:left w:w="108" w:type="dxa"/>
            <w:bottom w:w="0" w:type="dxa"/>
            <w:right w:w="108" w:type="dxa"/>
          </w:tblCellMar>
        </w:tblPrEx>
        <w:trPr>
          <w:trHeight w:val="33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5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16</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培训费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r>
      <w:tr>
        <w:tblPrEx>
          <w:tblLayout w:type="fixed"/>
          <w:tblCellMar>
            <w:top w:w="0" w:type="dxa"/>
            <w:left w:w="108" w:type="dxa"/>
            <w:bottom w:w="0" w:type="dxa"/>
            <w:right w:w="108" w:type="dxa"/>
          </w:tblCellMar>
        </w:tblPrEx>
        <w:trPr>
          <w:trHeight w:val="3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印刷费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r>
      <w:tr>
        <w:tblPrEx>
          <w:tblLayout w:type="fixed"/>
          <w:tblCellMar>
            <w:top w:w="0" w:type="dxa"/>
            <w:left w:w="108" w:type="dxa"/>
            <w:bottom w:w="0" w:type="dxa"/>
            <w:right w:w="108" w:type="dxa"/>
          </w:tblCellMar>
        </w:tblPrEx>
        <w:trPr>
          <w:trHeight w:val="3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2.50</w:t>
            </w: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2.17</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2.17</w:t>
            </w:r>
          </w:p>
        </w:tc>
      </w:tr>
      <w:tr>
        <w:tblPrEx>
          <w:tblLayout w:type="fixed"/>
          <w:tblCellMar>
            <w:top w:w="0" w:type="dxa"/>
            <w:left w:w="108" w:type="dxa"/>
            <w:bottom w:w="0" w:type="dxa"/>
            <w:right w:w="108" w:type="dxa"/>
          </w:tblCellMar>
        </w:tblPrEx>
        <w:trPr>
          <w:trHeight w:val="26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r>
      <w:tr>
        <w:tblPrEx>
          <w:tblLayout w:type="fixed"/>
          <w:tblCellMar>
            <w:top w:w="0" w:type="dxa"/>
            <w:left w:w="108" w:type="dxa"/>
            <w:bottom w:w="0" w:type="dxa"/>
            <w:right w:w="108" w:type="dxa"/>
          </w:tblCellMar>
        </w:tblPrEx>
        <w:trPr>
          <w:trHeight w:val="28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86"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3.90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3.90</w:t>
            </w:r>
          </w:p>
        </w:tc>
      </w:tr>
      <w:tr>
        <w:tblPrEx>
          <w:tblLayout w:type="fixed"/>
          <w:tblCellMar>
            <w:top w:w="0" w:type="dxa"/>
            <w:left w:w="108" w:type="dxa"/>
            <w:bottom w:w="0" w:type="dxa"/>
            <w:right w:w="108" w:type="dxa"/>
          </w:tblCellMar>
        </w:tblPrEx>
        <w:trPr>
          <w:trHeight w:val="268"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108" w:type="dxa"/>
            <w:bottom w:w="0" w:type="dxa"/>
            <w:right w:w="108" w:type="dxa"/>
          </w:tblCellMar>
        </w:tblPrEx>
        <w:trPr>
          <w:trHeight w:val="318"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12.68</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12.68</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190.67</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190.67</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8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36.23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36.23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5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0.30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0.30</w:t>
            </w:r>
          </w:p>
        </w:tc>
      </w:tr>
      <w:tr>
        <w:tblPrEx>
          <w:tblLayout w:type="fixed"/>
          <w:tblCellMar>
            <w:top w:w="0" w:type="dxa"/>
            <w:left w:w="108" w:type="dxa"/>
            <w:bottom w:w="0" w:type="dxa"/>
            <w:right w:w="108" w:type="dxa"/>
          </w:tblCellMar>
        </w:tblPrEx>
        <w:trPr>
          <w:trHeight w:val="33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28.08</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28.08</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28.76</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28.76</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6.33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6.33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85"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2.00</w:t>
            </w:r>
          </w:p>
        </w:tc>
      </w:tr>
      <w:tr>
        <w:tblPrEx>
          <w:tblLayout w:type="fixed"/>
          <w:tblCellMar>
            <w:top w:w="0" w:type="dxa"/>
            <w:left w:w="108" w:type="dxa"/>
            <w:bottom w:w="0" w:type="dxa"/>
            <w:right w:w="108" w:type="dxa"/>
          </w:tblCellMar>
        </w:tblPrEx>
        <w:trPr>
          <w:trHeight w:val="3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50.29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50.29</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6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152.20</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152.20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68"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06</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0"/>
                <w:sz w:val="20"/>
                <w:szCs w:val="20"/>
                <w:u w:val="none"/>
                <w:lang w:val="en-US" w:eastAsia="zh-CN" w:bidi="ar"/>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0.30</w:t>
            </w:r>
          </w:p>
        </w:tc>
      </w:tr>
      <w:tr>
        <w:tblPrEx>
          <w:tblLayout w:type="fixed"/>
          <w:tblCellMar>
            <w:top w:w="0" w:type="dxa"/>
            <w:left w:w="108" w:type="dxa"/>
            <w:bottom w:w="0" w:type="dxa"/>
            <w:right w:w="108" w:type="dxa"/>
          </w:tblCellMar>
        </w:tblPrEx>
        <w:trPr>
          <w:trHeight w:val="21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09</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4.19</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6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26</w:t>
            </w:r>
          </w:p>
        </w:tc>
        <w:tc>
          <w:tcPr>
            <w:tcW w:w="27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0.74</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0.74</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7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533.45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510.55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22.90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508"/>
        <w:gridCol w:w="450"/>
        <w:gridCol w:w="434"/>
        <w:gridCol w:w="900"/>
        <w:gridCol w:w="1198"/>
        <w:gridCol w:w="860"/>
        <w:gridCol w:w="459"/>
        <w:gridCol w:w="849"/>
        <w:gridCol w:w="517"/>
        <w:gridCol w:w="474"/>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克州林业和草原局</w:t>
            </w:r>
          </w:p>
        </w:tc>
        <w:tc>
          <w:tcPr>
            <w:tcW w:w="1308"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369"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0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90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198"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86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5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4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1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74"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trPr>
        <w:tc>
          <w:tcPr>
            <w:tcW w:w="51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50"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34"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00"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19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6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5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4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1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74"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其他林业和草原支出</w:t>
            </w:r>
          </w:p>
        </w:tc>
        <w:tc>
          <w:tcPr>
            <w:tcW w:w="1198" w:type="dxa"/>
            <w:shd w:val="clear" w:color="auto" w:fill="auto"/>
            <w:vAlign w:val="center"/>
          </w:tcPr>
          <w:p>
            <w:pPr>
              <w:keepNext w:val="0"/>
              <w:keepLines w:val="0"/>
              <w:widowControl/>
              <w:suppressLineNumbers w:val="0"/>
              <w:jc w:val="left"/>
              <w:textAlignment w:val="center"/>
              <w:rPr>
                <w:rFonts w:hint="eastAsia" w:ascii="仿宋_GB2312" w:hAnsi="宋体" w:eastAsia="仿宋_GB2312"/>
                <w:kern w:val="0"/>
                <w:sz w:val="16"/>
                <w:szCs w:val="16"/>
                <w:lang w:val="en-US" w:eastAsia="zh-CN"/>
              </w:rPr>
            </w:pPr>
            <w:r>
              <w:rPr>
                <w:rFonts w:hint="eastAsia" w:ascii="宋体" w:hAnsi="宋体" w:eastAsia="宋体" w:cs="宋体"/>
                <w:i w:val="0"/>
                <w:color w:val="000000"/>
                <w:kern w:val="0"/>
                <w:sz w:val="16"/>
                <w:szCs w:val="16"/>
                <w:u w:val="none"/>
                <w:lang w:val="en-US" w:eastAsia="zh-CN" w:bidi="ar"/>
              </w:rPr>
              <w:t>第一书记工作经费</w:t>
            </w:r>
          </w:p>
        </w:tc>
        <w:tc>
          <w:tcPr>
            <w:tcW w:w="86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4.00 </w:t>
            </w:r>
          </w:p>
        </w:tc>
        <w:tc>
          <w:tcPr>
            <w:tcW w:w="459" w:type="dxa"/>
            <w:shd w:val="clear" w:color="auto" w:fill="auto"/>
            <w:vAlign w:val="center"/>
          </w:tcPr>
          <w:p>
            <w:pPr>
              <w:jc w:val="right"/>
              <w:rPr>
                <w:rFonts w:ascii="仿宋_GB2312" w:hAnsi="宋体" w:eastAsia="仿宋_GB2312"/>
                <w:kern w:val="0"/>
                <w:sz w:val="32"/>
                <w:szCs w:val="32"/>
              </w:rPr>
            </w:pPr>
          </w:p>
        </w:tc>
        <w:tc>
          <w:tcPr>
            <w:tcW w:w="849"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4.00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森林生态效益补偿</w:t>
            </w: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森林生态效益补偿费</w:t>
            </w:r>
          </w:p>
        </w:tc>
        <w:tc>
          <w:tcPr>
            <w:tcW w:w="86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65.00 </w:t>
            </w:r>
          </w:p>
        </w:tc>
        <w:tc>
          <w:tcPr>
            <w:tcW w:w="459" w:type="dxa"/>
            <w:shd w:val="clear" w:color="auto" w:fill="auto"/>
            <w:vAlign w:val="center"/>
          </w:tcPr>
          <w:p>
            <w:pPr>
              <w:jc w:val="right"/>
              <w:rPr>
                <w:rFonts w:ascii="仿宋_GB2312" w:hAnsi="宋体" w:eastAsia="仿宋_GB2312"/>
                <w:kern w:val="0"/>
                <w:sz w:val="16"/>
                <w:szCs w:val="16"/>
              </w:rPr>
            </w:pPr>
          </w:p>
        </w:tc>
        <w:tc>
          <w:tcPr>
            <w:tcW w:w="849"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65.00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07</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森林资源管理</w:t>
            </w: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资源林政管理经费</w:t>
            </w:r>
          </w:p>
        </w:tc>
        <w:tc>
          <w:tcPr>
            <w:tcW w:w="86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32.00 </w:t>
            </w:r>
          </w:p>
        </w:tc>
        <w:tc>
          <w:tcPr>
            <w:tcW w:w="459" w:type="dxa"/>
            <w:shd w:val="clear" w:color="auto" w:fill="auto"/>
            <w:vAlign w:val="center"/>
          </w:tcPr>
          <w:p>
            <w:pPr>
              <w:jc w:val="right"/>
              <w:rPr>
                <w:rFonts w:ascii="仿宋_GB2312" w:hAnsi="宋体" w:eastAsia="仿宋_GB2312"/>
                <w:kern w:val="0"/>
                <w:sz w:val="16"/>
                <w:szCs w:val="16"/>
              </w:rPr>
            </w:pPr>
          </w:p>
        </w:tc>
        <w:tc>
          <w:tcPr>
            <w:tcW w:w="849"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32.00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34</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林业草原防灾减灾</w:t>
            </w: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林业有害生物防治费</w:t>
            </w:r>
          </w:p>
        </w:tc>
        <w:tc>
          <w:tcPr>
            <w:tcW w:w="86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10.00 </w:t>
            </w:r>
          </w:p>
        </w:tc>
        <w:tc>
          <w:tcPr>
            <w:tcW w:w="459" w:type="dxa"/>
            <w:shd w:val="clear" w:color="auto" w:fill="auto"/>
            <w:vAlign w:val="center"/>
          </w:tcPr>
          <w:p>
            <w:pPr>
              <w:jc w:val="right"/>
              <w:rPr>
                <w:rFonts w:ascii="仿宋_GB2312" w:hAnsi="宋体" w:eastAsia="仿宋_GB2312"/>
                <w:kern w:val="0"/>
                <w:sz w:val="16"/>
                <w:szCs w:val="16"/>
              </w:rPr>
            </w:pPr>
          </w:p>
        </w:tc>
        <w:tc>
          <w:tcPr>
            <w:tcW w:w="849"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10.00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其他林业和草原支出</w:t>
            </w: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cs="宋体"/>
                <w:i w:val="0"/>
                <w:color w:val="000000"/>
                <w:kern w:val="0"/>
                <w:sz w:val="16"/>
                <w:szCs w:val="16"/>
                <w:u w:val="none"/>
                <w:lang w:val="en-US" w:eastAsia="zh-CN" w:bidi="ar"/>
              </w:rPr>
              <w:t>群众</w:t>
            </w:r>
            <w:r>
              <w:rPr>
                <w:rFonts w:hint="eastAsia" w:ascii="宋体" w:hAnsi="宋体" w:eastAsia="宋体" w:cs="宋体"/>
                <w:i w:val="0"/>
                <w:color w:val="000000"/>
                <w:kern w:val="0"/>
                <w:sz w:val="16"/>
                <w:szCs w:val="16"/>
                <w:u w:val="none"/>
                <w:lang w:val="en-US" w:eastAsia="zh-CN" w:bidi="ar"/>
              </w:rPr>
              <w:t>工作经费</w:t>
            </w:r>
          </w:p>
        </w:tc>
        <w:tc>
          <w:tcPr>
            <w:tcW w:w="86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14.00 </w:t>
            </w:r>
          </w:p>
        </w:tc>
        <w:tc>
          <w:tcPr>
            <w:tcW w:w="459" w:type="dxa"/>
            <w:shd w:val="clear" w:color="auto" w:fill="auto"/>
            <w:vAlign w:val="center"/>
          </w:tcPr>
          <w:p>
            <w:pPr>
              <w:jc w:val="right"/>
              <w:rPr>
                <w:rFonts w:ascii="仿宋_GB2312" w:hAnsi="宋体" w:eastAsia="仿宋_GB2312"/>
                <w:kern w:val="0"/>
                <w:sz w:val="16"/>
                <w:szCs w:val="16"/>
              </w:rPr>
            </w:pPr>
          </w:p>
        </w:tc>
        <w:tc>
          <w:tcPr>
            <w:tcW w:w="849"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14.00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其他林业和草原支出</w:t>
            </w: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lang w:val="en-US"/>
              </w:rPr>
            </w:pPr>
            <w:r>
              <w:rPr>
                <w:rFonts w:hint="eastAsia" w:ascii="宋体" w:hAnsi="宋体" w:eastAsia="宋体" w:cs="宋体"/>
                <w:i w:val="0"/>
                <w:color w:val="000000"/>
                <w:kern w:val="0"/>
                <w:sz w:val="16"/>
                <w:szCs w:val="16"/>
                <w:u w:val="none"/>
                <w:lang w:val="en-US" w:eastAsia="zh-CN" w:bidi="ar"/>
              </w:rPr>
              <w:t>援疆经费</w:t>
            </w:r>
          </w:p>
        </w:tc>
        <w:tc>
          <w:tcPr>
            <w:tcW w:w="86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65.00 </w:t>
            </w:r>
          </w:p>
        </w:tc>
        <w:tc>
          <w:tcPr>
            <w:tcW w:w="459" w:type="dxa"/>
            <w:shd w:val="clear" w:color="auto" w:fill="auto"/>
            <w:vAlign w:val="center"/>
          </w:tcPr>
          <w:p>
            <w:pPr>
              <w:jc w:val="right"/>
              <w:rPr>
                <w:rFonts w:ascii="仿宋_GB2312" w:hAnsi="宋体" w:eastAsia="仿宋_GB2312"/>
                <w:kern w:val="0"/>
                <w:sz w:val="16"/>
                <w:szCs w:val="16"/>
              </w:rPr>
            </w:pPr>
          </w:p>
        </w:tc>
        <w:tc>
          <w:tcPr>
            <w:tcW w:w="849"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65.00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213</w:t>
            </w:r>
          </w:p>
        </w:tc>
        <w:tc>
          <w:tcPr>
            <w:tcW w:w="45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02</w:t>
            </w:r>
          </w:p>
        </w:tc>
        <w:tc>
          <w:tcPr>
            <w:tcW w:w="434"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highlight w:val="yellow"/>
              </w:rPr>
            </w:pPr>
            <w:r>
              <w:rPr>
                <w:rFonts w:hint="eastAsia" w:ascii="宋体" w:hAnsi="宋体" w:eastAsia="宋体" w:cs="宋体"/>
                <w:i w:val="0"/>
                <w:color w:val="000000"/>
                <w:kern w:val="0"/>
                <w:sz w:val="20"/>
                <w:szCs w:val="20"/>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其他林业和草原支出</w:t>
            </w:r>
          </w:p>
        </w:tc>
        <w:tc>
          <w:tcPr>
            <w:tcW w:w="119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为民办实事经费</w:t>
            </w:r>
          </w:p>
        </w:tc>
        <w:tc>
          <w:tcPr>
            <w:tcW w:w="86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20.00 </w:t>
            </w:r>
          </w:p>
        </w:tc>
        <w:tc>
          <w:tcPr>
            <w:tcW w:w="459" w:type="dxa"/>
            <w:shd w:val="clear" w:color="auto" w:fill="auto"/>
            <w:vAlign w:val="center"/>
          </w:tcPr>
          <w:p>
            <w:pPr>
              <w:jc w:val="right"/>
              <w:rPr>
                <w:rFonts w:ascii="仿宋_GB2312" w:hAnsi="宋体" w:eastAsia="仿宋_GB2312"/>
                <w:kern w:val="0"/>
                <w:sz w:val="16"/>
                <w:szCs w:val="16"/>
              </w:rPr>
            </w:pPr>
          </w:p>
        </w:tc>
        <w:tc>
          <w:tcPr>
            <w:tcW w:w="849"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16"/>
                <w:szCs w:val="16"/>
              </w:rPr>
            </w:pPr>
            <w:r>
              <w:rPr>
                <w:rFonts w:hint="eastAsia" w:ascii="宋体" w:hAnsi="宋体" w:eastAsia="宋体" w:cs="宋体"/>
                <w:i w:val="0"/>
                <w:color w:val="000000"/>
                <w:kern w:val="0"/>
                <w:sz w:val="16"/>
                <w:szCs w:val="16"/>
                <w:u w:val="none"/>
                <w:lang w:val="en-US" w:eastAsia="zh-CN" w:bidi="ar"/>
              </w:rPr>
              <w:t xml:space="preserve">20.00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p>
        </w:tc>
        <w:tc>
          <w:tcPr>
            <w:tcW w:w="450" w:type="dxa"/>
            <w:shd w:val="clear" w:color="auto" w:fill="auto"/>
          </w:tcPr>
          <w:p>
            <w:pPr>
              <w:widowControl/>
              <w:jc w:val="left"/>
              <w:outlineLvl w:val="1"/>
              <w:rPr>
                <w:rFonts w:ascii="仿宋_GB2312" w:hAnsi="宋体" w:eastAsia="仿宋_GB2312"/>
                <w:kern w:val="0"/>
                <w:sz w:val="32"/>
                <w:szCs w:val="32"/>
              </w:rPr>
            </w:pPr>
          </w:p>
        </w:tc>
        <w:tc>
          <w:tcPr>
            <w:tcW w:w="434" w:type="dxa"/>
            <w:shd w:val="clear" w:color="auto" w:fill="auto"/>
          </w:tcPr>
          <w:p>
            <w:pPr>
              <w:widowControl/>
              <w:jc w:val="left"/>
              <w:outlineLvl w:val="1"/>
              <w:rPr>
                <w:rFonts w:ascii="仿宋_GB2312" w:hAnsi="宋体" w:eastAsia="仿宋_GB2312"/>
                <w:kern w:val="0"/>
                <w:sz w:val="32"/>
                <w:szCs w:val="32"/>
              </w:rPr>
            </w:pPr>
          </w:p>
        </w:tc>
        <w:tc>
          <w:tcPr>
            <w:tcW w:w="900" w:type="dxa"/>
            <w:shd w:val="clear" w:color="auto" w:fill="auto"/>
          </w:tcPr>
          <w:p>
            <w:pPr>
              <w:widowControl/>
              <w:jc w:val="left"/>
              <w:outlineLvl w:val="1"/>
              <w:rPr>
                <w:rFonts w:ascii="仿宋_GB2312" w:hAnsi="宋体" w:eastAsia="仿宋_GB2312"/>
                <w:kern w:val="0"/>
                <w:sz w:val="32"/>
                <w:szCs w:val="32"/>
              </w:rPr>
            </w:pPr>
          </w:p>
        </w:tc>
        <w:tc>
          <w:tcPr>
            <w:tcW w:w="1198" w:type="dxa"/>
            <w:shd w:val="clear" w:color="auto" w:fill="auto"/>
          </w:tcPr>
          <w:p>
            <w:pPr>
              <w:widowControl/>
              <w:jc w:val="left"/>
              <w:outlineLvl w:val="1"/>
              <w:rPr>
                <w:rFonts w:ascii="仿宋_GB2312" w:hAnsi="宋体" w:eastAsia="仿宋_GB2312"/>
                <w:kern w:val="0"/>
                <w:sz w:val="32"/>
                <w:szCs w:val="32"/>
              </w:rPr>
            </w:pPr>
          </w:p>
        </w:tc>
        <w:tc>
          <w:tcPr>
            <w:tcW w:w="860" w:type="dxa"/>
            <w:shd w:val="clear" w:color="auto" w:fill="auto"/>
          </w:tcPr>
          <w:p>
            <w:pPr>
              <w:widowControl/>
              <w:jc w:val="left"/>
              <w:outlineLvl w:val="1"/>
              <w:rPr>
                <w:rFonts w:ascii="仿宋_GB2312" w:hAnsi="宋体" w:eastAsia="仿宋_GB2312"/>
                <w:kern w:val="0"/>
                <w:sz w:val="32"/>
                <w:szCs w:val="32"/>
              </w:rPr>
            </w:pPr>
          </w:p>
        </w:tc>
        <w:tc>
          <w:tcPr>
            <w:tcW w:w="459" w:type="dxa"/>
            <w:shd w:val="clear" w:color="auto" w:fill="auto"/>
          </w:tcPr>
          <w:p>
            <w:pPr>
              <w:widowControl/>
              <w:jc w:val="left"/>
              <w:outlineLvl w:val="1"/>
              <w:rPr>
                <w:rFonts w:ascii="仿宋_GB2312" w:hAnsi="宋体" w:eastAsia="仿宋_GB2312"/>
                <w:kern w:val="0"/>
                <w:sz w:val="32"/>
                <w:szCs w:val="32"/>
              </w:rPr>
            </w:pPr>
          </w:p>
        </w:tc>
        <w:tc>
          <w:tcPr>
            <w:tcW w:w="849" w:type="dxa"/>
            <w:shd w:val="clear" w:color="auto" w:fill="auto"/>
          </w:tcPr>
          <w:p>
            <w:pPr>
              <w:widowControl/>
              <w:jc w:val="left"/>
              <w:outlineLvl w:val="1"/>
              <w:rPr>
                <w:rFonts w:ascii="仿宋_GB2312" w:hAnsi="宋体" w:eastAsia="仿宋_GB2312"/>
                <w:kern w:val="0"/>
                <w:sz w:val="32"/>
                <w:szCs w:val="32"/>
              </w:rPr>
            </w:pPr>
          </w:p>
        </w:tc>
        <w:tc>
          <w:tcPr>
            <w:tcW w:w="517" w:type="dxa"/>
            <w:shd w:val="clear" w:color="auto" w:fill="auto"/>
          </w:tcPr>
          <w:p>
            <w:pPr>
              <w:widowControl/>
              <w:jc w:val="left"/>
              <w:outlineLvl w:val="1"/>
              <w:rPr>
                <w:rFonts w:ascii="仿宋_GB2312" w:hAnsi="宋体" w:eastAsia="仿宋_GB2312"/>
                <w:kern w:val="0"/>
                <w:sz w:val="32"/>
                <w:szCs w:val="32"/>
              </w:rPr>
            </w:pPr>
          </w:p>
        </w:tc>
        <w:tc>
          <w:tcPr>
            <w:tcW w:w="474"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98"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860" w:type="dxa"/>
            <w:shd w:val="clear" w:color="auto" w:fill="auto"/>
            <w:vAlign w:val="center"/>
          </w:tcPr>
          <w:p>
            <w:pPr>
              <w:widowControl/>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210</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49" w:type="dxa"/>
            <w:shd w:val="clear" w:color="auto" w:fill="auto"/>
            <w:vAlign w:val="center"/>
          </w:tcPr>
          <w:p>
            <w:pPr>
              <w:widowControl/>
              <w:jc w:val="center"/>
              <w:outlineLvl w:val="1"/>
              <w:rPr>
                <w:rFonts w:hint="eastAsia"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210</w:t>
            </w:r>
          </w:p>
        </w:tc>
        <w:tc>
          <w:tcPr>
            <w:tcW w:w="517" w:type="dxa"/>
            <w:shd w:val="clear" w:color="auto" w:fill="auto"/>
            <w:vAlign w:val="center"/>
          </w:tcPr>
          <w:p>
            <w:pPr>
              <w:widowControl/>
              <w:jc w:val="center"/>
              <w:outlineLvl w:val="1"/>
              <w:rPr>
                <w:rFonts w:ascii="仿宋_GB2312" w:hAnsi="宋体" w:eastAsia="仿宋_GB2312"/>
                <w:kern w:val="0"/>
                <w:sz w:val="21"/>
                <w:szCs w:val="21"/>
              </w:rPr>
            </w:pPr>
          </w:p>
        </w:tc>
        <w:tc>
          <w:tcPr>
            <w:tcW w:w="474" w:type="dxa"/>
            <w:shd w:val="clear" w:color="auto" w:fill="auto"/>
            <w:vAlign w:val="center"/>
          </w:tcPr>
          <w:p>
            <w:pPr>
              <w:widowControl/>
              <w:jc w:val="center"/>
              <w:outlineLvl w:val="1"/>
              <w:rPr>
                <w:rFonts w:ascii="仿宋_GB2312" w:hAnsi="宋体" w:eastAsia="仿宋_GB2312"/>
                <w:kern w:val="0"/>
                <w:sz w:val="21"/>
                <w:szCs w:val="21"/>
              </w:rPr>
            </w:pPr>
          </w:p>
        </w:tc>
        <w:tc>
          <w:tcPr>
            <w:tcW w:w="578" w:type="dxa"/>
            <w:gridSpan w:val="2"/>
            <w:shd w:val="clear" w:color="auto" w:fill="auto"/>
            <w:vAlign w:val="center"/>
          </w:tcPr>
          <w:p>
            <w:pPr>
              <w:widowControl/>
              <w:jc w:val="center"/>
              <w:outlineLvl w:val="1"/>
              <w:rPr>
                <w:rFonts w:ascii="仿宋_GB2312" w:hAnsi="宋体" w:eastAsia="仿宋_GB2312"/>
                <w:kern w:val="0"/>
                <w:sz w:val="21"/>
                <w:szCs w:val="21"/>
              </w:rPr>
            </w:pPr>
          </w:p>
        </w:tc>
        <w:tc>
          <w:tcPr>
            <w:tcW w:w="419" w:type="dxa"/>
            <w:shd w:val="clear" w:color="auto" w:fill="auto"/>
            <w:vAlign w:val="center"/>
          </w:tcPr>
          <w:p>
            <w:pPr>
              <w:widowControl/>
              <w:jc w:val="center"/>
              <w:outlineLvl w:val="1"/>
              <w:rPr>
                <w:rFonts w:ascii="仿宋_GB2312" w:hAnsi="宋体" w:eastAsia="仿宋_GB2312"/>
                <w:kern w:val="0"/>
                <w:sz w:val="21"/>
                <w:szCs w:val="21"/>
              </w:rPr>
            </w:pPr>
          </w:p>
        </w:tc>
        <w:tc>
          <w:tcPr>
            <w:tcW w:w="578" w:type="dxa"/>
            <w:shd w:val="clear" w:color="auto" w:fill="auto"/>
            <w:vAlign w:val="center"/>
          </w:tcPr>
          <w:p>
            <w:pPr>
              <w:widowControl/>
              <w:jc w:val="center"/>
              <w:outlineLvl w:val="1"/>
              <w:rPr>
                <w:rFonts w:ascii="仿宋_GB2312" w:hAnsi="宋体" w:eastAsia="仿宋_GB2312"/>
                <w:kern w:val="0"/>
                <w:sz w:val="21"/>
                <w:szCs w:val="21"/>
              </w:rPr>
            </w:pPr>
          </w:p>
        </w:tc>
        <w:tc>
          <w:tcPr>
            <w:tcW w:w="420" w:type="dxa"/>
            <w:shd w:val="clear" w:color="auto" w:fill="auto"/>
            <w:vAlign w:val="center"/>
          </w:tcPr>
          <w:p>
            <w:pPr>
              <w:widowControl/>
              <w:jc w:val="center"/>
              <w:outlineLvl w:val="1"/>
              <w:rPr>
                <w:rFonts w:ascii="仿宋_GB2312" w:hAnsi="宋体" w:eastAsia="仿宋_GB2312"/>
                <w:kern w:val="0"/>
                <w:sz w:val="21"/>
                <w:szCs w:val="21"/>
              </w:rPr>
            </w:pP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克州林业和草原局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5.50</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4.50</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4.50</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克州林业和草原局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hint="eastAsia" w:ascii="仿宋_GB2312" w:hAnsi="宋体" w:eastAsia="仿宋_GB2312"/>
          <w:b/>
          <w:kern w:val="0"/>
          <w:sz w:val="28"/>
          <w:szCs w:val="28"/>
          <w:lang w:val="en-US" w:eastAsia="zh-CN"/>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克州林草局</w:t>
      </w:r>
      <w:r>
        <w:rPr>
          <w:rFonts w:hint="eastAsia" w:ascii="仿宋_GB2312" w:hAnsi="宋体" w:eastAsia="仿宋_GB2312"/>
          <w:b/>
          <w:kern w:val="0"/>
          <w:sz w:val="28"/>
          <w:szCs w:val="32"/>
          <w:lang w:val="en-US" w:eastAsia="zh-CN"/>
        </w:rPr>
        <w:t>2020年未安排</w:t>
      </w:r>
      <w:r>
        <w:rPr>
          <w:rFonts w:hint="eastAsia" w:ascii="仿宋_GB2312" w:hAnsi="宋体" w:eastAsia="仿宋_GB2312"/>
          <w:b/>
          <w:kern w:val="0"/>
          <w:sz w:val="28"/>
          <w:szCs w:val="28"/>
        </w:rPr>
        <w:t>政府性基金预算</w:t>
      </w:r>
    </w:p>
    <w:p>
      <w:pPr>
        <w:widowControl/>
        <w:jc w:val="left"/>
        <w:outlineLvl w:val="1"/>
        <w:rPr>
          <w:rFonts w:ascii="仿宋_GB2312" w:hAnsi="宋体" w:eastAsia="仿宋_GB2312"/>
          <w:kern w:val="0"/>
          <w:sz w:val="28"/>
          <w:szCs w:val="28"/>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b/>
          <w:bCs/>
          <w:kern w:val="0"/>
          <w:sz w:val="32"/>
          <w:szCs w:val="32"/>
        </w:rPr>
      </w:pPr>
      <w:r>
        <w:rPr>
          <w:rFonts w:hint="eastAsia" w:ascii="黑体" w:hAnsi="黑体" w:eastAsia="黑体"/>
          <w:b/>
          <w:bCs/>
          <w:kern w:val="0"/>
          <w:sz w:val="32"/>
          <w:szCs w:val="32"/>
        </w:rPr>
        <w:t xml:space="preserve">第三部分  </w:t>
      </w:r>
      <w:r>
        <w:rPr>
          <w:rFonts w:hint="eastAsia" w:ascii="黑体" w:hAnsi="黑体" w:eastAsia="黑体"/>
          <w:b/>
          <w:bCs/>
          <w:kern w:val="0"/>
          <w:sz w:val="32"/>
          <w:szCs w:val="32"/>
          <w:lang w:val="en-US" w:eastAsia="zh-CN"/>
        </w:rPr>
        <w:t>2020</w:t>
      </w:r>
      <w:r>
        <w:rPr>
          <w:rFonts w:hint="eastAsia" w:ascii="黑体" w:hAnsi="黑体" w:eastAsia="黑体"/>
          <w:b/>
          <w:bCs/>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年所有收入和支出均纳入部门预算管理。收支总预算743.45万元。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547.45万元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上级补助收入</w:t>
      </w:r>
      <w:r>
        <w:rPr>
          <w:rFonts w:hint="eastAsia" w:ascii="仿宋_GB2312" w:hAnsi="宋体" w:eastAsia="仿宋_GB2312" w:cs="宋体"/>
          <w:kern w:val="0"/>
          <w:sz w:val="32"/>
          <w:szCs w:val="32"/>
          <w:lang w:val="en-US" w:eastAsia="zh-CN"/>
        </w:rPr>
        <w:t>120万元、上级专项收入24万元、</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52万元</w:t>
      </w:r>
      <w:r>
        <w:rPr>
          <w:rFonts w:hint="eastAsia" w:ascii="仿宋_GB2312" w:hAnsi="宋体" w:eastAsia="仿宋_GB2312" w:cs="宋体"/>
          <w:kern w:val="0"/>
          <w:sz w:val="32"/>
          <w:szCs w:val="32"/>
        </w:rPr>
        <w:t>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支出预算包括：农林水支出743.45万元。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rPr>
        <w:t>收入预算743.45万元，其中：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547.45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73.63</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3.05</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在职人员工资降低和减少</w:t>
      </w:r>
      <w:r>
        <w:rPr>
          <w:rFonts w:hint="eastAsia" w:ascii="仿宋_GB2312" w:hAnsi="宋体" w:eastAsia="仿宋_GB2312" w:cs="宋体"/>
          <w:kern w:val="0"/>
          <w:sz w:val="32"/>
          <w:szCs w:val="32"/>
          <w:lang w:val="en-US" w:eastAsia="zh-CN"/>
        </w:rPr>
        <w:t>1人</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上级补助收入资金</w:t>
      </w:r>
      <w:r>
        <w:rPr>
          <w:rFonts w:hint="eastAsia" w:ascii="仿宋_GB2312" w:hAnsi="宋体" w:eastAsia="仿宋_GB2312" w:cs="宋体"/>
          <w:kern w:val="0"/>
          <w:sz w:val="32"/>
          <w:szCs w:val="32"/>
          <w:lang w:val="en-US" w:eastAsia="zh-CN"/>
        </w:rPr>
        <w:t>120万元，占16.14</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自治区林业和草原局安排森林生态效益补偿—检查验收费、林业有害生物防治经费增加</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上级专项收入24万元，占3.22</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万元，主要原因是为民办实事经费</w:t>
      </w:r>
      <w:r>
        <w:rPr>
          <w:rFonts w:hint="eastAsia" w:ascii="仿宋_GB2312" w:hAnsi="宋体" w:eastAsia="仿宋_GB2312" w:cs="宋体"/>
          <w:kern w:val="0"/>
          <w:sz w:val="32"/>
          <w:szCs w:val="32"/>
          <w:lang w:eastAsia="zh-CN"/>
        </w:rPr>
        <w:t>和第一书记工作经费今年列为上级专项收入；</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52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6.99</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16.17</w:t>
      </w:r>
      <w:r>
        <w:rPr>
          <w:rFonts w:hint="eastAsia" w:ascii="仿宋_GB2312" w:hAnsi="宋体" w:eastAsia="仿宋_GB2312" w:cs="宋体"/>
          <w:kern w:val="0"/>
          <w:sz w:val="32"/>
          <w:szCs w:val="32"/>
        </w:rPr>
        <w:t>万元，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主要</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原因是</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2019年预算中项目收入减少，特别是</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自治区林业和草原局安排森林生态效益补偿—检查验收费、林业有害生物防</w:t>
      </w:r>
      <w:r>
        <w:rPr>
          <w:rFonts w:hint="eastAsia" w:ascii="仿宋_GB2312" w:hAnsi="宋体" w:eastAsia="仿宋_GB2312" w:cs="宋体"/>
          <w:kern w:val="0"/>
          <w:sz w:val="32"/>
          <w:szCs w:val="32"/>
          <w:lang w:eastAsia="zh-CN"/>
        </w:rPr>
        <w:t>治经费等</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rPr>
        <w:t>单位</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年支出预算743.45万元，其中：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基本支出533.45万元，占</w:t>
      </w:r>
      <w:r>
        <w:rPr>
          <w:rFonts w:hint="eastAsia" w:ascii="仿宋_GB2312" w:hAnsi="宋体" w:eastAsia="仿宋_GB2312" w:cs="宋体"/>
          <w:kern w:val="0"/>
          <w:sz w:val="32"/>
          <w:szCs w:val="32"/>
          <w:lang w:val="en-US" w:eastAsia="zh-CN"/>
        </w:rPr>
        <w:t>71.75</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24.91</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人员工资增加和经费支出增加</w:t>
      </w: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项目支出 </w:t>
      </w:r>
      <w:r>
        <w:rPr>
          <w:rFonts w:hint="eastAsia" w:ascii="仿宋_GB2312" w:hAnsi="宋体" w:eastAsia="仿宋_GB2312" w:cs="宋体"/>
          <w:kern w:val="0"/>
          <w:sz w:val="32"/>
          <w:szCs w:val="32"/>
          <w:lang w:val="en-US" w:eastAsia="zh-CN"/>
        </w:rPr>
        <w:t>210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28.25</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83.52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预算项目支出</w:t>
      </w:r>
      <w:r>
        <w:rPr>
          <w:rFonts w:hint="eastAsia" w:ascii="仿宋_GB2312" w:hAnsi="宋体" w:eastAsia="仿宋_GB2312" w:cs="宋体"/>
          <w:kern w:val="0"/>
          <w:sz w:val="32"/>
          <w:szCs w:val="32"/>
          <w:lang w:eastAsia="zh-CN"/>
        </w:rPr>
        <w:t>自治区林业和草原局安排森林生态效益补偿—检查验收费、林业有害生物防治经费、援疆工作经费有所增加。</w:t>
      </w:r>
      <w:r>
        <w:rPr>
          <w:rFonts w:hint="eastAsia" w:ascii="仿宋_GB2312" w:hAnsi="宋体"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林草局</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年财政拨款收支总预算547.45万元。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支出预算包括：一般公共服务支出547.45万元，主要用于农林水支出。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林草局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年一般公共预算拨款基本支出5</w:t>
      </w:r>
      <w:r>
        <w:rPr>
          <w:rFonts w:hint="eastAsia" w:ascii="仿宋_GB2312" w:hAnsi="宋体" w:eastAsia="仿宋_GB2312" w:cs="宋体"/>
          <w:kern w:val="0"/>
          <w:sz w:val="32"/>
          <w:szCs w:val="32"/>
          <w:lang w:val="en-US" w:eastAsia="zh-CN"/>
        </w:rPr>
        <w:t>33</w:t>
      </w:r>
      <w:r>
        <w:rPr>
          <w:rFonts w:hint="eastAsia" w:ascii="仿宋_GB2312" w:hAnsi="宋体" w:eastAsia="仿宋_GB2312" w:cs="宋体"/>
          <w:kern w:val="0"/>
          <w:sz w:val="32"/>
          <w:szCs w:val="32"/>
        </w:rPr>
        <w:t>.45万元，比上年执行数减少</w:t>
      </w:r>
      <w:r>
        <w:rPr>
          <w:rFonts w:hint="eastAsia" w:ascii="仿宋_GB2312" w:hAnsi="宋体" w:eastAsia="仿宋_GB2312" w:cs="宋体"/>
          <w:kern w:val="0"/>
          <w:sz w:val="32"/>
          <w:szCs w:val="32"/>
          <w:lang w:val="en-US" w:eastAsia="zh-CN"/>
        </w:rPr>
        <w:t>152.31</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21.76</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上年财政拨入各类专项经费较多，专项支出经费较高</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而</w:t>
      </w:r>
      <w:r>
        <w:rPr>
          <w:rFonts w:hint="eastAsia" w:ascii="仿宋_GB2312" w:hAnsi="宋体" w:eastAsia="仿宋_GB2312" w:cs="宋体"/>
          <w:kern w:val="0"/>
          <w:sz w:val="32"/>
          <w:szCs w:val="32"/>
          <w:lang w:val="en-US" w:eastAsia="zh-CN"/>
        </w:rPr>
        <w:t>2020年预算中可预见的专项经费较少。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eastAsia="仿宋_GB2312"/>
          <w:color w:val="auto"/>
          <w:sz w:val="32"/>
          <w:szCs w:val="32"/>
        </w:rPr>
        <w:t>1.</w:t>
      </w:r>
      <w:r>
        <w:rPr>
          <w:rFonts w:hint="eastAsia" w:ascii="仿宋_GB2312" w:hAnsi="宋体" w:eastAsia="仿宋_GB2312" w:cs="宋体"/>
          <w:color w:val="auto"/>
          <w:kern w:val="0"/>
          <w:sz w:val="32"/>
          <w:szCs w:val="32"/>
          <w:lang w:eastAsia="zh-CN"/>
        </w:rPr>
        <w:t>农林水支出</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213</w:t>
      </w:r>
      <w:r>
        <w:rPr>
          <w:rFonts w:hint="eastAsia" w:ascii="仿宋_GB2312" w:eastAsia="仿宋_GB2312"/>
          <w:color w:val="auto"/>
          <w:sz w:val="32"/>
          <w:szCs w:val="32"/>
        </w:rPr>
        <w:t>）54</w:t>
      </w:r>
      <w:r>
        <w:rPr>
          <w:rFonts w:hint="eastAsia" w:ascii="仿宋_GB2312" w:hAnsi="宋体" w:eastAsia="仿宋_GB2312" w:cs="宋体"/>
          <w:color w:val="auto"/>
          <w:kern w:val="0"/>
          <w:sz w:val="32"/>
          <w:szCs w:val="32"/>
        </w:rPr>
        <w:t>7.45万元，占</w:t>
      </w:r>
      <w:r>
        <w:rPr>
          <w:rFonts w:hint="eastAsia" w:ascii="仿宋_GB2312" w:hAnsi="宋体" w:eastAsia="仿宋_GB2312" w:cs="宋体"/>
          <w:color w:val="auto"/>
          <w:kern w:val="0"/>
          <w:sz w:val="32"/>
          <w:szCs w:val="32"/>
          <w:lang w:val="en-US" w:eastAsia="zh-CN"/>
        </w:rPr>
        <w:t>100</w:t>
      </w:r>
      <w:r>
        <w:rPr>
          <w:rFonts w:hint="eastAsia" w:ascii="仿宋_GB2312" w:hAnsi="宋体" w:eastAsia="仿宋_GB2312" w:cs="宋体"/>
          <w:color w:val="auto"/>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农林水支出</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213</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林业和草原</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02</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）行政运行（</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01</w:t>
      </w:r>
      <w:r>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547.45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152.31</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下降</w:t>
      </w:r>
      <w:r>
        <w:rPr>
          <w:rFonts w:hint="eastAsia" w:ascii="仿宋_GB2312" w:hAnsi="宋体" w:eastAsia="仿宋_GB2312" w:cs="宋体"/>
          <w:kern w:val="0"/>
          <w:sz w:val="32"/>
          <w:szCs w:val="32"/>
          <w:lang w:val="en-US" w:eastAsia="zh-CN"/>
        </w:rPr>
        <w:t>21.76</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上年财政拨入各类专项经费较多，专项支出经费较高</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而</w:t>
      </w:r>
      <w:r>
        <w:rPr>
          <w:rFonts w:hint="eastAsia" w:ascii="仿宋_GB2312" w:hAnsi="宋体" w:eastAsia="仿宋_GB2312" w:cs="宋体"/>
          <w:kern w:val="0"/>
          <w:sz w:val="32"/>
          <w:szCs w:val="32"/>
          <w:lang w:val="en-US" w:eastAsia="zh-CN"/>
        </w:rPr>
        <w:t>2020年预算中可预见的专项经费较少。</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年一般公共预算基本支出533.45万元，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 510.55万元，主要包括：基本工资</w:t>
      </w:r>
      <w:r>
        <w:rPr>
          <w:rFonts w:hint="eastAsia" w:ascii="仿宋_GB2312" w:hAnsi="宋体" w:eastAsia="仿宋_GB2312" w:cs="宋体"/>
          <w:kern w:val="0"/>
          <w:sz w:val="32"/>
          <w:szCs w:val="32"/>
          <w:lang w:val="en-US" w:eastAsia="zh-CN"/>
        </w:rPr>
        <w:t>152.20万元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190.67万元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12.68万元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50.29万元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28.76万元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36.23万元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6.33万元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4.19万元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1.12万</w:t>
      </w:r>
      <w:r>
        <w:rPr>
          <w:rFonts w:hint="eastAsia" w:ascii="仿宋_GB2312" w:hAnsi="宋体" w:eastAsia="仿宋_GB2312" w:cs="宋体"/>
          <w:kern w:val="0"/>
          <w:sz w:val="32"/>
          <w:szCs w:val="32"/>
        </w:rPr>
        <w:t>、其他对个人和家庭的补助等</w:t>
      </w:r>
      <w:r>
        <w:rPr>
          <w:rFonts w:hint="eastAsia" w:ascii="仿宋_GB2312" w:hAnsi="宋体" w:eastAsia="仿宋_GB2312" w:cs="宋体"/>
          <w:kern w:val="0"/>
          <w:sz w:val="32"/>
          <w:szCs w:val="32"/>
          <w:lang w:val="en-US" w:eastAsia="zh-CN"/>
        </w:rPr>
        <w:t>28.08万元</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22.9</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0.3万元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0.3万元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2.5万元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、会议费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、培训费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0.74</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2.17万元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3.9万元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4.5万元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b/>
          <w:bCs/>
          <w:sz w:val="32"/>
          <w:szCs w:val="32"/>
          <w:lang w:eastAsia="zh-CN"/>
        </w:rPr>
      </w:pPr>
      <w:r>
        <w:rPr>
          <w:rFonts w:hint="eastAsia" w:ascii="仿宋_GB2312" w:hAnsi="黑体" w:eastAsia="仿宋_GB2312"/>
          <w:b/>
          <w:bCs/>
          <w:sz w:val="32"/>
          <w:szCs w:val="32"/>
          <w:lang w:eastAsia="zh-CN"/>
        </w:rPr>
        <w:t>（一）群众工作经费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群众工作经费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：根据州财政</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年预算编制内容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eastAsia="zh-CN"/>
        </w:rPr>
        <w:t>中</w:t>
      </w:r>
      <w:r>
        <w:rPr>
          <w:rFonts w:hint="eastAsia" w:ascii="仿宋_GB2312" w:hAnsi="黑体" w:eastAsia="仿宋_GB2312"/>
          <w:sz w:val="32"/>
          <w:szCs w:val="32"/>
        </w:rPr>
        <w:t>村</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w:t>
      </w:r>
      <w:r>
        <w:rPr>
          <w:rFonts w:hint="eastAsia" w:ascii="仿宋_GB2312" w:hAnsi="黑体" w:eastAsia="仿宋_GB2312"/>
          <w:sz w:val="32"/>
          <w:szCs w:val="32"/>
          <w:lang w:eastAsia="zh-CN"/>
        </w:rPr>
        <w:t>（州林草局</w:t>
      </w:r>
      <w:r>
        <w:rPr>
          <w:rFonts w:hint="eastAsia" w:ascii="仿宋_GB2312" w:hAnsi="黑体" w:eastAsia="仿宋_GB2312"/>
          <w:sz w:val="32"/>
          <w:szCs w:val="32"/>
          <w:lang w:val="en-US" w:eastAsia="zh-CN"/>
        </w:rPr>
        <w:t>2个中村）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eastAsia="zh-CN"/>
        </w:rPr>
        <w:t>克孜勒苏柯尔克</w:t>
      </w:r>
      <w:r>
        <w:rPr>
          <w:rFonts w:hint="eastAsia" w:ascii="仿宋_GB2312" w:hAnsi="宋体" w:eastAsia="仿宋_GB2312" w:cs="宋体"/>
          <w:kern w:val="0"/>
          <w:sz w:val="32"/>
          <w:szCs w:val="32"/>
          <w:lang w:eastAsia="zh-CN"/>
        </w:rPr>
        <w:t>孜自治州林草局</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办公费</w:t>
      </w:r>
      <w:r>
        <w:rPr>
          <w:rFonts w:hint="eastAsia" w:ascii="仿宋_GB2312" w:hAnsi="黑体" w:eastAsia="仿宋_GB2312"/>
          <w:sz w:val="32"/>
          <w:szCs w:val="32"/>
          <w:lang w:val="en-US" w:eastAsia="zh-CN"/>
        </w:rPr>
        <w:t>3万元、水费1万元、电费1万元、邮电费1万元、取暖费1万元、办公用品及设备采购6万元、其他商品和服务支出1万元。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年1月1日—12月31日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b/>
          <w:bCs/>
          <w:kern w:val="0"/>
          <w:sz w:val="32"/>
          <w:szCs w:val="32"/>
          <w:lang w:eastAsia="zh-CN"/>
        </w:rPr>
        <w:t>（二）林业有害生物防治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林业有害生物防治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新</w:t>
      </w:r>
      <w:r>
        <w:rPr>
          <w:rFonts w:hint="eastAsia" w:ascii="仿宋_GB2312" w:hAnsi="宋体" w:eastAsia="仿宋_GB2312" w:cs="宋体"/>
          <w:kern w:val="0"/>
          <w:sz w:val="32"/>
          <w:szCs w:val="32"/>
          <w:lang w:eastAsia="zh-CN"/>
        </w:rPr>
        <w:t>财农</w:t>
      </w:r>
      <w:r>
        <w:rPr>
          <w:rFonts w:hint="eastAsia" w:ascii="仿宋_GB2312" w:hAnsi="仿宋_GB2312" w:eastAsia="仿宋_GB2312" w:cs="仿宋_GB2312"/>
          <w:kern w:val="0"/>
          <w:sz w:val="32"/>
          <w:szCs w:val="32"/>
          <w:lang w:val="en-US" w:eastAsia="zh-CN"/>
        </w:rPr>
        <w:t>[2018]5号文件</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10万元，其中：2020年预计</w:t>
      </w:r>
      <w:r>
        <w:rPr>
          <w:rFonts w:hint="eastAsia" w:ascii="仿宋_GB2312" w:hAnsi="黑体" w:eastAsia="仿宋_GB2312"/>
          <w:sz w:val="32"/>
          <w:szCs w:val="32"/>
          <w:lang w:val="en-US" w:eastAsia="zh-CN"/>
        </w:rPr>
        <w:t>上级补助收入</w:t>
      </w:r>
      <w:r>
        <w:rPr>
          <w:rFonts w:hint="eastAsia" w:ascii="仿宋_GB2312" w:hAnsi="宋体" w:eastAsia="仿宋_GB2312" w:cs="宋体"/>
          <w:kern w:val="0"/>
          <w:sz w:val="32"/>
          <w:szCs w:val="32"/>
          <w:lang w:val="en-US" w:eastAsia="zh-CN"/>
        </w:rPr>
        <w:t>10万元。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克孜勒苏柯尔克孜自治州林草局</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办公费</w:t>
      </w:r>
      <w:r>
        <w:rPr>
          <w:rFonts w:hint="eastAsia" w:ascii="仿宋_GB2312" w:hAnsi="宋体" w:eastAsia="仿宋_GB2312" w:cs="宋体"/>
          <w:kern w:val="0"/>
          <w:sz w:val="32"/>
          <w:szCs w:val="32"/>
          <w:lang w:val="en-US" w:eastAsia="zh-CN"/>
        </w:rPr>
        <w:t>2万元、印刷费1.5万元、差旅费2万元、培训费1.5万元公务用车运行维护费3万元。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年1月1日—12月31日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（三）资源林政管理经费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资源林政管理经费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新</w:t>
      </w:r>
      <w:r>
        <w:rPr>
          <w:rFonts w:hint="eastAsia" w:ascii="仿宋_GB2312" w:hAnsi="宋体" w:eastAsia="仿宋_GB2312" w:cs="宋体"/>
          <w:kern w:val="0"/>
          <w:sz w:val="32"/>
          <w:szCs w:val="32"/>
          <w:lang w:eastAsia="zh-CN"/>
        </w:rPr>
        <w:t>财农</w:t>
      </w:r>
      <w:r>
        <w:rPr>
          <w:rFonts w:hint="eastAsia" w:ascii="仿宋_GB2312" w:hAnsi="仿宋_GB2312" w:eastAsia="仿宋_GB2312" w:cs="仿宋_GB2312"/>
          <w:kern w:val="0"/>
          <w:sz w:val="32"/>
          <w:szCs w:val="32"/>
          <w:lang w:val="en-US" w:eastAsia="zh-CN"/>
        </w:rPr>
        <w:t>[2018]5号文件</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32万元，其中：上年结余6.94万元，2020年预计上级补助收入25.06万元。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克孜勒苏柯尔克孜自治州林草局</w:t>
      </w:r>
    </w:p>
    <w:p>
      <w:pPr>
        <w:widowControl/>
        <w:spacing w:line="540" w:lineRule="exact"/>
        <w:ind w:firstLine="640" w:firstLineChars="2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办公费</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印刷费</w:t>
      </w:r>
      <w:r>
        <w:rPr>
          <w:rFonts w:hint="eastAsia" w:ascii="仿宋_GB2312" w:hAnsi="宋体" w:eastAsia="仿宋_GB2312" w:cs="宋体"/>
          <w:kern w:val="0"/>
          <w:sz w:val="32"/>
          <w:szCs w:val="32"/>
          <w:lang w:val="en-US" w:eastAsia="zh-CN"/>
        </w:rPr>
        <w:t>3万元、</w:t>
      </w:r>
      <w:r>
        <w:rPr>
          <w:rFonts w:hint="eastAsia" w:ascii="仿宋_GB2312" w:hAnsi="宋体" w:eastAsia="仿宋_GB2312" w:cs="宋体"/>
          <w:kern w:val="0"/>
          <w:sz w:val="32"/>
          <w:szCs w:val="32"/>
          <w:lang w:eastAsia="zh-CN"/>
        </w:rPr>
        <w:t>差旅</w:t>
      </w:r>
      <w:r>
        <w:rPr>
          <w:rFonts w:hint="eastAsia" w:ascii="仿宋_GB2312" w:hAnsi="宋体" w:eastAsia="仿宋_GB2312" w:cs="宋体"/>
          <w:kern w:val="0"/>
          <w:sz w:val="32"/>
          <w:szCs w:val="32"/>
        </w:rPr>
        <w:t>费</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培训</w:t>
      </w:r>
      <w:r>
        <w:rPr>
          <w:rFonts w:hint="eastAsia" w:ascii="仿宋_GB2312" w:hAnsi="宋体" w:eastAsia="仿宋_GB2312" w:cs="宋体"/>
          <w:kern w:val="0"/>
          <w:sz w:val="32"/>
          <w:szCs w:val="32"/>
        </w:rPr>
        <w:t>费</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、其他商品服务支出</w:t>
      </w:r>
      <w:r>
        <w:rPr>
          <w:rFonts w:hint="eastAsia" w:ascii="仿宋_GB2312" w:hAnsi="宋体" w:eastAsia="仿宋_GB2312" w:cs="宋体"/>
          <w:kern w:val="0"/>
          <w:sz w:val="32"/>
          <w:szCs w:val="32"/>
          <w:lang w:val="en-US" w:eastAsia="zh-CN"/>
        </w:rPr>
        <w:t>8万元</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-2021年5月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（四）森林生态效益补偿</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森林生态效益补偿</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新</w:t>
      </w:r>
      <w:r>
        <w:rPr>
          <w:rFonts w:hint="eastAsia" w:ascii="仿宋_GB2312" w:hAnsi="宋体" w:eastAsia="仿宋_GB2312" w:cs="宋体"/>
          <w:kern w:val="0"/>
          <w:sz w:val="32"/>
          <w:szCs w:val="32"/>
          <w:lang w:eastAsia="zh-CN"/>
        </w:rPr>
        <w:t>财农</w:t>
      </w:r>
      <w:r>
        <w:rPr>
          <w:rFonts w:hint="eastAsia" w:ascii="仿宋_GB2312" w:hAnsi="仿宋_GB2312" w:eastAsia="仿宋_GB2312" w:cs="仿宋_GB2312"/>
          <w:kern w:val="0"/>
          <w:sz w:val="32"/>
          <w:szCs w:val="32"/>
          <w:lang w:val="en-US" w:eastAsia="zh-CN"/>
        </w:rPr>
        <w:t>[2018]5号文件</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65万元，其中：上年结余13.23万元，2020年预计上级补助收入51.77万元。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克孜勒苏柯尔克孜自治州林草局</w:t>
      </w:r>
    </w:p>
    <w:p>
      <w:pPr>
        <w:widowControl/>
        <w:spacing w:line="540" w:lineRule="exact"/>
        <w:ind w:firstLine="640" w:firstLineChars="2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办公费</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印刷费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lang w:eastAsia="zh-CN"/>
        </w:rPr>
        <w:t>差旅</w:t>
      </w:r>
      <w:r>
        <w:rPr>
          <w:rFonts w:hint="eastAsia" w:ascii="仿宋_GB2312" w:hAnsi="宋体" w:eastAsia="仿宋_GB2312" w:cs="宋体"/>
          <w:kern w:val="0"/>
          <w:sz w:val="32"/>
          <w:szCs w:val="32"/>
        </w:rPr>
        <w:t>费</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培训</w:t>
      </w:r>
      <w:r>
        <w:rPr>
          <w:rFonts w:hint="eastAsia" w:ascii="仿宋_GB2312" w:hAnsi="宋体" w:eastAsia="仿宋_GB2312" w:cs="宋体"/>
          <w:kern w:val="0"/>
          <w:sz w:val="32"/>
          <w:szCs w:val="32"/>
        </w:rPr>
        <w:t>费</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公务接待费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。其他商品服务支出</w:t>
      </w:r>
      <w:r>
        <w:rPr>
          <w:rFonts w:hint="eastAsia" w:ascii="仿宋_GB2312" w:hAnsi="宋体" w:eastAsia="仿宋_GB2312" w:cs="宋体"/>
          <w:kern w:val="0"/>
          <w:sz w:val="32"/>
          <w:szCs w:val="32"/>
          <w:lang w:val="en-US" w:eastAsia="zh-CN"/>
        </w:rPr>
        <w:t>30万元</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2021年5月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b/>
          <w:bCs/>
          <w:sz w:val="32"/>
          <w:szCs w:val="32"/>
          <w:lang w:val="en-US" w:eastAsia="zh-CN"/>
        </w:rPr>
      </w:pPr>
      <w:r>
        <w:rPr>
          <w:rFonts w:hint="eastAsia" w:ascii="仿宋_GB2312" w:hAnsi="黑体" w:eastAsia="仿宋_GB2312"/>
          <w:b/>
          <w:bCs/>
          <w:sz w:val="32"/>
          <w:szCs w:val="32"/>
          <w:lang w:eastAsia="zh-CN"/>
        </w:rPr>
        <w:t>（五）为民办实事经费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为民办实事经费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中</w:t>
      </w:r>
      <w:r>
        <w:rPr>
          <w:rFonts w:hint="eastAsia" w:ascii="仿宋_GB2312" w:hAnsi="宋体" w:eastAsia="仿宋_GB2312" w:cs="宋体"/>
          <w:kern w:val="0"/>
          <w:sz w:val="32"/>
          <w:szCs w:val="32"/>
        </w:rPr>
        <w:t>村</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（州林草局</w:t>
      </w:r>
      <w:r>
        <w:rPr>
          <w:rFonts w:hint="eastAsia" w:ascii="仿宋_GB2312" w:hAnsi="宋体" w:eastAsia="仿宋_GB2312" w:cs="宋体"/>
          <w:kern w:val="0"/>
          <w:sz w:val="32"/>
          <w:szCs w:val="32"/>
          <w:lang w:val="en-US" w:eastAsia="zh-CN"/>
        </w:rPr>
        <w:t>2个中村）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克孜勒苏柯尔克孜自治州林草局</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办公费</w:t>
      </w:r>
      <w:r>
        <w:rPr>
          <w:rFonts w:hint="eastAsia" w:ascii="仿宋_GB2312" w:hAnsi="黑体" w:eastAsia="仿宋_GB2312"/>
          <w:sz w:val="32"/>
          <w:szCs w:val="32"/>
          <w:lang w:val="en-US" w:eastAsia="zh-CN"/>
        </w:rPr>
        <w:t>5万元、办公用品及设备采购10万元、其他商品和服务支出5万元。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年1月1日—12月31日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（六）第一书记工作经费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lang w:eastAsia="zh-CN"/>
        </w:rPr>
        <w:t>第一书记工作经费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中</w:t>
      </w:r>
      <w:r>
        <w:rPr>
          <w:rFonts w:hint="eastAsia" w:ascii="仿宋_GB2312" w:hAnsi="宋体" w:eastAsia="仿宋_GB2312" w:cs="宋体"/>
          <w:kern w:val="0"/>
          <w:sz w:val="32"/>
          <w:szCs w:val="32"/>
        </w:rPr>
        <w:t>村</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（州林草局</w:t>
      </w:r>
      <w:r>
        <w:rPr>
          <w:rFonts w:hint="eastAsia" w:ascii="仿宋_GB2312" w:hAnsi="宋体" w:eastAsia="仿宋_GB2312" w:cs="宋体"/>
          <w:kern w:val="0"/>
          <w:sz w:val="32"/>
          <w:szCs w:val="32"/>
          <w:lang w:val="en-US" w:eastAsia="zh-CN"/>
        </w:rPr>
        <w:t>2个中村）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克孜勒苏柯尔克孜自治州林草局</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办公费</w:t>
      </w:r>
      <w:r>
        <w:rPr>
          <w:rFonts w:hint="eastAsia" w:ascii="仿宋_GB2312" w:hAnsi="黑体" w:eastAsia="仿宋_GB2312"/>
          <w:sz w:val="32"/>
          <w:szCs w:val="32"/>
          <w:lang w:val="en-US" w:eastAsia="zh-CN"/>
        </w:rPr>
        <w:t>1万元、其他商品和服务支出3万元。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年1月1日—12月31日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b/>
          <w:bCs/>
          <w:kern w:val="0"/>
          <w:sz w:val="32"/>
          <w:szCs w:val="32"/>
          <w:lang w:eastAsia="zh-CN"/>
        </w:rPr>
        <w:t>（七）援疆项目</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援疆项目经费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根据援疆工作会议相关精神</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65万元，其中：上年结余25万元。2020年预计上级补助收入40万元。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克孜勒苏柯尔克孜自治州林草局</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办公用品及设备采购</w:t>
      </w:r>
      <w:r>
        <w:rPr>
          <w:rFonts w:hint="eastAsia" w:ascii="仿宋_GB2312" w:hAnsi="宋体" w:eastAsia="仿宋_GB2312" w:cs="宋体"/>
          <w:kern w:val="0"/>
          <w:sz w:val="32"/>
          <w:szCs w:val="32"/>
          <w:lang w:val="en-US" w:eastAsia="zh-CN"/>
        </w:rPr>
        <w:t>45.2万元、其他商品和服务支出19.8万元。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1月</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2021年5月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林草局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hint="eastAsia" w:ascii="仿宋_GB2312" w:hAnsi="黑体" w:eastAsia="仿宋_GB2312"/>
          <w:sz w:val="32"/>
          <w:szCs w:val="32"/>
          <w:lang w:eastAsia="zh-CN"/>
        </w:rPr>
        <w:t>克州林草局</w:t>
      </w:r>
      <w:r>
        <w:rPr>
          <w:rFonts w:hint="eastAsia" w:ascii="仿宋_GB2312" w:hAnsi="黑体" w:eastAsia="仿宋_GB2312"/>
          <w:sz w:val="32"/>
          <w:szCs w:val="32"/>
          <w:lang w:val="en-US" w:eastAsia="zh-CN"/>
        </w:rPr>
        <w:t>2020</w:t>
      </w:r>
      <w:r>
        <w:rPr>
          <w:rFonts w:hint="eastAsia" w:ascii="仿宋_GB2312" w:hAnsi="黑体" w:eastAsia="仿宋_GB2312"/>
          <w:sz w:val="32"/>
          <w:szCs w:val="32"/>
        </w:rPr>
        <w:t xml:space="preserve">年“三公”经费财政拨款预算数为    </w:t>
      </w:r>
      <w:r>
        <w:rPr>
          <w:rFonts w:hint="eastAsia" w:ascii="仿宋_GB2312" w:hAnsi="黑体" w:eastAsia="仿宋_GB2312"/>
          <w:sz w:val="32"/>
          <w:szCs w:val="32"/>
          <w:lang w:val="en-US" w:eastAsia="zh-CN"/>
        </w:rPr>
        <w:t>5.5</w:t>
      </w:r>
      <w:r>
        <w:rPr>
          <w:rFonts w:hint="eastAsia" w:ascii="仿宋_GB2312" w:hAnsi="黑体" w:eastAsia="仿宋_GB2312"/>
          <w:sz w:val="32"/>
          <w:szCs w:val="32"/>
        </w:rPr>
        <w:t>万元，其中：因公出国（境）费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万元，公务用车购置</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万元，公务用车运行费</w:t>
      </w:r>
      <w:r>
        <w:rPr>
          <w:rFonts w:hint="eastAsia" w:ascii="仿宋_GB2312" w:hAnsi="黑体" w:eastAsia="仿宋_GB2312"/>
          <w:sz w:val="32"/>
          <w:szCs w:val="32"/>
          <w:lang w:val="en-US" w:eastAsia="zh-CN"/>
        </w:rPr>
        <w:t>4.5</w:t>
      </w:r>
      <w:r>
        <w:rPr>
          <w:rFonts w:hint="eastAsia" w:ascii="仿宋_GB2312" w:hAnsi="黑体" w:eastAsia="仿宋_GB2312"/>
          <w:sz w:val="32"/>
          <w:szCs w:val="32"/>
        </w:rPr>
        <w:t>万元，公务接待费</w:t>
      </w:r>
      <w:r>
        <w:rPr>
          <w:rFonts w:hint="eastAsia" w:ascii="仿宋_GB2312" w:hAnsi="黑体" w:eastAsia="仿宋_GB2312"/>
          <w:sz w:val="32"/>
          <w:szCs w:val="32"/>
          <w:lang w:val="en-US" w:eastAsia="zh-CN"/>
        </w:rPr>
        <w:t>1</w:t>
      </w:r>
      <w:r>
        <w:rPr>
          <w:rFonts w:hint="eastAsia" w:ascii="仿宋_GB2312" w:hAnsi="黑体" w:eastAsia="仿宋_GB2312"/>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年“三公”经费财政拨款预算比上年减少</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万元，其中：因公出国（境）费增加（减少）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万元，主要原因是未安排预算；公务用车购置费为0，未安排预算。公务用车运行费减少</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按照“三公”经费只减不增的原则</w:t>
      </w:r>
      <w:r>
        <w:rPr>
          <w:rFonts w:hint="eastAsia" w:ascii="仿宋_GB2312" w:hAnsi="黑体" w:eastAsia="仿宋_GB2312"/>
          <w:sz w:val="32"/>
          <w:szCs w:val="32"/>
        </w:rPr>
        <w:t>；公务接待费增加（减少）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与上年保持一致</w:t>
      </w:r>
      <w:r>
        <w:rPr>
          <w:rFonts w:hint="eastAsia" w:ascii="仿宋_GB2312" w:hAnsi="黑体" w:eastAsia="仿宋_GB2312"/>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克州林草局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克州林草</w:t>
      </w:r>
      <w:r>
        <w:rPr>
          <w:rFonts w:hint="eastAsia" w:ascii="仿宋_GB2312" w:hAnsi="宋体" w:eastAsia="仿宋_GB2312" w:cs="宋体"/>
          <w:color w:val="auto"/>
          <w:kern w:val="0"/>
          <w:sz w:val="32"/>
          <w:szCs w:val="32"/>
          <w:lang w:eastAsia="zh-CN"/>
        </w:rPr>
        <w:t>局</w:t>
      </w:r>
      <w:r>
        <w:rPr>
          <w:rFonts w:hint="eastAsia" w:ascii="仿宋_GB2312" w:hAnsi="宋体" w:eastAsia="仿宋_GB2312" w:cs="宋体"/>
          <w:color w:val="auto"/>
          <w:kern w:val="0"/>
          <w:sz w:val="32"/>
          <w:szCs w:val="32"/>
        </w:rPr>
        <w:t>本级及下属</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家行政单位和</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家事</w:t>
      </w:r>
      <w:r>
        <w:rPr>
          <w:rFonts w:hint="eastAsia" w:ascii="仿宋_GB2312" w:hAnsi="宋体" w:eastAsia="仿宋_GB2312" w:cs="宋体"/>
          <w:kern w:val="0"/>
          <w:sz w:val="32"/>
          <w:szCs w:val="32"/>
        </w:rPr>
        <w:t>业单位的机关运行经费财政拨款预算</w:t>
      </w:r>
      <w:r>
        <w:rPr>
          <w:rFonts w:hint="eastAsia" w:ascii="仿宋_GB2312" w:hAnsi="宋体" w:eastAsia="仿宋_GB2312" w:cs="宋体"/>
          <w:kern w:val="0"/>
          <w:sz w:val="32"/>
          <w:szCs w:val="32"/>
          <w:lang w:val="en-US" w:eastAsia="zh-CN"/>
        </w:rPr>
        <w:t>22.9</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0.17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0.75</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人员工资增资后工会费、福利费相对上年增加了</w:t>
      </w:r>
      <w:r>
        <w:rPr>
          <w:rFonts w:hint="eastAsia" w:ascii="仿宋_GB2312" w:hAnsi="宋体" w:eastAsia="仿宋_GB2312" w:cs="宋体"/>
          <w:kern w:val="0"/>
          <w:sz w:val="32"/>
          <w:szCs w:val="32"/>
          <w:lang w:val="en-US" w:eastAsia="zh-CN"/>
        </w:rPr>
        <w:t>0.17万元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克州林草局</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61.2</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55</w:t>
      </w:r>
      <w:r>
        <w:rPr>
          <w:rFonts w:hint="eastAsia" w:ascii="仿宋_GB2312" w:hAnsi="宋体" w:eastAsia="仿宋_GB2312" w:cs="宋体"/>
          <w:kern w:val="0"/>
          <w:sz w:val="32"/>
          <w:szCs w:val="32"/>
        </w:rPr>
        <w:t xml:space="preserve">万元，政府采购工程预算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6.2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宋体" w:eastAsia="仿宋_GB2312" w:cs="宋体"/>
          <w:kern w:val="0"/>
          <w:sz w:val="32"/>
          <w:szCs w:val="32"/>
          <w:lang w:val="en-US" w:eastAsia="zh-CN"/>
        </w:rPr>
        <w:t>61.2</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color w:val="auto"/>
          <w:kern w:val="0"/>
          <w:sz w:val="32"/>
          <w:szCs w:val="32"/>
        </w:rPr>
        <w:t>年底，</w:t>
      </w:r>
      <w:r>
        <w:rPr>
          <w:rFonts w:hint="eastAsia" w:ascii="仿宋_GB2312" w:hAnsi="宋体" w:eastAsia="仿宋_GB2312"/>
          <w:color w:val="auto"/>
          <w:kern w:val="0"/>
          <w:sz w:val="32"/>
          <w:szCs w:val="32"/>
          <w:lang w:eastAsia="zh-CN"/>
        </w:rPr>
        <w:t>克州林草局</w:t>
      </w:r>
      <w:r>
        <w:rPr>
          <w:rFonts w:hint="eastAsia" w:ascii="仿宋_GB2312" w:hAnsi="宋体" w:eastAsia="仿宋_GB2312" w:cs="宋体"/>
          <w:color w:val="auto"/>
          <w:kern w:val="0"/>
          <w:sz w:val="32"/>
          <w:szCs w:val="32"/>
        </w:rPr>
        <w:t>及下属各预</w:t>
      </w:r>
      <w:r>
        <w:rPr>
          <w:rFonts w:hint="eastAsia" w:ascii="仿宋_GB2312" w:hAnsi="宋体" w:eastAsia="仿宋_GB2312" w:cs="宋体"/>
          <w:kern w:val="0"/>
          <w:sz w:val="32"/>
          <w:szCs w:val="32"/>
        </w:rPr>
        <w:t>算单位占用使用国有资产总体情况为</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350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51.29</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82.29</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82.29</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186.3</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960" w:firstLineChars="3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145</w:t>
      </w:r>
      <w:r>
        <w:rPr>
          <w:rFonts w:hint="eastAsia" w:ascii="仿宋_GB2312" w:hAnsi="宋体" w:eastAsia="仿宋_GB2312" w:cs="宋体"/>
          <w:kern w:val="0"/>
          <w:sz w:val="32"/>
          <w:szCs w:val="32"/>
        </w:rPr>
        <w:t>万元。具体情况见下表：</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克孜勒苏柯尔克孜自治州林草局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为民办实事经费</w:t>
            </w:r>
          </w:p>
        </w:tc>
      </w:tr>
      <w:tr>
        <w:tblPrEx>
          <w:tblLayout w:type="fixed"/>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20万元</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eastAsia="宋体" w:cs="宋体"/>
                <w:i w:val="0"/>
                <w:caps w:val="0"/>
                <w:color w:val="414141"/>
                <w:spacing w:val="0"/>
                <w:sz w:val="20"/>
                <w:szCs w:val="20"/>
                <w:shd w:val="clear" w:fill="FFFFFF"/>
              </w:rPr>
              <w:t>通过积极开展群众工作，深入基层，帮助群众解决实际困难，宣传国家相关政策及法律法规，宣传党的十九大精神，维护社会稳定和长治久安。用于开展群众工作期间为民办实事办好事支出</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办公费及村委会支出</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5万元</w:t>
            </w: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开展各类宣传、节日活动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10万元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购买办公用品等</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5万元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帮助他们解决生产生活中的实际困难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到20</w:t>
            </w:r>
            <w:r>
              <w:rPr>
                <w:rFonts w:hint="eastAsia" w:ascii="仿宋_GB2312" w:hAnsi="仿宋_GB2312" w:eastAsia="仿宋_GB2312" w:cs="仿宋_GB2312"/>
                <w:kern w:val="0"/>
                <w:sz w:val="21"/>
                <w:szCs w:val="21"/>
                <w:lang w:val="en-US" w:eastAsia="zh-CN"/>
              </w:rPr>
              <w:t>20</w:t>
            </w:r>
            <w:r>
              <w:rPr>
                <w:rFonts w:hint="eastAsia" w:ascii="仿宋_GB2312" w:hAnsi="仿宋_GB2312" w:eastAsia="仿宋_GB2312" w:cs="仿宋_GB2312"/>
                <w:kern w:val="0"/>
                <w:sz w:val="21"/>
                <w:szCs w:val="21"/>
                <w:lang w:eastAsia="zh-CN"/>
              </w:rPr>
              <w:t>年1</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月项目资金使用</w:t>
            </w:r>
            <w:r>
              <w:rPr>
                <w:rFonts w:hint="eastAsia" w:ascii="仿宋_GB2312" w:hAnsi="仿宋_GB2312" w:eastAsia="仿宋_GB2312" w:cs="仿宋_GB2312"/>
                <w:kern w:val="0"/>
                <w:sz w:val="21"/>
                <w:szCs w:val="21"/>
                <w:lang w:val="en-US" w:eastAsia="zh-CN"/>
              </w:rPr>
              <w:t>20</w:t>
            </w:r>
            <w:r>
              <w:rPr>
                <w:rFonts w:hint="eastAsia" w:ascii="仿宋_GB2312" w:hAnsi="仿宋_GB2312" w:eastAsia="仿宋_GB2312" w:cs="仿宋_GB2312"/>
                <w:kern w:val="0"/>
                <w:sz w:val="21"/>
                <w:szCs w:val="21"/>
                <w:lang w:eastAsia="zh-CN"/>
              </w:rPr>
              <w:t>万元</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98%</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解决群众生产生活困难、举办各类活动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通过开展群众工作解决困难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20"/>
                <w:szCs w:val="20"/>
                <w:lang w:val="en-US" w:eastAsia="zh-CN"/>
              </w:rPr>
              <w:t>75</w:t>
            </w: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帮助群众解决生产生活困难</w:t>
            </w: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克孜勒苏柯尔克孜自治州林草局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林业有害生物防治费</w:t>
            </w:r>
          </w:p>
        </w:tc>
      </w:tr>
      <w:tr>
        <w:tblPrEx>
          <w:tblLayout w:type="fixed"/>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10万元</w:t>
            </w:r>
            <w:r>
              <w:rPr>
                <w:rFonts w:hint="default" w:ascii="Times New Roman" w:hAnsi="Times New Roman" w:cs="Times New Roman"/>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lang w:val="en-US" w:eastAsia="zh-CN"/>
              </w:rPr>
              <w:t>1</w:t>
            </w:r>
            <w:r>
              <w:rPr>
                <w:rFonts w:hint="eastAsia" w:ascii="Times New Roman" w:hAnsi="Times New Roman" w:cs="Times New Roman"/>
                <w:kern w:val="0"/>
                <w:sz w:val="18"/>
                <w:szCs w:val="18"/>
                <w:lang w:val="en-US" w:eastAsia="zh-CN"/>
              </w:rPr>
              <w:t>0</w:t>
            </w:r>
            <w:r>
              <w:rPr>
                <w:rFonts w:hint="default" w:ascii="Times New Roman" w:hAnsi="Times New Roman" w:cs="Times New Roman"/>
                <w:kern w:val="0"/>
                <w:sz w:val="18"/>
                <w:szCs w:val="18"/>
                <w:lang w:val="en-US" w:eastAsia="zh-CN"/>
              </w:rPr>
              <w:t>万元</w:t>
            </w: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hint="default" w:ascii="Times New Roman" w:hAnsi="Times New Roman" w:cs="Times New Roman"/>
                <w:kern w:val="0"/>
                <w:sz w:val="18"/>
                <w:szCs w:val="18"/>
              </w:rPr>
            </w:pPr>
            <w:r>
              <w:rPr>
                <w:rFonts w:hint="eastAsia" w:ascii="仿宋_GB2312" w:hAnsi="仿宋_GB2312" w:eastAsia="仿宋_GB2312" w:cs="仿宋_GB2312"/>
                <w:i w:val="0"/>
                <w:color w:val="000000"/>
                <w:kern w:val="0"/>
                <w:sz w:val="21"/>
                <w:szCs w:val="21"/>
                <w:u w:val="none"/>
                <w:lang w:val="en-US" w:eastAsia="zh-CN" w:bidi="ar"/>
              </w:rPr>
              <w:t>对克州6.33万亩葡萄种植地以及葡萄储存、销售场所进行葡萄蛀果蛾专项普查，了解掌握克州葡萄蛀果蛾发生区域、面积与为害程度。</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3辆普查工作用车燃油费</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1"/>
                <w:szCs w:val="21"/>
              </w:rPr>
            </w:pPr>
            <w:r>
              <w:rPr>
                <w:rFonts w:hint="eastAsia" w:ascii="Times New Roman" w:hAnsi="Times New Roman" w:eastAsia="仿宋_GB2312" w:cs="Times New Roman"/>
                <w:i w:val="0"/>
                <w:color w:val="000000"/>
                <w:kern w:val="0"/>
                <w:sz w:val="21"/>
                <w:szCs w:val="21"/>
                <w:u w:val="none"/>
                <w:lang w:val="en-US" w:eastAsia="zh-CN" w:bidi="ar"/>
              </w:rPr>
              <w:t>3</w:t>
            </w:r>
            <w:r>
              <w:rPr>
                <w:rFonts w:hint="default" w:ascii="Times New Roman" w:hAnsi="Times New Roman" w:eastAsia="仿宋_GB2312" w:cs="Times New Roman"/>
                <w:i w:val="0"/>
                <w:color w:val="000000"/>
                <w:kern w:val="0"/>
                <w:sz w:val="21"/>
                <w:szCs w:val="21"/>
                <w:u w:val="none"/>
                <w:lang w:val="en-US" w:eastAsia="zh-CN" w:bidi="ar"/>
              </w:rPr>
              <w:t>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普查人员培训费</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0.02万元/人</w:t>
            </w:r>
          </w:p>
        </w:tc>
      </w:tr>
      <w:tr>
        <w:tblPrEx>
          <w:tblLayout w:type="fixed"/>
          <w:tblCellMar>
            <w:top w:w="0" w:type="dxa"/>
            <w:left w:w="108" w:type="dxa"/>
            <w:bottom w:w="0" w:type="dxa"/>
            <w:right w:w="108" w:type="dxa"/>
          </w:tblCellMar>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普查方案编制及资料费</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3万元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督促指导与检查调查工作交通差旅费</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0.08万元/次</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Style w:val="25"/>
                <w:rFonts w:hint="eastAsia" w:ascii="仿宋_GB2312" w:hAnsi="仿宋_GB2312" w:eastAsia="仿宋_GB2312" w:cs="仿宋_GB2312"/>
                <w:sz w:val="21"/>
                <w:szCs w:val="21"/>
                <w:lang w:val="en-US" w:eastAsia="zh-CN" w:bidi="ar"/>
              </w:rPr>
              <w:t>普查限期</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2020年4月-10月</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普查任务完成率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100%</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普查阿图什市、阿克陶县葡萄种植地</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6.33万亩</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Style w:val="25"/>
                <w:rFonts w:hint="eastAsia" w:ascii="仿宋_GB2312" w:hAnsi="仿宋_GB2312" w:eastAsia="仿宋_GB2312" w:cs="仿宋_GB2312"/>
                <w:sz w:val="21"/>
                <w:szCs w:val="21"/>
                <w:lang w:val="en-US" w:eastAsia="zh-CN" w:bidi="ar"/>
              </w:rPr>
              <w:t>抽查阿图什市、阿克陶县葡萄储存场所</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≧10个</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Style w:val="25"/>
                <w:rFonts w:hint="eastAsia" w:ascii="仿宋_GB2312" w:hAnsi="仿宋_GB2312" w:eastAsia="仿宋_GB2312" w:cs="仿宋_GB2312"/>
                <w:sz w:val="21"/>
                <w:szCs w:val="21"/>
                <w:lang w:val="en-US" w:eastAsia="zh-CN" w:bidi="ar"/>
              </w:rPr>
              <w:t>专项普查工作培训</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24人</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督促指导与检查调查工作</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25次</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Style w:val="25"/>
                <w:rFonts w:hint="eastAsia" w:ascii="仿宋_GB2312" w:hAnsi="仿宋_GB2312" w:eastAsia="仿宋_GB2312" w:cs="仿宋_GB2312"/>
                <w:sz w:val="21"/>
                <w:szCs w:val="21"/>
                <w:lang w:val="en-US" w:eastAsia="zh-CN" w:bidi="ar"/>
              </w:rPr>
              <w:t>普查工作结束形成《葡萄蛀果蛾专项普查工作报告》</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1个</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Style w:val="26"/>
                <w:rFonts w:hint="eastAsia" w:ascii="仿宋_GB2312" w:hAnsi="仿宋_GB2312" w:eastAsia="仿宋_GB2312" w:cs="仿宋_GB2312"/>
                <w:sz w:val="21"/>
                <w:szCs w:val="21"/>
                <w:lang w:val="en-US" w:eastAsia="zh-CN" w:bidi="ar"/>
              </w:rPr>
              <w:t>是否有利于社会和谐稳定</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Style w:val="26"/>
                <w:rFonts w:hint="eastAsia" w:ascii="仿宋_GB2312" w:hAnsi="仿宋_GB2312" w:eastAsia="仿宋_GB2312" w:cs="仿宋_GB2312"/>
                <w:sz w:val="21"/>
                <w:szCs w:val="21"/>
                <w:lang w:val="en-US" w:eastAsia="zh-CN" w:bidi="ar"/>
              </w:rPr>
              <w:t>是</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Style w:val="25"/>
                <w:rFonts w:hint="eastAsia" w:ascii="仿宋_GB2312" w:hAnsi="仿宋_GB2312" w:eastAsia="仿宋_GB2312" w:cs="仿宋_GB2312"/>
                <w:sz w:val="21"/>
                <w:szCs w:val="21"/>
                <w:lang w:val="en-US" w:eastAsia="zh-CN" w:bidi="ar"/>
              </w:rPr>
              <w:t>葡萄蛀果蛾为害率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≦1%</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≥95%</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1906" w:h="16838"/>
          <w:pgMar w:top="1440" w:right="1800" w:bottom="1440" w:left="1800" w:header="851" w:footer="992" w:gutter="0"/>
          <w:pgNumType w:fmt="numberInDash" w:start="21"/>
          <w:cols w:space="0" w:num="1"/>
          <w:rtlGutter w:val="0"/>
          <w:docGrid w:type="lines" w:linePitch="312" w:charSpace="0"/>
        </w:sect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501"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克孜勒苏柯尔克孜自治州林草局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eastAsia="zh-CN"/>
              </w:rPr>
              <w:t>资源林政管理经费</w:t>
            </w:r>
          </w:p>
        </w:tc>
      </w:tr>
      <w:tr>
        <w:tblPrEx>
          <w:tblLayout w:type="fixed"/>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32万元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32万元</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b w:val="0"/>
                <w:bCs w:val="0"/>
                <w:kern w:val="0"/>
                <w:sz w:val="20"/>
                <w:szCs w:val="20"/>
              </w:rPr>
              <w:t>通过天保工程二期检查验收，天保工程区的生态状况从逐步好转，生物多样性明显增加，森林生态功能明显增强；</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20"/>
                <w:szCs w:val="20"/>
              </w:rPr>
              <w:t>克州林业和草原局国家级公益林检查验收资金</w:t>
            </w: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32万元</w:t>
            </w:r>
          </w:p>
        </w:tc>
      </w:tr>
      <w:tr>
        <w:tblPrEx>
          <w:tblLayout w:type="fixed"/>
        </w:tblPrEx>
        <w:trPr>
          <w:trHeight w:val="674"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天然林保护二期工程检查验收任务完成时限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lang w:val="en-US" w:eastAsia="zh-CN"/>
              </w:rPr>
              <w:t>2021年5月31日前</w:t>
            </w:r>
          </w:p>
        </w:tc>
      </w:tr>
      <w:tr>
        <w:tblPrEx>
          <w:tblLayout w:type="fixed"/>
          <w:tblCellMar>
            <w:top w:w="0" w:type="dxa"/>
            <w:left w:w="108" w:type="dxa"/>
            <w:bottom w:w="0" w:type="dxa"/>
            <w:right w:w="108" w:type="dxa"/>
          </w:tblCellMar>
        </w:tblPrEx>
        <w:trPr>
          <w:trHeight w:val="31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天然林保护二期工程的面积</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lang w:val="en-US" w:eastAsia="zh-CN"/>
              </w:rPr>
              <w:t>18.01万亩</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天然林保护二期工程检查验收任务完成率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p>
        </w:tc>
      </w:tr>
      <w:tr>
        <w:tblPrEx>
          <w:tblLayout w:type="fixed"/>
          <w:tblCellMar>
            <w:top w:w="0" w:type="dxa"/>
            <w:left w:w="108" w:type="dxa"/>
            <w:bottom w:w="0" w:type="dxa"/>
            <w:right w:w="108" w:type="dxa"/>
          </w:tblCellMar>
        </w:tblPrEx>
        <w:trPr>
          <w:trHeight w:val="3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4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95"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仿宋_GB2312" w:hAnsi="仿宋_GB2312" w:eastAsia="仿宋_GB2312" w:cs="仿宋_GB2312"/>
              </w:rPr>
              <w:t>通过检查验收使国家级公益林得到保护，恢复地表植被，林地质量得到提高</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森林覆盖率的影响</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≧0.01%</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国家级公益林实施单位管护</w:t>
            </w:r>
            <w:r>
              <w:rPr>
                <w:rFonts w:hint="eastAsia" w:ascii="宋体" w:hAnsi="宋体" w:cs="宋体"/>
                <w:kern w:val="0"/>
                <w:sz w:val="20"/>
                <w:szCs w:val="20"/>
              </w:rPr>
              <w:t>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20" w:lineRule="exact"/>
        <w:ind w:firstLine="630" w:firstLineChars="196"/>
        <w:jc w:val="left"/>
        <w:rPr>
          <w:rFonts w:hint="eastAsia" w:ascii="楷体_GB2312" w:hAnsi="宋体" w:eastAsia="楷体_GB2312" w:cs="宋体"/>
          <w:b/>
          <w:kern w:val="0"/>
          <w:sz w:val="32"/>
          <w:szCs w:val="32"/>
        </w:r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502"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克孜勒苏柯尔克孜自治州林草局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eastAsia="zh-CN"/>
              </w:rPr>
              <w:t>森林生态效益补偿费</w:t>
            </w:r>
          </w:p>
        </w:tc>
      </w:tr>
      <w:tr>
        <w:tblPrEx>
          <w:tblLayout w:type="fixed"/>
          <w:tblCellMar>
            <w:top w:w="0" w:type="dxa"/>
            <w:left w:w="108" w:type="dxa"/>
            <w:bottom w:w="0" w:type="dxa"/>
            <w:right w:w="108" w:type="dxa"/>
          </w:tblCellMar>
        </w:tblPrEx>
        <w:trPr>
          <w:trHeight w:val="1055"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65万元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65万元</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07"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rPr>
              <w:t>通过森林生态效益补偿基金，对克州范围内的国家级公益林进行监管，严格禁止乱砍滥伐，杜绝擅自改变国家级公益林地用途，确保国家级公益林资源得到有效保护。</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41"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20"/>
                <w:szCs w:val="20"/>
              </w:rPr>
              <w:t>国家级公益林检查验收资金</w:t>
            </w: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65万元</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国家级公益林检查验收任务完成时限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lang w:val="en-US"/>
              </w:rPr>
            </w:pPr>
            <w:r>
              <w:rPr>
                <w:rFonts w:hint="eastAsia" w:ascii="宋体" w:hAnsi="宋体" w:cs="宋体"/>
                <w:kern w:val="0"/>
                <w:sz w:val="20"/>
                <w:szCs w:val="20"/>
                <w:lang w:val="en-US" w:eastAsia="zh-CN"/>
              </w:rPr>
              <w:t>2020年-2021年5月31日</w:t>
            </w:r>
          </w:p>
        </w:tc>
      </w:tr>
      <w:tr>
        <w:tblPrEx>
          <w:tblLayout w:type="fixed"/>
          <w:tblCellMar>
            <w:top w:w="0" w:type="dxa"/>
            <w:left w:w="108" w:type="dxa"/>
            <w:bottom w:w="0" w:type="dxa"/>
            <w:right w:w="108" w:type="dxa"/>
          </w:tblCellMar>
        </w:tblPrEx>
        <w:trPr>
          <w:trHeight w:val="26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全州国家级公益林森林生态效益补偿面积</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lang w:val="en-US" w:eastAsia="zh-CN"/>
              </w:rPr>
              <w:t>173.32万亩</w:t>
            </w:r>
          </w:p>
        </w:tc>
      </w:tr>
      <w:tr>
        <w:tblPrEx>
          <w:tblLayout w:type="fixed"/>
          <w:tblCellMar>
            <w:top w:w="0" w:type="dxa"/>
            <w:left w:w="108" w:type="dxa"/>
            <w:bottom w:w="0" w:type="dxa"/>
            <w:right w:w="108" w:type="dxa"/>
          </w:tblCellMar>
        </w:tblPrEx>
        <w:trPr>
          <w:trHeight w:val="295"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国家级公益林有效管护率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p>
        </w:tc>
      </w:tr>
      <w:tr>
        <w:tblPrEx>
          <w:tblLayout w:type="fixed"/>
          <w:tblCellMar>
            <w:top w:w="0" w:type="dxa"/>
            <w:left w:w="108" w:type="dxa"/>
            <w:bottom w:w="0" w:type="dxa"/>
            <w:right w:w="108" w:type="dxa"/>
          </w:tblCellMar>
        </w:tblPrEx>
        <w:trPr>
          <w:trHeight w:val="2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94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仿宋_GB2312" w:hAnsi="仿宋_GB2312" w:eastAsia="仿宋_GB2312" w:cs="仿宋_GB2312"/>
              </w:rPr>
              <w:t>通过检查验收使国家级公益林得到保护，恢复地表植被，林地质量得到提高</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94"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仿宋_GB2312" w:hAnsi="仿宋_GB2312" w:eastAsia="仿宋_GB2312" w:cs="仿宋_GB2312"/>
              </w:rPr>
              <w:t>通过检查验收使国家级公益林得到保护，恢复地表植被，林地质量得到提高</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6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rPr>
              <w:t>森林覆盖率的影响</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≧0.01%</w:t>
            </w:r>
          </w:p>
        </w:tc>
      </w:tr>
      <w:tr>
        <w:tblPrEx>
          <w:tblLayout w:type="fixed"/>
        </w:tblPrEx>
        <w:trPr>
          <w:trHeight w:val="2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国家级公益林实施单位管护</w:t>
            </w:r>
            <w:r>
              <w:rPr>
                <w:rFonts w:hint="eastAsia" w:ascii="宋体" w:hAnsi="宋体" w:cs="宋体"/>
                <w:kern w:val="0"/>
                <w:sz w:val="20"/>
                <w:szCs w:val="20"/>
              </w:rPr>
              <w:t>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452"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克孜勒苏柯尔克孜自治州林草局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第一书记工作经费</w:t>
            </w:r>
          </w:p>
        </w:tc>
      </w:tr>
      <w:tr>
        <w:tblPrEx>
          <w:tblLayout w:type="fixed"/>
          <w:tblCellMar>
            <w:top w:w="0" w:type="dxa"/>
            <w:left w:w="108" w:type="dxa"/>
            <w:bottom w:w="0" w:type="dxa"/>
            <w:right w:w="108" w:type="dxa"/>
          </w:tblCellMar>
        </w:tblPrEx>
        <w:trPr>
          <w:trHeight w:val="787"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4万元</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52"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eastAsia="宋体" w:cs="宋体"/>
                <w:i w:val="0"/>
                <w:caps w:val="0"/>
                <w:color w:val="414141"/>
                <w:spacing w:val="0"/>
                <w:sz w:val="20"/>
                <w:szCs w:val="20"/>
                <w:shd w:val="clear" w:fill="FFFFFF"/>
              </w:rPr>
              <w:t>通过积极开展群众工作，深入基层，帮助群众解决实际困难，宣传国家相关政策及法律法规，宣传党的十九大精神，维护社会稳定和长治久安。用于开展群众工作期间为民办实事办好事支出</w:t>
            </w: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444"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为民办实事办公费</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0.5万元</w:t>
            </w: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开展各类宣传、节日活动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3万元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购买办公用品等</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0.5万元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帮助他们解决生产生活中的实际困难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到20</w:t>
            </w:r>
            <w:r>
              <w:rPr>
                <w:rFonts w:hint="eastAsia" w:ascii="仿宋_GB2312" w:hAnsi="仿宋_GB2312" w:eastAsia="仿宋_GB2312" w:cs="仿宋_GB2312"/>
                <w:kern w:val="0"/>
                <w:sz w:val="21"/>
                <w:szCs w:val="21"/>
                <w:lang w:val="en-US" w:eastAsia="zh-CN"/>
              </w:rPr>
              <w:t>20</w:t>
            </w:r>
            <w:r>
              <w:rPr>
                <w:rFonts w:hint="eastAsia" w:ascii="仿宋_GB2312" w:hAnsi="仿宋_GB2312" w:eastAsia="仿宋_GB2312" w:cs="仿宋_GB2312"/>
                <w:kern w:val="0"/>
                <w:sz w:val="21"/>
                <w:szCs w:val="21"/>
                <w:lang w:eastAsia="zh-CN"/>
              </w:rPr>
              <w:t>年1</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月项目资金使用</w:t>
            </w:r>
            <w:r>
              <w:rPr>
                <w:rFonts w:hint="eastAsia" w:ascii="仿宋_GB2312" w:hAnsi="仿宋_GB2312" w:eastAsia="仿宋_GB2312" w:cs="仿宋_GB2312"/>
                <w:kern w:val="0"/>
                <w:sz w:val="21"/>
                <w:szCs w:val="21"/>
                <w:lang w:val="en-US" w:eastAsia="zh-CN"/>
              </w:rPr>
              <w:t>4</w:t>
            </w:r>
            <w:r>
              <w:rPr>
                <w:rFonts w:hint="eastAsia" w:ascii="仿宋_GB2312" w:hAnsi="仿宋_GB2312" w:eastAsia="仿宋_GB2312" w:cs="仿宋_GB2312"/>
                <w:kern w:val="0"/>
                <w:sz w:val="21"/>
                <w:szCs w:val="21"/>
                <w:lang w:eastAsia="zh-CN"/>
              </w:rPr>
              <w:t>万元</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98%</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解决群众生产生活困难、举办各类活动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通过开展群众工作解决困难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20"/>
                <w:szCs w:val="20"/>
                <w:lang w:val="en-US" w:eastAsia="zh-CN"/>
              </w:rPr>
              <w:t>75</w:t>
            </w: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帮助群众解决生产生活困难</w:t>
            </w: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495"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46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克孜勒苏柯尔克孜自治州林草局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群众工作经费</w:t>
            </w:r>
          </w:p>
        </w:tc>
      </w:tr>
      <w:tr>
        <w:tblPrEx>
          <w:tblLayout w:type="fixed"/>
          <w:tblCellMar>
            <w:top w:w="0" w:type="dxa"/>
            <w:left w:w="108" w:type="dxa"/>
            <w:bottom w:w="0" w:type="dxa"/>
            <w:right w:w="108" w:type="dxa"/>
          </w:tblCellMar>
        </w:tblPrEx>
        <w:trPr>
          <w:trHeight w:val="1005"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14万元</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因</w:t>
            </w:r>
            <w:r>
              <w:rPr>
                <w:rFonts w:hint="eastAsia" w:ascii="宋体" w:hAnsi="宋体" w:cs="宋体"/>
                <w:kern w:val="0"/>
                <w:sz w:val="18"/>
                <w:szCs w:val="18"/>
                <w:lang w:eastAsia="zh-CN"/>
              </w:rPr>
              <w:t>联建</w:t>
            </w:r>
            <w:r>
              <w:rPr>
                <w:rFonts w:hint="eastAsia" w:ascii="宋体" w:hAnsi="宋体" w:cs="宋体"/>
                <w:kern w:val="0"/>
                <w:sz w:val="18"/>
                <w:szCs w:val="18"/>
              </w:rPr>
              <w:t>工作需要而产生的经费主要日常工作产生办公用品、访贫问苦、为群众送服务、送温暖、开展各项活动。</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用于办公费等开支</w:t>
            </w:r>
            <w:r>
              <w:rPr>
                <w:rFonts w:hint="eastAsia" w:ascii="仿宋_GB2312" w:hAnsi="仿宋_GB2312" w:eastAsia="仿宋_GB2312" w:cs="仿宋_GB2312"/>
                <w:kern w:val="0"/>
                <w:sz w:val="21"/>
                <w:szCs w:val="21"/>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4万元</w:t>
            </w: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开展各类宣传、节日活动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6万元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购买办公用品慰问品等</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4万元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帮助他们解决生产生活中的实际困难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到20</w:t>
            </w:r>
            <w:r>
              <w:rPr>
                <w:rFonts w:hint="eastAsia" w:ascii="仿宋_GB2312" w:hAnsi="仿宋_GB2312" w:eastAsia="仿宋_GB2312" w:cs="仿宋_GB2312"/>
                <w:kern w:val="0"/>
                <w:sz w:val="21"/>
                <w:szCs w:val="21"/>
                <w:lang w:val="en-US" w:eastAsia="zh-CN"/>
              </w:rPr>
              <w:t>20</w:t>
            </w:r>
            <w:r>
              <w:rPr>
                <w:rFonts w:hint="eastAsia" w:ascii="仿宋_GB2312" w:hAnsi="仿宋_GB2312" w:eastAsia="仿宋_GB2312" w:cs="仿宋_GB2312"/>
                <w:kern w:val="0"/>
                <w:sz w:val="21"/>
                <w:szCs w:val="21"/>
                <w:lang w:eastAsia="zh-CN"/>
              </w:rPr>
              <w:t>年1</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月项目资金使用1</w:t>
            </w:r>
            <w:r>
              <w:rPr>
                <w:rFonts w:hint="eastAsia" w:ascii="仿宋_GB2312" w:hAnsi="仿宋_GB2312" w:eastAsia="仿宋_GB2312" w:cs="仿宋_GB2312"/>
                <w:kern w:val="0"/>
                <w:sz w:val="21"/>
                <w:szCs w:val="21"/>
                <w:lang w:val="en-US" w:eastAsia="zh-CN"/>
              </w:rPr>
              <w:t>4</w:t>
            </w:r>
            <w:r>
              <w:rPr>
                <w:rFonts w:hint="eastAsia" w:ascii="仿宋_GB2312" w:hAnsi="仿宋_GB2312" w:eastAsia="仿宋_GB2312" w:cs="仿宋_GB2312"/>
                <w:kern w:val="0"/>
                <w:sz w:val="21"/>
                <w:szCs w:val="21"/>
                <w:lang w:eastAsia="zh-CN"/>
              </w:rPr>
              <w:t>万元</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解决群众生产生活困难、举办各类活动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通过开展群众工作解决困难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20"/>
                <w:szCs w:val="20"/>
                <w:lang w:val="en-US" w:eastAsia="zh-CN"/>
              </w:rPr>
              <w:t>75</w:t>
            </w: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3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帮助群众解决生产生活困难</w:t>
            </w: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jc w:val="center"/>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克孜勒苏柯尔克孜自治州林草局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援疆项目</w:t>
            </w:r>
          </w:p>
        </w:tc>
      </w:tr>
      <w:tr>
        <w:tblPrEx>
          <w:tblLayout w:type="fixed"/>
          <w:tblCellMar>
            <w:top w:w="0" w:type="dxa"/>
            <w:left w:w="108" w:type="dxa"/>
            <w:bottom w:w="0" w:type="dxa"/>
            <w:right w:w="108" w:type="dxa"/>
          </w:tblCellMar>
        </w:tblPrEx>
        <w:trPr>
          <w:trHeight w:val="704"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65万元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65万元</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11"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木纳格葡萄提质增效项目</w:t>
            </w:r>
            <w:r>
              <w:rPr>
                <w:rFonts w:hint="eastAsia" w:ascii="仿宋_GB2312" w:hAnsi="仿宋_GB2312" w:eastAsia="仿宋_GB2312" w:cs="仿宋_GB2312"/>
                <w:kern w:val="0"/>
                <w:sz w:val="21"/>
                <w:szCs w:val="21"/>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40万元</w:t>
            </w: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援疆工作经费</w:t>
            </w:r>
            <w:r>
              <w:rPr>
                <w:rFonts w:hint="eastAsia" w:ascii="仿宋_GB2312" w:hAnsi="仿宋_GB2312" w:eastAsia="仿宋_GB2312" w:cs="仿宋_GB2312"/>
                <w:kern w:val="0"/>
                <w:sz w:val="21"/>
                <w:szCs w:val="21"/>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20万元</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项目完成时限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阿图什市阿扎克乡铁提尔村葡萄长廊</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23.3亩</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对口援疆工作单位</w:t>
            </w: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2个</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仿宋_GB2312" w:hAnsi="仿宋_GB2312" w:eastAsia="仿宋_GB2312" w:cs="仿宋_GB2312"/>
                <w:kern w:val="0"/>
                <w:sz w:val="21"/>
                <w:szCs w:val="21"/>
                <w:lang w:eastAsia="zh-CN"/>
              </w:rPr>
              <w:t>提质增效关键技术栽培示范、宣传推广</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仿宋_GB2312" w:hAnsi="仿宋_GB2312" w:eastAsia="仿宋_GB2312" w:cs="仿宋_GB2312"/>
                <w:kern w:val="0"/>
                <w:sz w:val="21"/>
                <w:szCs w:val="21"/>
                <w:lang w:eastAsia="zh-CN"/>
              </w:rPr>
              <w:t>用于州、县林业局办公设备更新和信息化建设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20"/>
                <w:szCs w:val="20"/>
                <w:lang w:val="en-US" w:eastAsia="zh-CN"/>
              </w:rPr>
              <w:t>50</w:t>
            </w:r>
            <w:r>
              <w:rPr>
                <w:rFonts w:hint="eastAsia" w:ascii="宋体" w:hAnsi="宋体" w:cs="宋体"/>
                <w:kern w:val="0"/>
                <w:sz w:val="20"/>
                <w:szCs w:val="20"/>
              </w:rPr>
              <w:t>%</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提高果农收入</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20"/>
                <w:szCs w:val="20"/>
                <w:lang w:val="en-US" w:eastAsia="zh-CN"/>
              </w:rPr>
              <w:t>50</w:t>
            </w:r>
            <w:r>
              <w:rPr>
                <w:rFonts w:hint="eastAsia" w:ascii="宋体" w:hAnsi="宋体" w:cs="宋体"/>
                <w:kern w:val="0"/>
                <w:sz w:val="20"/>
                <w:szCs w:val="20"/>
              </w:rPr>
              <w:t>%</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提高果农收入</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w:t>
            </w:r>
            <w:r>
              <w:rPr>
                <w:rFonts w:hint="eastAsia" w:ascii="宋体" w:hAnsi="宋体" w:cs="宋体"/>
                <w:kern w:val="0"/>
                <w:sz w:val="20"/>
                <w:szCs w:val="20"/>
                <w:lang w:val="en-US" w:eastAsia="zh-CN"/>
              </w:rPr>
              <w:t>50</w:t>
            </w:r>
            <w:r>
              <w:rPr>
                <w:rFonts w:hint="eastAsia" w:ascii="宋体" w:hAnsi="宋体" w:cs="宋体"/>
                <w:kern w:val="0"/>
                <w:sz w:val="20"/>
                <w:szCs w:val="20"/>
              </w:rPr>
              <w:t>%</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果农</w:t>
            </w:r>
            <w:r>
              <w:rPr>
                <w:rFonts w:hint="eastAsia" w:ascii="宋体" w:hAnsi="宋体" w:cs="宋体"/>
                <w:kern w:val="0"/>
                <w:sz w:val="20"/>
                <w:szCs w:val="20"/>
              </w:rPr>
              <w:t>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20"/>
                <w:szCs w:val="20"/>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jc w:val="both"/>
        <w:rPr>
          <w:rFonts w:hint="eastAsia" w:ascii="仿宋_GB2312" w:hAnsi="宋体" w:eastAsia="仿宋_GB2312" w:cs="宋体"/>
          <w:b/>
          <w:bCs/>
          <w:kern w:val="0"/>
          <w:sz w:val="32"/>
          <w:szCs w:val="32"/>
          <w:lang w:val="en-US" w:eastAsia="zh-CN"/>
        </w:r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无</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克州林草局</w:t>
      </w:r>
    </w:p>
    <w:p>
      <w:pPr>
        <w:widowControl/>
        <w:spacing w:line="520" w:lineRule="exact"/>
        <w:jc w:val="left"/>
        <w:rPr>
          <w:rFonts w:ascii="仿宋_GB2312" w:hAnsi="宋体" w:eastAsia="仿宋_GB2312" w:cs="宋体"/>
          <w:b w:val="0"/>
          <w:bCs w:val="0"/>
          <w:color w:val="auto"/>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b w:val="0"/>
          <w:bCs w:val="0"/>
          <w:color w:val="auto"/>
          <w:kern w:val="0"/>
          <w:sz w:val="32"/>
          <w:szCs w:val="32"/>
          <w:lang w:val="en-US" w:eastAsia="zh-CN"/>
        </w:rPr>
        <w:t xml:space="preserve">    2020</w:t>
      </w:r>
      <w:r>
        <w:rPr>
          <w:rFonts w:ascii="仿宋_GB2312" w:hAnsi="宋体" w:eastAsia="仿宋_GB2312" w:cs="宋体"/>
          <w:b w:val="0"/>
          <w:bCs w:val="0"/>
          <w:color w:val="auto"/>
          <w:kern w:val="0"/>
          <w:sz w:val="32"/>
          <w:szCs w:val="32"/>
        </w:rPr>
        <w:t>年</w:t>
      </w:r>
      <w:r>
        <w:rPr>
          <w:rFonts w:hint="eastAsia" w:ascii="仿宋_GB2312" w:hAnsi="宋体" w:eastAsia="仿宋_GB2312" w:cs="宋体"/>
          <w:b w:val="0"/>
          <w:bCs w:val="0"/>
          <w:color w:val="auto"/>
          <w:kern w:val="0"/>
          <w:sz w:val="32"/>
          <w:szCs w:val="32"/>
          <w:lang w:val="en-US" w:eastAsia="zh-CN"/>
        </w:rPr>
        <w:t>1</w:t>
      </w:r>
      <w:r>
        <w:rPr>
          <w:rFonts w:ascii="仿宋_GB2312" w:hAnsi="宋体" w:eastAsia="仿宋_GB2312" w:cs="宋体"/>
          <w:b w:val="0"/>
          <w:bCs w:val="0"/>
          <w:color w:val="auto"/>
          <w:kern w:val="0"/>
          <w:sz w:val="32"/>
          <w:szCs w:val="32"/>
        </w:rPr>
        <w:t>月</w:t>
      </w:r>
      <w:r>
        <w:rPr>
          <w:rFonts w:hint="eastAsia" w:ascii="仿宋_GB2312" w:hAnsi="宋体" w:eastAsia="仿宋_GB2312" w:cs="宋体"/>
          <w:b w:val="0"/>
          <w:bCs w:val="0"/>
          <w:color w:val="auto"/>
          <w:kern w:val="0"/>
          <w:sz w:val="32"/>
          <w:szCs w:val="32"/>
          <w:lang w:val="en-US" w:eastAsia="zh-CN"/>
        </w:rPr>
        <w:t>21</w:t>
      </w:r>
      <w:r>
        <w:rPr>
          <w:rFonts w:ascii="仿宋_GB2312" w:hAnsi="宋体" w:eastAsia="仿宋_GB2312" w:cs="宋体"/>
          <w:b w:val="0"/>
          <w:bCs w:val="0"/>
          <w:color w:val="auto"/>
          <w:kern w:val="0"/>
          <w:sz w:val="32"/>
          <w:szCs w:val="32"/>
        </w:rPr>
        <w:t>日</w:t>
      </w:r>
    </w:p>
    <w:p>
      <w:pPr>
        <w:rPr>
          <w:b w:val="0"/>
          <w:bCs w:val="0"/>
          <w:color w:val="auto"/>
        </w:rPr>
      </w:pPr>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roman"/>
    <w:pitch w:val="default"/>
    <w:sig w:usb0="00000000" w:usb1="00000000" w:usb2="00000016" w:usb3="00000000" w:csb0="00040001"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70D5CA"/>
    <w:multiLevelType w:val="singleLevel"/>
    <w:tmpl w:val="CE70D5CA"/>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3673470"/>
    <w:rsid w:val="06F62466"/>
    <w:rsid w:val="0DF45DC9"/>
    <w:rsid w:val="0EE53E52"/>
    <w:rsid w:val="14BC7C12"/>
    <w:rsid w:val="16E35045"/>
    <w:rsid w:val="16FB7436"/>
    <w:rsid w:val="1D3A7205"/>
    <w:rsid w:val="1E464C64"/>
    <w:rsid w:val="1E5C0CD7"/>
    <w:rsid w:val="20A03F93"/>
    <w:rsid w:val="245533C2"/>
    <w:rsid w:val="25F66DC7"/>
    <w:rsid w:val="269475AF"/>
    <w:rsid w:val="26F50A43"/>
    <w:rsid w:val="2D07431E"/>
    <w:rsid w:val="2D9775DE"/>
    <w:rsid w:val="2EAA7E13"/>
    <w:rsid w:val="328251AB"/>
    <w:rsid w:val="35062432"/>
    <w:rsid w:val="43E42707"/>
    <w:rsid w:val="48D027E4"/>
    <w:rsid w:val="4B7C7D6E"/>
    <w:rsid w:val="4F1E3375"/>
    <w:rsid w:val="54E6787A"/>
    <w:rsid w:val="591E6701"/>
    <w:rsid w:val="5E6F5A5E"/>
    <w:rsid w:val="5EB9699D"/>
    <w:rsid w:val="62FA2E34"/>
    <w:rsid w:val="6B137DBB"/>
    <w:rsid w:val="6BEB6E68"/>
    <w:rsid w:val="6F163651"/>
    <w:rsid w:val="6F1850DA"/>
    <w:rsid w:val="7392331D"/>
    <w:rsid w:val="7775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7"/>
    <w:semiHidden/>
    <w:qFormat/>
    <w:uiPriority w:val="99"/>
    <w:rPr>
      <w:rFonts w:ascii="Times New Roman" w:hAnsi="Times New Roman" w:eastAsia="宋体" w:cs="Times New Roman"/>
      <w:sz w:val="18"/>
      <w:szCs w:val="18"/>
    </w:rPr>
  </w:style>
  <w:style w:type="character" w:customStyle="1" w:styleId="16">
    <w:name w:val="正文文本缩进 3 字符"/>
    <w:basedOn w:val="7"/>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 w:type="character" w:customStyle="1" w:styleId="25">
    <w:name w:val="font91"/>
    <w:basedOn w:val="7"/>
    <w:qFormat/>
    <w:uiPriority w:val="0"/>
    <w:rPr>
      <w:rFonts w:hint="eastAsia" w:ascii="宋体" w:hAnsi="宋体" w:eastAsia="宋体" w:cs="宋体"/>
      <w:color w:val="000000"/>
      <w:sz w:val="20"/>
      <w:szCs w:val="20"/>
      <w:u w:val="none"/>
    </w:rPr>
  </w:style>
  <w:style w:type="character" w:customStyle="1" w:styleId="26">
    <w:name w:val="font112"/>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10316</Words>
  <Characters>11803</Characters>
  <Lines>74</Lines>
  <Paragraphs>21</Paragraphs>
  <TotalTime>12</TotalTime>
  <ScaleCrop>false</ScaleCrop>
  <LinksUpToDate>false</LinksUpToDate>
  <CharactersWithSpaces>13344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lenovo</cp:lastModifiedBy>
  <cp:lastPrinted>2020-11-25T09:47:52Z</cp:lastPrinted>
  <dcterms:modified xsi:type="dcterms:W3CDTF">2020-11-25T09:52:02Z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