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克孜勒苏柯尔克孜自治州吐尔尕特口岸管理委员会部门2020年部门</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吐尔尕特口岸管理委员会部门单位概况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一、部门收支总体情况表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二、部门收入总体情况表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三、部门支出总体情况表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2020年部门预算情况说明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一、关于吐尔尕特口岸管理委员会2020年收支预算情况的总体说明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二、关于吐尔尕特口岸管理委员会部门2020年收入预算情况说明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三、关于吐尔尕特口岸管理委员会部门2020年支出预算情况说明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四、关于部吐尔尕特口岸管理委员会门2020年财政拨款收支预算情况的总体说明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五、关于吐尔尕特口岸管理委员会部门2020年一般公共预算当年拨款情况说明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六、关于吐尔尕特口岸管理委员会部门2020年一般公共预算基本支出情况说明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七、关于吐尔尕特口岸管理委员会部门2020年项目支出情况说明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八、关于吐尔尕特口岸管理委员会部门2020年一般公共预算“三公”经费预算情况说明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九、关于吐尔尕特口岸管理委员会部门2020年政府性基金预算拨款情况说明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仿宋_GB2312" w:hAnsi="宋体" w:eastAsia="仿宋_GB2312"/>
          <w:b/>
          <w:kern w:val="0"/>
          <w:sz w:val="32"/>
          <w:szCs w:val="32"/>
        </w:rPr>
        <w:t>吐尔尕特口岸管理委员会</w:t>
      </w:r>
      <w:r>
        <w:rPr>
          <w:rFonts w:hint="eastAsia" w:ascii="黑体" w:hAnsi="黑体" w:eastAsia="黑体"/>
          <w:kern w:val="0"/>
          <w:sz w:val="32"/>
          <w:szCs w:val="32"/>
        </w:rPr>
        <w:t>部门单位概况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30"/>
        <w:jc w:val="left"/>
        <w:rPr>
          <w:rFonts w:ascii="仿宋_GB2312" w:hAnsi="黑体" w:eastAsia="仿宋_GB2312" w:cs="宋体"/>
          <w:bCs/>
          <w:kern w:val="0"/>
          <w:sz w:val="32"/>
          <w:szCs w:val="32"/>
        </w:rPr>
      </w:pPr>
      <w:r>
        <w:rPr>
          <w:rFonts w:hint="eastAsia" w:ascii="仿宋_GB2312" w:hAnsi="黑体" w:eastAsia="仿宋_GB2312" w:cs="宋体"/>
          <w:bCs/>
          <w:kern w:val="0"/>
          <w:sz w:val="32"/>
          <w:szCs w:val="32"/>
        </w:rPr>
        <w:t>详细介绍本部门单位工作职能。</w:t>
      </w:r>
    </w:p>
    <w:p>
      <w:pPr>
        <w:widowControl/>
        <w:spacing w:line="560" w:lineRule="exact"/>
        <w:ind w:firstLine="480"/>
        <w:jc w:val="left"/>
        <w:rPr>
          <w:rFonts w:ascii="仿宋_GB2312" w:hAnsi="宋体" w:eastAsia="仿宋_GB2312"/>
          <w:kern w:val="0"/>
          <w:sz w:val="32"/>
          <w:szCs w:val="32"/>
        </w:rPr>
      </w:pPr>
      <w:r>
        <w:rPr>
          <w:rFonts w:hint="eastAsia" w:ascii="仿宋_GB2312" w:hAnsi="宋体" w:eastAsia="仿宋_GB2312" w:cs="宋体"/>
          <w:color w:val="414141"/>
          <w:kern w:val="0"/>
          <w:sz w:val="32"/>
          <w:szCs w:val="32"/>
        </w:rPr>
        <w:t>吐</w:t>
      </w:r>
      <w:r>
        <w:rPr>
          <w:rFonts w:hint="eastAsia" w:ascii="仿宋_GB2312" w:hAnsi="宋体" w:eastAsia="仿宋_GB2312"/>
          <w:kern w:val="0"/>
          <w:sz w:val="32"/>
          <w:szCs w:val="32"/>
        </w:rPr>
        <w:t>尔尕特口岸管委会主要职能：中共吐尔尕特口岸工作委员会为克孜勒苏柯尔克孜自治州党委的派驻机构，吐尔尕特口岸管理委员会为自治州人民政府的派驻机构，其职能为在自治州党委、政府的领导下贯彻执行中央、国务院、自治区、及自治州有关口岸工作的方针、政策，并根据口岸的具体情况制定相应的实施办法，负责口岸行政区域规划、建设、管理及社会保障服务工作，会同驻口岸有关部门研究处理口岸涉外问题，发挥管理、服务、协调、监督职能，确保口岸安全、畅通、高效文明。</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jc w:val="left"/>
        <w:rPr>
          <w:rFonts w:ascii="仿宋_GB2312" w:hAnsi="黑体" w:eastAsia="仿宋_GB2312" w:cs="宋体"/>
          <w:b/>
          <w:bCs/>
          <w:kern w:val="0"/>
          <w:sz w:val="32"/>
          <w:szCs w:val="32"/>
        </w:rPr>
      </w:pPr>
    </w:p>
    <w:p>
      <w:pPr>
        <w:widowControl/>
        <w:spacing w:line="560" w:lineRule="exact"/>
        <w:ind w:firstLine="480" w:firstLineChars="150"/>
        <w:jc w:val="left"/>
        <w:rPr>
          <w:rFonts w:ascii="仿宋_GB2312" w:hAnsi="宋体" w:eastAsia="仿宋_GB2312"/>
          <w:kern w:val="0"/>
          <w:sz w:val="32"/>
          <w:szCs w:val="32"/>
        </w:rPr>
      </w:pPr>
      <w:r>
        <w:rPr>
          <w:rFonts w:hint="eastAsia" w:ascii="仿宋_GB2312" w:hAnsi="黑体" w:eastAsia="仿宋_GB2312" w:cs="宋体"/>
          <w:bCs/>
          <w:kern w:val="0"/>
          <w:sz w:val="32"/>
          <w:szCs w:val="32"/>
        </w:rPr>
        <w:t>吐尔尕特口岸管委会单位无下属预算单位，下设 5  个处室，分别是：</w:t>
      </w:r>
      <w:r>
        <w:rPr>
          <w:rFonts w:hint="eastAsia" w:ascii="仿宋_GB2312" w:hAnsi="宋体" w:eastAsia="仿宋_GB2312"/>
          <w:kern w:val="0"/>
          <w:sz w:val="32"/>
          <w:szCs w:val="32"/>
        </w:rPr>
        <w:t>党政办公室、公共事务管理科、发展改革和经济促进科、规划土地建设环保科、行政服务中心。</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吐尔尕特口岸管委会单位编制数  26人  ，实有人数 24 人，其中：在职 24  人，减少 10人； 退休 25  人，增加（或减少） 0人；离休 0人，增加或减少 0  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Lines="50"/>
        <w:outlineLvl w:val="1"/>
        <w:rPr>
          <w:rFonts w:ascii="黑体" w:hAnsi="黑体" w:eastAsia="黑体"/>
          <w:kern w:val="0"/>
          <w:sz w:val="32"/>
          <w:szCs w:val="32"/>
        </w:rPr>
      </w:pPr>
      <w:r>
        <w:rPr>
          <w:rFonts w:hint="eastAsia" w:ascii="黑体" w:hAnsi="黑体" w:eastAsia="黑体"/>
          <w:kern w:val="0"/>
          <w:sz w:val="32"/>
          <w:szCs w:val="32"/>
        </w:rPr>
        <w:t xml:space="preserve">        第二部分  2019年部门预算公开表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           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cs="宋体"/>
          <w:kern w:val="0"/>
          <w:szCs w:val="21"/>
        </w:rPr>
        <w:t xml:space="preserve">吐尔尕特口岸管理委员会  </w:t>
      </w:r>
      <w:r>
        <w:rPr>
          <w:rFonts w:hint="eastAsia" w:ascii="黑体" w:hAnsi="黑体" w:eastAsia="黑体"/>
          <w:kern w:val="0"/>
          <w:szCs w:val="21"/>
        </w:rPr>
        <w:t xml:space="preserve"> </w:t>
      </w:r>
      <w:r>
        <w:rPr>
          <w:rFonts w:hint="eastAsia" w:ascii="黑体" w:hAnsi="黑体" w:eastAsia="黑体"/>
          <w:kern w:val="0"/>
          <w:sz w:val="32"/>
          <w:szCs w:val="32"/>
        </w:rPr>
        <w:t xml:space="preserve">  </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469.84</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481.84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469.84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481.84</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481.84</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nil"/>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nil"/>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481.84</w:t>
            </w:r>
          </w:p>
        </w:tc>
        <w:tc>
          <w:tcPr>
            <w:tcW w:w="2693" w:type="dxa"/>
            <w:tcBorders>
              <w:top w:val="nil"/>
              <w:left w:val="nil"/>
              <w:bottom w:val="nil"/>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nil"/>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481.84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                  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  吐尔尕特口岸管理委员会                               单位：万元</w:t>
      </w:r>
    </w:p>
    <w:tbl>
      <w:tblPr>
        <w:tblStyle w:val="7"/>
        <w:tblW w:w="18342" w:type="dxa"/>
        <w:tblInd w:w="-450" w:type="dxa"/>
        <w:tblLayout w:type="fixed"/>
        <w:tblCellMar>
          <w:top w:w="0" w:type="dxa"/>
          <w:left w:w="108" w:type="dxa"/>
          <w:bottom w:w="0" w:type="dxa"/>
          <w:right w:w="108" w:type="dxa"/>
        </w:tblCellMar>
      </w:tblPr>
      <w:tblGrid>
        <w:gridCol w:w="984"/>
        <w:gridCol w:w="992"/>
        <w:gridCol w:w="850"/>
        <w:gridCol w:w="1560"/>
        <w:gridCol w:w="1664"/>
        <w:gridCol w:w="1312"/>
        <w:gridCol w:w="1108"/>
        <w:gridCol w:w="1210"/>
        <w:gridCol w:w="1210"/>
        <w:gridCol w:w="1210"/>
        <w:gridCol w:w="1210"/>
        <w:gridCol w:w="1210"/>
        <w:gridCol w:w="1210"/>
        <w:gridCol w:w="1210"/>
        <w:gridCol w:w="1402"/>
      </w:tblGrid>
      <w:tr>
        <w:tblPrEx>
          <w:tblCellMar>
            <w:top w:w="0" w:type="dxa"/>
            <w:left w:w="108" w:type="dxa"/>
            <w:bottom w:w="0" w:type="dxa"/>
            <w:right w:w="108" w:type="dxa"/>
          </w:tblCellMar>
        </w:tblPrEx>
        <w:trPr>
          <w:trHeight w:val="510" w:hRule="atLeast"/>
        </w:trPr>
        <w:tc>
          <w:tcPr>
            <w:tcW w:w="282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5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16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131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11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12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12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1210"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12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12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1210"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121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4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56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66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31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10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10"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12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210"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121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40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03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行政运行　</w:t>
            </w:r>
          </w:p>
        </w:tc>
        <w:tc>
          <w:tcPr>
            <w:tcW w:w="1664"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hAnsi="宋体" w:eastAsia="仿宋_GB2312" w:cs="宋体"/>
                <w:kern w:val="0"/>
                <w:sz w:val="18"/>
                <w:szCs w:val="18"/>
              </w:rPr>
              <w:t>469.84</w:t>
            </w:r>
          </w:p>
        </w:tc>
        <w:tc>
          <w:tcPr>
            <w:tcW w:w="1312"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hAnsi="宋体" w:eastAsia="仿宋_GB2312" w:cs="宋体"/>
                <w:kern w:val="0"/>
                <w:sz w:val="18"/>
                <w:szCs w:val="18"/>
              </w:rPr>
              <w:t>469.84</w:t>
            </w:r>
          </w:p>
        </w:tc>
        <w:tc>
          <w:tcPr>
            <w:tcW w:w="1108"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000000" w:fill="FFFFFF"/>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群观众工作经费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7</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7</w:t>
            </w:r>
          </w:p>
        </w:tc>
        <w:tc>
          <w:tcPr>
            <w:tcW w:w="11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20"/>
                <w:szCs w:val="20"/>
              </w:rPr>
            </w:pPr>
            <w:r>
              <w:rPr>
                <w:rFonts w:hint="eastAsia" w:ascii="宋体" w:hAnsi="宋体" w:cs="宋体"/>
                <w:b/>
                <w:bCs/>
                <w:color w:val="000000"/>
                <w:kern w:val="0"/>
                <w:sz w:val="16"/>
                <w:szCs w:val="16"/>
              </w:rPr>
              <w:t>201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20"/>
                <w:szCs w:val="20"/>
              </w:rPr>
            </w:pPr>
            <w:r>
              <w:rPr>
                <w:rFonts w:hint="eastAsia" w:ascii="宋体" w:hAnsi="宋体" w:cs="宋体"/>
                <w:b/>
                <w:bCs/>
                <w:color w:val="000000"/>
                <w:kern w:val="0"/>
                <w:sz w:val="16"/>
                <w:szCs w:val="16"/>
              </w:rPr>
              <w:t>03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20"/>
                <w:szCs w:val="20"/>
              </w:rPr>
            </w:pPr>
            <w:r>
              <w:rPr>
                <w:rFonts w:hint="eastAsia" w:ascii="宋体" w:hAnsi="宋体" w:cs="宋体"/>
                <w:b/>
                <w:bCs/>
                <w:color w:val="000000"/>
                <w:kern w:val="0"/>
                <w:sz w:val="16"/>
                <w:szCs w:val="16"/>
              </w:rPr>
              <w:t>99</w:t>
            </w:r>
          </w:p>
        </w:tc>
        <w:tc>
          <w:tcPr>
            <w:tcW w:w="156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20"/>
                <w:szCs w:val="20"/>
              </w:rPr>
            </w:pPr>
            <w:r>
              <w:rPr>
                <w:rFonts w:hint="eastAsia" w:ascii="宋体" w:hAnsi="宋体" w:cs="宋体"/>
                <w:b/>
                <w:bCs/>
                <w:color w:val="000000"/>
                <w:kern w:val="0"/>
                <w:sz w:val="22"/>
                <w:szCs w:val="22"/>
              </w:rPr>
              <w:t>　群观众工作经费　</w:t>
            </w:r>
          </w:p>
        </w:tc>
        <w:tc>
          <w:tcPr>
            <w:tcW w:w="1664"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20"/>
                <w:szCs w:val="20"/>
              </w:rPr>
            </w:pPr>
            <w:r>
              <w:rPr>
                <w:rFonts w:hint="eastAsia" w:ascii="宋体" w:hAnsi="宋体" w:cs="宋体"/>
                <w:b/>
                <w:bCs/>
                <w:color w:val="000000"/>
                <w:kern w:val="0"/>
                <w:sz w:val="22"/>
                <w:szCs w:val="22"/>
              </w:rPr>
              <w:t>　5</w:t>
            </w:r>
          </w:p>
        </w:tc>
        <w:tc>
          <w:tcPr>
            <w:tcW w:w="131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sz w:val="20"/>
                <w:szCs w:val="20"/>
              </w:rPr>
            </w:pPr>
            <w:r>
              <w:rPr>
                <w:rFonts w:hint="eastAsia" w:ascii="宋体" w:hAnsi="宋体" w:cs="宋体"/>
                <w:b/>
                <w:bCs/>
                <w:color w:val="000000"/>
                <w:kern w:val="0"/>
                <w:sz w:val="22"/>
                <w:szCs w:val="22"/>
              </w:rPr>
              <w:t>　5</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3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98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56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166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hAnsi="宋体" w:eastAsia="仿宋_GB2312" w:cs="宋体"/>
                <w:kern w:val="0"/>
                <w:sz w:val="18"/>
                <w:szCs w:val="18"/>
              </w:rPr>
              <w:t>481.84</w:t>
            </w:r>
          </w:p>
        </w:tc>
        <w:tc>
          <w:tcPr>
            <w:tcW w:w="131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hAnsi="宋体" w:eastAsia="仿宋_GB2312" w:cs="宋体"/>
                <w:kern w:val="0"/>
                <w:sz w:val="18"/>
                <w:szCs w:val="18"/>
              </w:rPr>
              <w:t>481.84</w:t>
            </w:r>
            <w:r>
              <w:rPr>
                <w:rFonts w:hint="eastAsia" w:ascii="仿宋_GB2312" w:eastAsia="仿宋_GB2312"/>
                <w:color w:val="000000"/>
                <w:sz w:val="20"/>
                <w:szCs w:val="20"/>
              </w:rPr>
              <w:t>　　</w:t>
            </w:r>
          </w:p>
        </w:tc>
        <w:tc>
          <w:tcPr>
            <w:tcW w:w="1108"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10"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210"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              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cs="宋体"/>
          <w:kern w:val="0"/>
          <w:szCs w:val="21"/>
        </w:rPr>
        <w:t xml:space="preserve">吐尔尕特口岸管理委员会  </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516"/>
        <w:gridCol w:w="416"/>
        <w:gridCol w:w="416"/>
        <w:gridCol w:w="2550"/>
        <w:gridCol w:w="1827"/>
        <w:gridCol w:w="1828"/>
        <w:gridCol w:w="1867"/>
      </w:tblGrid>
      <w:tr>
        <w:tblPrEx>
          <w:tblCellMar>
            <w:top w:w="0" w:type="dxa"/>
            <w:left w:w="108" w:type="dxa"/>
            <w:bottom w:w="0" w:type="dxa"/>
            <w:right w:w="108" w:type="dxa"/>
          </w:tblCellMar>
        </w:tblPrEx>
        <w:trPr>
          <w:trHeight w:val="345" w:hRule="atLeast"/>
        </w:trPr>
        <w:tc>
          <w:tcPr>
            <w:tcW w:w="3898"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522"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34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28"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6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5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2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6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201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03　</w:t>
            </w:r>
          </w:p>
        </w:tc>
        <w:tc>
          <w:tcPr>
            <w:tcW w:w="41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01　</w:t>
            </w:r>
          </w:p>
        </w:tc>
        <w:tc>
          <w:tcPr>
            <w:tcW w:w="255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行政运行　</w:t>
            </w:r>
          </w:p>
        </w:tc>
        <w:tc>
          <w:tcPr>
            <w:tcW w:w="182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kern w:val="0"/>
                <w:sz w:val="18"/>
                <w:szCs w:val="18"/>
              </w:rPr>
              <w:t>469.84</w:t>
            </w:r>
          </w:p>
        </w:tc>
        <w:tc>
          <w:tcPr>
            <w:tcW w:w="1828"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kern w:val="0"/>
                <w:sz w:val="18"/>
                <w:szCs w:val="18"/>
              </w:rPr>
              <w:t>469.84</w:t>
            </w:r>
          </w:p>
        </w:tc>
        <w:tc>
          <w:tcPr>
            <w:tcW w:w="1867"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201</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03</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群观众工作经费　</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7</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7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201</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03</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群观众工作经费　</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5</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1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5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481.84</w:t>
            </w:r>
          </w:p>
        </w:tc>
        <w:tc>
          <w:tcPr>
            <w:tcW w:w="182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469.84</w:t>
            </w:r>
          </w:p>
        </w:tc>
        <w:tc>
          <w:tcPr>
            <w:tcW w:w="186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12</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      财政拨款收支预算总体情况表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cs="宋体"/>
          <w:kern w:val="0"/>
          <w:szCs w:val="21"/>
        </w:rPr>
        <w:t xml:space="preserve">吐尔尕特口岸管理委员会  </w:t>
      </w:r>
      <w:r>
        <w:rPr>
          <w:rFonts w:hint="eastAsia" w:ascii="仿宋_GB2312" w:hAnsi="宋体" w:eastAsia="仿宋_GB2312"/>
          <w:kern w:val="0"/>
          <w:sz w:val="24"/>
        </w:rPr>
        <w:t xml:space="preserve">                          单位：万元</w:t>
      </w:r>
    </w:p>
    <w:tbl>
      <w:tblPr>
        <w:tblStyle w:val="7"/>
        <w:tblW w:w="9650" w:type="dxa"/>
        <w:tblInd w:w="-240" w:type="dxa"/>
        <w:tblLayout w:type="fixed"/>
        <w:tblCellMar>
          <w:top w:w="0" w:type="dxa"/>
          <w:left w:w="108" w:type="dxa"/>
          <w:bottom w:w="0" w:type="dxa"/>
          <w:right w:w="108" w:type="dxa"/>
        </w:tblCellMar>
      </w:tblPr>
      <w:tblGrid>
        <w:gridCol w:w="1620"/>
        <w:gridCol w:w="1431"/>
        <w:gridCol w:w="2580"/>
        <w:gridCol w:w="1431"/>
        <w:gridCol w:w="1431"/>
        <w:gridCol w:w="1157"/>
      </w:tblGrid>
      <w:tr>
        <w:tblPrEx>
          <w:tblCellMar>
            <w:top w:w="0" w:type="dxa"/>
            <w:left w:w="108" w:type="dxa"/>
            <w:bottom w:w="0" w:type="dxa"/>
            <w:right w:w="108" w:type="dxa"/>
          </w:tblCellMar>
        </w:tblPrEx>
        <w:trPr>
          <w:trHeight w:val="285" w:hRule="atLeast"/>
        </w:trPr>
        <w:tc>
          <w:tcPr>
            <w:tcW w:w="305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43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1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481.84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仿宋_GB2312" w:hAnsi="宋体" w:eastAsia="仿宋_GB2312" w:cs="宋体"/>
                <w:color w:val="000000"/>
                <w:kern w:val="0"/>
                <w:sz w:val="22"/>
                <w:szCs w:val="22"/>
              </w:rPr>
              <w:t>481.84</w:t>
            </w: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仿宋_GB2312" w:hAnsi="宋体" w:eastAsia="仿宋_GB2312" w:cs="宋体"/>
                <w:color w:val="000000"/>
                <w:kern w:val="0"/>
                <w:sz w:val="22"/>
                <w:szCs w:val="22"/>
              </w:rPr>
              <w:t>481.84</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481.84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4818359.52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仿宋_GB2312" w:hAnsi="宋体" w:eastAsia="仿宋_GB2312" w:cs="宋体"/>
                <w:color w:val="000000"/>
                <w:kern w:val="0"/>
                <w:sz w:val="22"/>
                <w:szCs w:val="22"/>
              </w:rPr>
              <w:t>481.84</w:t>
            </w:r>
            <w:r>
              <w:rPr>
                <w:rFonts w:hint="eastAsia" w:ascii="宋体" w:hAnsi="宋体" w:cs="宋体"/>
                <w:color w:val="000000"/>
                <w:kern w:val="0"/>
                <w:sz w:val="22"/>
                <w:szCs w:val="22"/>
              </w:rPr>
              <w:t>　</w:t>
            </w:r>
          </w:p>
        </w:tc>
        <w:tc>
          <w:tcPr>
            <w:tcW w:w="1431"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仿宋_GB2312" w:hAnsi="宋体" w:eastAsia="仿宋_GB2312" w:cs="宋体"/>
                <w:color w:val="000000"/>
                <w:kern w:val="0"/>
                <w:sz w:val="22"/>
                <w:szCs w:val="22"/>
              </w:rPr>
              <w:t>481.84</w:t>
            </w:r>
            <w:r>
              <w:rPr>
                <w:rFonts w:hint="eastAsia" w:ascii="宋体" w:hAnsi="宋体" w:cs="宋体"/>
                <w:color w:val="000000"/>
                <w:kern w:val="0"/>
                <w:sz w:val="22"/>
                <w:szCs w:val="22"/>
              </w:rPr>
              <w:t>　</w:t>
            </w:r>
          </w:p>
        </w:tc>
        <w:tc>
          <w:tcPr>
            <w:tcW w:w="1157"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5" w:type="dxa"/>
        <w:tblInd w:w="-34" w:type="dxa"/>
        <w:tblLayout w:type="fixed"/>
        <w:tblCellMar>
          <w:top w:w="0" w:type="dxa"/>
          <w:left w:w="108" w:type="dxa"/>
          <w:bottom w:w="0" w:type="dxa"/>
          <w:right w:w="108" w:type="dxa"/>
        </w:tblCellMar>
      </w:tblPr>
      <w:tblGrid>
        <w:gridCol w:w="568"/>
        <w:gridCol w:w="492"/>
        <w:gridCol w:w="418"/>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5"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8"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编制部门：吐尔尕特口岸管委会</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8"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8"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03</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行政运行</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469.84</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469.84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群众工作经费</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7</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7</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16"/>
                <w:szCs w:val="16"/>
              </w:rPr>
              <w:t>201</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16"/>
                <w:szCs w:val="16"/>
              </w:rPr>
              <w:t>03</w:t>
            </w:r>
          </w:p>
        </w:tc>
        <w:tc>
          <w:tcPr>
            <w:tcW w:w="41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16"/>
                <w:szCs w:val="16"/>
              </w:rPr>
              <w:t>99</w:t>
            </w: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2"/>
                <w:szCs w:val="22"/>
              </w:rPr>
              <w:t>　群观众工作经费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2"/>
                <w:szCs w:val="22"/>
              </w:rPr>
              <w:t>　5</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2"/>
                <w:szCs w:val="22"/>
              </w:rPr>
              <w:t>　5</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481.84</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481.84</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554" w:type="dxa"/>
        <w:tblInd w:w="-148" w:type="dxa"/>
        <w:tblLayout w:type="fixed"/>
        <w:tblCellMar>
          <w:top w:w="0" w:type="dxa"/>
          <w:left w:w="108" w:type="dxa"/>
          <w:bottom w:w="0" w:type="dxa"/>
          <w:right w:w="108" w:type="dxa"/>
        </w:tblCellMar>
      </w:tblPr>
      <w:tblGrid>
        <w:gridCol w:w="757"/>
        <w:gridCol w:w="1059"/>
        <w:gridCol w:w="2635"/>
        <w:gridCol w:w="995"/>
        <w:gridCol w:w="706"/>
        <w:gridCol w:w="976"/>
        <w:gridCol w:w="725"/>
        <w:gridCol w:w="1701"/>
      </w:tblGrid>
      <w:tr>
        <w:tblPrEx>
          <w:tblCellMar>
            <w:top w:w="0" w:type="dxa"/>
            <w:left w:w="108" w:type="dxa"/>
            <w:bottom w:w="0" w:type="dxa"/>
            <w:right w:w="108" w:type="dxa"/>
          </w:tblCellMar>
        </w:tblPrEx>
        <w:trPr>
          <w:trHeight w:val="375" w:hRule="atLeast"/>
        </w:trPr>
        <w:tc>
          <w:tcPr>
            <w:tcW w:w="9554"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451" w:type="dxa"/>
            <w:gridSpan w:val="3"/>
            <w:tcBorders>
              <w:top w:val="nil"/>
              <w:left w:val="nil"/>
              <w:bottom w:val="nil"/>
              <w:right w:val="nil"/>
            </w:tcBorders>
            <w:shd w:val="clear" w:color="auto" w:fill="auto"/>
            <w:vAlign w:val="center"/>
          </w:tcPr>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cs="宋体"/>
                <w:kern w:val="0"/>
                <w:szCs w:val="21"/>
              </w:rPr>
              <w:t xml:space="preserve">吐尔尕特口岸管理委员会  </w:t>
            </w:r>
            <w:r>
              <w:rPr>
                <w:rFonts w:hint="eastAsia" w:ascii="仿宋_GB2312" w:hAnsi="宋体" w:eastAsia="仿宋_GB2312"/>
                <w:kern w:val="0"/>
                <w:sz w:val="24"/>
              </w:rPr>
              <w:t xml:space="preserve">                          </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451"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816"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6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1059"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6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5.2</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201</w:t>
            </w:r>
          </w:p>
        </w:tc>
        <w:tc>
          <w:tcPr>
            <w:tcW w:w="1059" w:type="dxa"/>
            <w:tcBorders>
              <w:top w:val="nil"/>
              <w:left w:val="nil"/>
              <w:bottom w:val="single" w:color="auto" w:sz="4" w:space="0"/>
              <w:right w:val="single" w:color="auto" w:sz="4" w:space="0"/>
            </w:tcBorders>
            <w:shd w:val="clear" w:color="auto" w:fill="auto"/>
            <w:vAlign w:val="center"/>
          </w:tcPr>
          <w:p>
            <w:pPr>
              <w:widowControl/>
              <w:ind w:right="20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03</w:t>
            </w:r>
          </w:p>
        </w:tc>
        <w:tc>
          <w:tcPr>
            <w:tcW w:w="2635" w:type="dxa"/>
            <w:tcBorders>
              <w:top w:val="nil"/>
              <w:left w:val="nil"/>
              <w:bottom w:val="single" w:color="auto" w:sz="4" w:space="0"/>
              <w:right w:val="single" w:color="auto" w:sz="4" w:space="0"/>
            </w:tcBorders>
            <w:shd w:val="clear" w:color="auto" w:fill="auto"/>
            <w:vAlign w:val="center"/>
          </w:tcPr>
          <w:p>
            <w:pPr>
              <w:widowControl/>
              <w:ind w:right="40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公车运行费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400" w:firstLine="200" w:firstLineChars="10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ind w:right="400" w:firstLine="100" w:firstLineChars="50"/>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3.6</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208</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191.95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191.95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100.45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100.45</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208</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机关事业单位养老保险缴费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43.33</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43.33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208</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36.16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36.16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2.08</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31.57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31.57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8.37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27.12</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15.12</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17.39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17.39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w:t>
            </w: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6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481．84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458.96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22.88</w:t>
            </w:r>
          </w:p>
        </w:tc>
      </w:tr>
    </w:tbl>
    <w:p>
      <w:pPr>
        <w:widowControl/>
        <w:jc w:val="center"/>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center"/>
        <w:outlineLvl w:val="1"/>
        <w:rPr>
          <w:rFonts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97" w:type="dxa"/>
        <w:tblInd w:w="-360" w:type="dxa"/>
        <w:tblLayout w:type="fixed"/>
        <w:tblCellMar>
          <w:top w:w="0" w:type="dxa"/>
          <w:left w:w="108" w:type="dxa"/>
          <w:bottom w:w="0" w:type="dxa"/>
          <w:right w:w="108" w:type="dxa"/>
        </w:tblCellMar>
      </w:tblPr>
      <w:tblGrid>
        <w:gridCol w:w="10"/>
        <w:gridCol w:w="470"/>
        <w:gridCol w:w="397"/>
        <w:gridCol w:w="397"/>
        <w:gridCol w:w="851"/>
        <w:gridCol w:w="1456"/>
        <w:gridCol w:w="750"/>
        <w:gridCol w:w="110"/>
        <w:gridCol w:w="449"/>
        <w:gridCol w:w="592"/>
        <w:gridCol w:w="652"/>
        <w:gridCol w:w="652"/>
        <w:gridCol w:w="378"/>
        <w:gridCol w:w="200"/>
        <w:gridCol w:w="419"/>
        <w:gridCol w:w="578"/>
        <w:gridCol w:w="420"/>
        <w:gridCol w:w="420"/>
        <w:gridCol w:w="389"/>
        <w:gridCol w:w="7"/>
      </w:tblGrid>
      <w:tr>
        <w:tblPrEx>
          <w:tblCellMar>
            <w:top w:w="0" w:type="dxa"/>
            <w:left w:w="108" w:type="dxa"/>
            <w:bottom w:w="0" w:type="dxa"/>
            <w:right w:w="108" w:type="dxa"/>
          </w:tblCellMar>
        </w:tblPrEx>
        <w:trPr>
          <w:gridBefore w:val="1"/>
          <w:gridAfter w:val="1"/>
          <w:wBefore w:w="10" w:type="dxa"/>
          <w:wAfter w:w="7" w:type="dxa"/>
          <w:trHeight w:val="375" w:hRule="atLeast"/>
        </w:trPr>
        <w:tc>
          <w:tcPr>
            <w:tcW w:w="9580"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1"/>
          <w:wBefore w:w="10" w:type="dxa"/>
          <w:wAfter w:w="7" w:type="dxa"/>
          <w:trHeight w:val="405" w:hRule="atLeast"/>
        </w:trPr>
        <w:tc>
          <w:tcPr>
            <w:tcW w:w="4431" w:type="dxa"/>
            <w:gridSpan w:val="7"/>
            <w:tcBorders>
              <w:top w:val="nil"/>
              <w:left w:val="nil"/>
              <w:bottom w:val="nil"/>
              <w:right w:val="nil"/>
            </w:tcBorders>
            <w:shd w:val="clear" w:color="auto" w:fill="auto"/>
            <w:vAlign w:val="center"/>
          </w:tcPr>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cs="宋体"/>
                <w:kern w:val="0"/>
                <w:szCs w:val="21"/>
              </w:rPr>
              <w:t xml:space="preserve">吐尔尕特口岸管理委员会  </w:t>
            </w:r>
            <w:r>
              <w:rPr>
                <w:rFonts w:hint="eastAsia" w:ascii="仿宋_GB2312" w:hAnsi="宋体" w:eastAsia="仿宋_GB2312"/>
                <w:kern w:val="0"/>
                <w:sz w:val="24"/>
              </w:rPr>
              <w:t xml:space="preserve">                        </w:t>
            </w:r>
          </w:p>
        </w:tc>
        <w:tc>
          <w:tcPr>
            <w:tcW w:w="1041"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74"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5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9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396"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7" w:hRule="atLeast"/>
        </w:trPr>
        <w:tc>
          <w:tcPr>
            <w:tcW w:w="480"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5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9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396"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0" w:type="dxa"/>
            <w:gridSpan w:val="2"/>
            <w:shd w:val="clear" w:color="auto" w:fill="auto"/>
          </w:tcPr>
          <w:p>
            <w:pPr>
              <w:widowControl/>
              <w:outlineLvl w:val="1"/>
              <w:rPr>
                <w:rFonts w:ascii="仿宋_GB2312" w:hAnsi="宋体" w:eastAsia="仿宋_GB2312"/>
                <w:kern w:val="0"/>
                <w:sz w:val="13"/>
                <w:szCs w:val="13"/>
              </w:rPr>
            </w:pPr>
            <w:r>
              <w:rPr>
                <w:rFonts w:hint="eastAsia" w:ascii="仿宋_GB2312" w:hAnsi="宋体" w:eastAsia="仿宋_GB2312"/>
                <w:kern w:val="0"/>
                <w:sz w:val="13"/>
                <w:szCs w:val="13"/>
              </w:rPr>
              <w:t>201</w:t>
            </w:r>
          </w:p>
        </w:tc>
        <w:tc>
          <w:tcPr>
            <w:tcW w:w="397" w:type="dxa"/>
            <w:shd w:val="clear" w:color="auto" w:fill="auto"/>
          </w:tcPr>
          <w:p>
            <w:pPr>
              <w:widowControl/>
              <w:outlineLvl w:val="1"/>
              <w:rPr>
                <w:rFonts w:ascii="仿宋_GB2312" w:hAnsi="宋体" w:eastAsia="仿宋_GB2312"/>
                <w:kern w:val="0"/>
                <w:sz w:val="13"/>
                <w:szCs w:val="13"/>
              </w:rPr>
            </w:pPr>
            <w:r>
              <w:rPr>
                <w:rFonts w:hint="eastAsia" w:ascii="仿宋_GB2312" w:hAnsi="宋体" w:eastAsia="仿宋_GB2312"/>
                <w:kern w:val="0"/>
                <w:sz w:val="13"/>
                <w:szCs w:val="13"/>
              </w:rPr>
              <w:t>03</w:t>
            </w:r>
          </w:p>
        </w:tc>
        <w:tc>
          <w:tcPr>
            <w:tcW w:w="397" w:type="dxa"/>
            <w:shd w:val="clear" w:color="auto" w:fill="auto"/>
          </w:tcPr>
          <w:p>
            <w:pPr>
              <w:widowControl/>
              <w:outlineLvl w:val="1"/>
              <w:rPr>
                <w:rFonts w:ascii="仿宋_GB2312" w:hAnsi="宋体" w:eastAsia="仿宋_GB2312"/>
                <w:kern w:val="0"/>
                <w:sz w:val="13"/>
                <w:szCs w:val="13"/>
              </w:rPr>
            </w:pPr>
            <w:r>
              <w:rPr>
                <w:rFonts w:hint="eastAsia" w:ascii="仿宋_GB2312" w:hAnsi="宋体" w:eastAsia="仿宋_GB2312"/>
                <w:kern w:val="0"/>
                <w:sz w:val="13"/>
                <w:szCs w:val="13"/>
              </w:rPr>
              <w:t>99</w:t>
            </w:r>
          </w:p>
        </w:tc>
        <w:tc>
          <w:tcPr>
            <w:tcW w:w="851"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r>
              <w:rPr>
                <w:rFonts w:hint="eastAsia" w:ascii="仿宋_GB2312" w:hAnsi="宋体" w:eastAsia="仿宋_GB2312"/>
                <w:kern w:val="0"/>
                <w:sz w:val="15"/>
                <w:szCs w:val="15"/>
              </w:rPr>
              <w:t>　其他政府办公相关机构</w:t>
            </w:r>
          </w:p>
        </w:tc>
        <w:tc>
          <w:tcPr>
            <w:tcW w:w="1456"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群众工作经费</w:t>
            </w:r>
          </w:p>
        </w:tc>
        <w:tc>
          <w:tcPr>
            <w:tcW w:w="750"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55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2"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7</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578" w:type="dxa"/>
            <w:gridSpan w:val="2"/>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419"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578"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420"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420"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396" w:type="dxa"/>
            <w:gridSpan w:val="2"/>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0" w:type="dxa"/>
            <w:gridSpan w:val="2"/>
            <w:shd w:val="clear" w:color="auto" w:fill="auto"/>
          </w:tcPr>
          <w:p>
            <w:pPr>
              <w:widowControl/>
              <w:outlineLvl w:val="1"/>
              <w:rPr>
                <w:rFonts w:ascii="仿宋_GB2312" w:hAnsi="宋体" w:eastAsia="仿宋_GB2312"/>
                <w:kern w:val="0"/>
                <w:sz w:val="13"/>
                <w:szCs w:val="13"/>
              </w:rPr>
            </w:pPr>
            <w:r>
              <w:rPr>
                <w:rFonts w:hint="eastAsia" w:ascii="仿宋_GB2312" w:hAnsi="宋体" w:eastAsia="仿宋_GB2312"/>
                <w:kern w:val="0"/>
                <w:sz w:val="13"/>
                <w:szCs w:val="13"/>
              </w:rPr>
              <w:t>201</w:t>
            </w:r>
          </w:p>
        </w:tc>
        <w:tc>
          <w:tcPr>
            <w:tcW w:w="397" w:type="dxa"/>
            <w:shd w:val="clear" w:color="auto" w:fill="auto"/>
          </w:tcPr>
          <w:p>
            <w:pPr>
              <w:widowControl/>
              <w:outlineLvl w:val="1"/>
              <w:rPr>
                <w:rFonts w:ascii="仿宋_GB2312" w:hAnsi="宋体" w:eastAsia="仿宋_GB2312"/>
                <w:kern w:val="0"/>
                <w:sz w:val="13"/>
                <w:szCs w:val="13"/>
              </w:rPr>
            </w:pPr>
            <w:r>
              <w:rPr>
                <w:rFonts w:hint="eastAsia" w:ascii="仿宋_GB2312" w:hAnsi="宋体" w:eastAsia="仿宋_GB2312"/>
                <w:kern w:val="0"/>
                <w:sz w:val="13"/>
                <w:szCs w:val="13"/>
              </w:rPr>
              <w:t>03</w:t>
            </w:r>
          </w:p>
        </w:tc>
        <w:tc>
          <w:tcPr>
            <w:tcW w:w="397" w:type="dxa"/>
            <w:shd w:val="clear" w:color="auto" w:fill="auto"/>
          </w:tcPr>
          <w:p>
            <w:pPr>
              <w:widowControl/>
              <w:outlineLvl w:val="1"/>
              <w:rPr>
                <w:rFonts w:ascii="仿宋_GB2312" w:hAnsi="宋体" w:eastAsia="仿宋_GB2312"/>
                <w:kern w:val="0"/>
                <w:sz w:val="13"/>
                <w:szCs w:val="13"/>
              </w:rPr>
            </w:pPr>
            <w:r>
              <w:rPr>
                <w:rFonts w:hint="eastAsia" w:ascii="仿宋_GB2312" w:hAnsi="宋体" w:eastAsia="仿宋_GB2312"/>
                <w:kern w:val="0"/>
                <w:sz w:val="13"/>
                <w:szCs w:val="13"/>
              </w:rPr>
              <w:t>99</w:t>
            </w:r>
          </w:p>
        </w:tc>
        <w:tc>
          <w:tcPr>
            <w:tcW w:w="851"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r>
              <w:rPr>
                <w:rFonts w:hint="eastAsia" w:ascii="仿宋_GB2312" w:hAnsi="宋体" w:eastAsia="仿宋_GB2312"/>
                <w:kern w:val="0"/>
                <w:sz w:val="15"/>
                <w:szCs w:val="15"/>
              </w:rPr>
              <w:t>　其他政府办公相关机构</w:t>
            </w:r>
          </w:p>
        </w:tc>
        <w:tc>
          <w:tcPr>
            <w:tcW w:w="1456"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基层补助经费</w:t>
            </w:r>
          </w:p>
        </w:tc>
        <w:tc>
          <w:tcPr>
            <w:tcW w:w="750"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55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2"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5</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578" w:type="dxa"/>
            <w:gridSpan w:val="2"/>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419"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578"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420"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420"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396" w:type="dxa"/>
            <w:gridSpan w:val="2"/>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0" w:type="dxa"/>
            <w:gridSpan w:val="2"/>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397"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397"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851"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1456"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750"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559" w:type="dxa"/>
            <w:gridSpan w:val="2"/>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592"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652"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652"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578" w:type="dxa"/>
            <w:gridSpan w:val="2"/>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419"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578"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420"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420" w:type="dxa"/>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c>
          <w:tcPr>
            <w:tcW w:w="396" w:type="dxa"/>
            <w:gridSpan w:val="2"/>
            <w:shd w:val="clear" w:color="auto" w:fill="auto"/>
          </w:tcPr>
          <w:p>
            <w:pPr>
              <w:widowControl/>
              <w:jc w:val="left"/>
              <w:outlineLvl w:val="1"/>
              <w:rPr>
                <w:rFonts w:ascii="仿宋_GB2312" w:hAnsi="宋体" w:eastAsia="仿宋_GB2312"/>
                <w:kern w:val="0"/>
                <w:sz w:val="13"/>
                <w:szCs w:val="13"/>
              </w:rPr>
            </w:pPr>
            <w:r>
              <w:rPr>
                <w:rFonts w:hint="eastAsia" w:ascii="仿宋_GB2312" w:hAnsi="宋体" w:eastAsia="仿宋_GB2312"/>
                <w:kern w:val="0"/>
                <w:sz w:val="13"/>
                <w:szCs w:val="13"/>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5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5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5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5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0"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59" w:type="dxa"/>
            <w:gridSpan w:val="2"/>
            <w:shd w:val="clear" w:color="auto" w:fill="auto"/>
          </w:tcPr>
          <w:p>
            <w:pPr>
              <w:widowControl/>
              <w:jc w:val="left"/>
              <w:outlineLvl w:val="1"/>
              <w:rPr>
                <w:rFonts w:ascii="仿宋_GB2312" w:hAnsi="宋体" w:eastAsia="仿宋_GB2312"/>
                <w:kern w:val="0"/>
                <w:sz w:val="32"/>
                <w:szCs w:val="32"/>
              </w:rPr>
            </w:pPr>
          </w:p>
        </w:tc>
        <w:tc>
          <w:tcPr>
            <w:tcW w:w="59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396"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5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48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Cs w:val="21"/>
              </w:rPr>
            </w:pPr>
          </w:p>
        </w:tc>
        <w:tc>
          <w:tcPr>
            <w:tcW w:w="55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9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12</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b/>
          <w:kern w:val="0"/>
          <w:sz w:val="28"/>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编制单位：吐尔尕特口岸 管理委员会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3.6</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3.6</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3.6</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bookmarkStart w:id="0" w:name="_GoBack"/>
      <w:bookmarkEnd w:id="0"/>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编制单位：吐尔尕特口岸管委会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备注：2</w:t>
      </w:r>
      <w:r>
        <w:rPr>
          <w:rFonts w:ascii="仿宋_GB2312" w:hAnsi="宋体" w:eastAsia="仿宋_GB2312"/>
          <w:b/>
          <w:kern w:val="0"/>
          <w:sz w:val="28"/>
          <w:szCs w:val="32"/>
        </w:rPr>
        <w:t>020</w:t>
      </w:r>
      <w:r>
        <w:rPr>
          <w:rFonts w:hint="eastAsia" w:ascii="仿宋_GB2312" w:hAnsi="宋体" w:eastAsia="仿宋_GB2312"/>
          <w:b/>
          <w:kern w:val="0"/>
          <w:sz w:val="28"/>
          <w:szCs w:val="32"/>
        </w:rPr>
        <w:t>年预算未安排政府性基金预算安排</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2020年部门预算情况说明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关于吐尔尕特口岸管委会部门2020年收支预算情况的总体说明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按照全口径预算的原则，本部门2020年所有收入和支出均纳入部门预算管理。收支总预算 481.84万元。</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收入预算包括：一般公共预算收入481.84万元、</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支出预算包括：一般公共服务预算支出481.84万元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二、关于吐尔尕特口岸管委会部门2020年收入预算情况说明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吐尔尕特口岸管委会部门收入预算 481.84 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一般公共预算481.84万元，占 100 %，比上年增加41.42万元，主要原因是：2019年在职人员工资增加 。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政府性基金2020年安排预算  0 万元， 占 0 %，比上年增加  0 万元，主要原因是： 2020年 预算未安排政府性基金。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财政专户管理资金 12万元，占 0.2%，比上年增加 0万元，主要原因2020年安排财政专户管理预算资金无增减变化 。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单位上年结余（不包括国库集中支付额度结余） 0 万元，占 0 %，比上年增加0  万元，主要原是 2019年财政拨款主要是人员经费支出和国库集中支付额度支出，没有项目资金不存在结余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三、关于吐尔尕特口岸管委会部门单位2020年支出预算情况说明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本部门单位2019年支出预算481.84 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基本支出 469.84万元，占 99.8%，比上年增加41.42万元，主要原因是2020年在职人员工资增加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项目支出 12 万元，占0.2%，比上年增加0  万元，主要原因是一般公共预算项目收入支出没增长变化。</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四、关于吐尔尕特口岸管委会部门2020年财政拨款收支预算情况的总体说明.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2020年财政拨款收支总预算481.84万元。</w:t>
      </w:r>
    </w:p>
    <w:p>
      <w:pPr>
        <w:spacing w:line="560" w:lineRule="exact"/>
        <w:rPr>
          <w:rFonts w:ascii="仿宋_GB2312" w:hAnsi="宋体" w:eastAsia="仿宋_GB2312" w:cs="宋体"/>
          <w:kern w:val="0"/>
          <w:sz w:val="32"/>
          <w:szCs w:val="32"/>
        </w:rPr>
      </w:pPr>
      <w:r>
        <w:rPr>
          <w:rFonts w:hint="eastAsia" w:ascii="仿宋_GB2312" w:hAnsi="宋体" w:eastAsia="仿宋_GB2312" w:cs="宋体"/>
          <w:spacing w:val="-6"/>
          <w:kern w:val="0"/>
          <w:sz w:val="32"/>
          <w:szCs w:val="32"/>
        </w:rPr>
        <w:t xml:space="preserve"> 收入全部为一般公共预算拨款，无政府性基金预算拨款。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五、关于吐尔尕特口岸管委会部门2020年一般公共预算当年拨款情况说明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本部门2020年一般公共预算拨款基本支出 481.84 万元，比上年执行数增加 41.42万元，增长0.91%。主要原因是：人员工资增加 。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1.一般公共服务（类2010301）</w:t>
      </w:r>
      <w:r>
        <w:rPr>
          <w:rFonts w:hint="eastAsia" w:ascii="楷体_GB2312" w:eastAsia="楷体_GB2312"/>
          <w:b/>
          <w:sz w:val="32"/>
          <w:szCs w:val="32"/>
        </w:rPr>
        <w:t xml:space="preserve">469.84 </w:t>
      </w:r>
      <w:r>
        <w:rPr>
          <w:rFonts w:hint="eastAsia" w:ascii="仿宋_GB2312" w:hAnsi="宋体" w:eastAsia="仿宋_GB2312" w:cs="宋体"/>
          <w:kern w:val="0"/>
          <w:sz w:val="32"/>
          <w:szCs w:val="32"/>
        </w:rPr>
        <w:t>万元，占 98 %。</w:t>
      </w:r>
    </w:p>
    <w:p>
      <w:pPr>
        <w:spacing w:line="56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2</w:t>
      </w:r>
      <w:r>
        <w:rPr>
          <w:rFonts w:hint="eastAsia" w:ascii="仿宋_GB2312" w:eastAsia="仿宋_GB2312"/>
          <w:sz w:val="32"/>
          <w:szCs w:val="32"/>
        </w:rPr>
        <w:t>一般公共服务（类2010399）12万元，占2%</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1.例：</w:t>
      </w:r>
      <w:r>
        <w:rPr>
          <w:rFonts w:ascii="仿宋_GB2312" w:hAnsi="宋体" w:eastAsia="仿宋_GB2312" w:cs="宋体"/>
          <w:kern w:val="0"/>
          <w:sz w:val="32"/>
          <w:szCs w:val="32"/>
        </w:rPr>
        <w:t>一般公共服务（类</w:t>
      </w:r>
      <w:r>
        <w:rPr>
          <w:rFonts w:hint="eastAsia" w:ascii="仿宋_GB2312" w:hAnsi="宋体" w:eastAsia="仿宋_GB2312" w:cs="宋体"/>
          <w:kern w:val="0"/>
          <w:sz w:val="32"/>
          <w:szCs w:val="32"/>
        </w:rPr>
        <w:t>201</w:t>
      </w:r>
      <w:r>
        <w:rPr>
          <w:rFonts w:ascii="仿宋_GB2312" w:hAnsi="宋体" w:eastAsia="仿宋_GB2312" w:cs="宋体"/>
          <w:kern w:val="0"/>
          <w:sz w:val="32"/>
          <w:szCs w:val="32"/>
        </w:rPr>
        <w:t>）财政事务（款</w:t>
      </w:r>
      <w:r>
        <w:rPr>
          <w:rFonts w:hint="eastAsia" w:ascii="仿宋_GB2312" w:hAnsi="宋体" w:eastAsia="仿宋_GB2312" w:cs="宋体"/>
          <w:kern w:val="0"/>
          <w:sz w:val="32"/>
          <w:szCs w:val="32"/>
        </w:rPr>
        <w:t>03</w:t>
      </w:r>
      <w:r>
        <w:rPr>
          <w:rFonts w:ascii="仿宋_GB2312" w:hAnsi="宋体" w:eastAsia="仿宋_GB2312" w:cs="宋体"/>
          <w:kern w:val="0"/>
          <w:sz w:val="32"/>
          <w:szCs w:val="32"/>
        </w:rPr>
        <w:t>）行政运行（项</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2019</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 xml:space="preserve">469.84 </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比上年执行数增加（减少）41.42万元，增长0.91  %，主要原因是： 人员工资增加 。</w:t>
      </w:r>
    </w:p>
    <w:p>
      <w:pPr>
        <w:spacing w:line="56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2.</w:t>
      </w:r>
      <w:r>
        <w:rPr>
          <w:rFonts w:ascii="仿宋_GB2312" w:hAnsi="宋体" w:eastAsia="仿宋_GB2312" w:cs="宋体"/>
          <w:kern w:val="0"/>
          <w:sz w:val="32"/>
          <w:szCs w:val="32"/>
        </w:rPr>
        <w:t xml:space="preserve"> 一般公共服务（类</w:t>
      </w:r>
      <w:r>
        <w:rPr>
          <w:rFonts w:hint="eastAsia" w:ascii="仿宋_GB2312" w:hAnsi="宋体" w:eastAsia="仿宋_GB2312" w:cs="宋体"/>
          <w:kern w:val="0"/>
          <w:sz w:val="32"/>
          <w:szCs w:val="32"/>
        </w:rPr>
        <w:t>201</w:t>
      </w:r>
      <w:r>
        <w:rPr>
          <w:rFonts w:ascii="仿宋_GB2312" w:hAnsi="宋体" w:eastAsia="仿宋_GB2312" w:cs="宋体"/>
          <w:kern w:val="0"/>
          <w:sz w:val="32"/>
          <w:szCs w:val="32"/>
        </w:rPr>
        <w:t>）财政事务（款</w:t>
      </w:r>
      <w:r>
        <w:rPr>
          <w:rFonts w:hint="eastAsia" w:ascii="仿宋_GB2312" w:hAnsi="宋体" w:eastAsia="仿宋_GB2312" w:cs="宋体"/>
          <w:kern w:val="0"/>
          <w:sz w:val="32"/>
          <w:szCs w:val="32"/>
        </w:rPr>
        <w:t>03</w:t>
      </w:r>
      <w:r>
        <w:rPr>
          <w:rFonts w:ascii="仿宋_GB2312" w:hAnsi="宋体" w:eastAsia="仿宋_GB2312" w:cs="宋体"/>
          <w:kern w:val="0"/>
          <w:sz w:val="32"/>
          <w:szCs w:val="32"/>
        </w:rPr>
        <w:t>）行政运行（项</w:t>
      </w:r>
      <w:r>
        <w:rPr>
          <w:rFonts w:hint="eastAsia" w:ascii="仿宋_GB2312" w:hAnsi="宋体" w:eastAsia="仿宋_GB2312" w:cs="宋体"/>
          <w:kern w:val="0"/>
          <w:sz w:val="32"/>
          <w:szCs w:val="32"/>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rPr>
        <w:t>2019</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 xml:space="preserve">12 </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比上年执行数增加0万元，增长 0  %，主要原因：群众工作工作经费无增长。</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六、关于吐尔尕特口岸管委会部门2020年一般公共预算基本支出情况说明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本部门2020年一般公共预算基本支出 481.84 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 458.96 万元，主要包括：基本工资100.45万元、津贴补贴191.95万元、奖金8.37万元、机关事业单位基本养老保险缴费43.33万元、其他社会保障缴费36.16万元、住房公积金31.57万元、其他工资福利支出6.6万元、退休费17.39万元、奖励金3.02万元、其他对个人和家庭的补助15.12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 22.88 万元，主要包括：办公费12.2万元、电费5万元、、工会经费2.08万元、公务用车运行维护费3.6万元。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七、关于本部门2020年项目支出情况说明</w:t>
      </w:r>
    </w:p>
    <w:p>
      <w:pPr>
        <w:widowControl/>
        <w:spacing w:line="560" w:lineRule="exact"/>
        <w:jc w:val="left"/>
        <w:rPr>
          <w:rFonts w:ascii="仿宋_GB2312" w:hAnsi="黑体" w:eastAsia="仿宋_GB2312"/>
          <w:sz w:val="32"/>
          <w:szCs w:val="32"/>
        </w:rPr>
      </w:pPr>
      <w:r>
        <w:rPr>
          <w:rFonts w:hint="eastAsia" w:ascii="仿宋_GB2312" w:hAnsi="黑体" w:eastAsia="仿宋_GB2312"/>
          <w:b/>
          <w:sz w:val="32"/>
          <w:szCs w:val="32"/>
        </w:rPr>
        <w:t>1、</w:t>
      </w:r>
      <w:r>
        <w:rPr>
          <w:rFonts w:hint="eastAsia" w:ascii="仿宋_GB2312" w:hAnsi="黑体" w:eastAsia="仿宋_GB2312"/>
          <w:sz w:val="32"/>
          <w:szCs w:val="32"/>
        </w:rPr>
        <w:t>项目名称：群众工作运行经费</w:t>
      </w:r>
    </w:p>
    <w:p>
      <w:pPr>
        <w:widowControl/>
        <w:spacing w:line="560" w:lineRule="exact"/>
        <w:jc w:val="left"/>
        <w:rPr>
          <w:rFonts w:ascii="仿宋_GB2312" w:hAnsi="宋体" w:eastAsia="仿宋_GB2312" w:cs="宋体"/>
          <w:kern w:val="0"/>
          <w:sz w:val="32"/>
          <w:szCs w:val="32"/>
        </w:rPr>
      </w:pPr>
      <w:r>
        <w:rPr>
          <w:rFonts w:hint="eastAsia" w:ascii="仿宋_GB2312" w:hAnsi="黑体" w:eastAsia="仿宋_GB2312"/>
          <w:sz w:val="32"/>
          <w:szCs w:val="32"/>
        </w:rPr>
        <w:t>设立的政策依据：</w:t>
      </w:r>
      <w:r>
        <w:rPr>
          <w:rFonts w:hint="eastAsia" w:ascii="仿宋_GB2312" w:hAnsi="宋体" w:eastAsia="仿宋_GB2312" w:cs="宋体"/>
          <w:kern w:val="0"/>
          <w:sz w:val="32"/>
          <w:szCs w:val="32"/>
        </w:rPr>
        <w:t>根据2020年财政预算编制内容</w:t>
      </w:r>
    </w:p>
    <w:p>
      <w:pPr>
        <w:widowControl/>
        <w:spacing w:line="560" w:lineRule="exact"/>
        <w:jc w:val="left"/>
        <w:rPr>
          <w:rFonts w:ascii="仿宋_GB2312" w:hAnsi="黑体" w:eastAsia="仿宋_GB2312"/>
          <w:sz w:val="32"/>
          <w:szCs w:val="32"/>
        </w:rPr>
      </w:pPr>
      <w:r>
        <w:rPr>
          <w:rFonts w:hint="eastAsia" w:ascii="仿宋_GB2312" w:hAnsi="宋体" w:eastAsia="仿宋_GB2312" w:cs="宋体"/>
          <w:kern w:val="0"/>
          <w:sz w:val="32"/>
          <w:szCs w:val="32"/>
        </w:rPr>
        <w:t>预算安排规模：7万元</w:t>
      </w:r>
    </w:p>
    <w:p>
      <w:pPr>
        <w:widowControl/>
        <w:spacing w:line="560" w:lineRule="exact"/>
        <w:jc w:val="left"/>
        <w:rPr>
          <w:rFonts w:ascii="仿宋_GB2312" w:hAnsi="黑体" w:eastAsia="仿宋_GB2312"/>
          <w:sz w:val="32"/>
          <w:szCs w:val="32"/>
        </w:rPr>
      </w:pPr>
      <w:r>
        <w:rPr>
          <w:rFonts w:hint="eastAsia" w:ascii="仿宋_GB2312" w:hAnsi="黑体" w:eastAsia="仿宋_GB2312"/>
          <w:sz w:val="32"/>
          <w:szCs w:val="32"/>
        </w:rPr>
        <w:t>项目承担单位：克州吐尔尕特口岸管理委员会</w:t>
      </w:r>
    </w:p>
    <w:p>
      <w:pPr>
        <w:widowControl/>
        <w:spacing w:line="560" w:lineRule="exact"/>
        <w:jc w:val="left"/>
        <w:rPr>
          <w:rFonts w:ascii="仿宋_GB2312" w:hAnsi="黑体" w:eastAsia="仿宋_GB2312"/>
          <w:sz w:val="32"/>
          <w:szCs w:val="32"/>
        </w:rPr>
      </w:pPr>
      <w:r>
        <w:rPr>
          <w:rFonts w:hint="eastAsia" w:ascii="仿宋_GB2312" w:hAnsi="黑体" w:eastAsia="仿宋_GB2312"/>
          <w:sz w:val="32"/>
          <w:szCs w:val="32"/>
        </w:rPr>
        <w:t>资金分配情况：主要用于群众工作各项支出</w:t>
      </w:r>
    </w:p>
    <w:p>
      <w:pPr>
        <w:widowControl/>
        <w:spacing w:line="560" w:lineRule="exact"/>
        <w:jc w:val="left"/>
        <w:rPr>
          <w:rFonts w:ascii="仿宋_GB2312" w:hAnsi="宋体" w:eastAsia="仿宋_GB2312"/>
          <w:sz w:val="32"/>
          <w:szCs w:val="32"/>
        </w:rPr>
      </w:pPr>
      <w:r>
        <w:rPr>
          <w:rFonts w:hint="eastAsia" w:ascii="仿宋_GB2312" w:hAnsi="宋体" w:eastAsia="仿宋_GB2312"/>
          <w:sz w:val="32"/>
          <w:szCs w:val="32"/>
        </w:rPr>
        <w:t>资金执行时间：2020年2月-2021年1月</w:t>
      </w:r>
    </w:p>
    <w:p>
      <w:pPr>
        <w:widowControl/>
        <w:spacing w:line="560" w:lineRule="exact"/>
        <w:jc w:val="left"/>
        <w:rPr>
          <w:rFonts w:ascii="仿宋_GB2312" w:hAnsi="黑体" w:eastAsia="仿宋_GB2312"/>
          <w:sz w:val="32"/>
          <w:szCs w:val="32"/>
        </w:rPr>
      </w:pPr>
      <w:r>
        <w:rPr>
          <w:rFonts w:hint="eastAsia" w:ascii="仿宋_GB2312" w:hAnsi="宋体" w:eastAsia="仿宋_GB2312" w:cs="宋体"/>
          <w:kern w:val="0"/>
          <w:sz w:val="32"/>
          <w:szCs w:val="32"/>
        </w:rPr>
        <w:t>2、</w:t>
      </w:r>
      <w:r>
        <w:rPr>
          <w:rFonts w:hint="eastAsia" w:ascii="仿宋_GB2312" w:hAnsi="黑体" w:eastAsia="仿宋_GB2312"/>
          <w:sz w:val="32"/>
          <w:szCs w:val="32"/>
        </w:rPr>
        <w:t>项目名称：基层工作人员补助经费</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设立的政策依据：根据2020年财政预算编制内容</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预算安排规模：5万元</w:t>
      </w:r>
    </w:p>
    <w:p>
      <w:pPr>
        <w:widowControl/>
        <w:spacing w:line="560" w:lineRule="exact"/>
        <w:ind w:firstLine="640" w:firstLineChars="200"/>
        <w:rPr>
          <w:rFonts w:ascii="仿宋_GB2312" w:hAnsi="宋体" w:eastAsia="仿宋_GB2312" w:cs="宋体"/>
          <w:kern w:val="0"/>
          <w:sz w:val="32"/>
          <w:szCs w:val="32"/>
        </w:rPr>
      </w:pPr>
      <w:r>
        <w:rPr>
          <w:rFonts w:hint="eastAsia" w:ascii="仿宋_GB2312" w:hAnsi="黑体" w:eastAsia="仿宋_GB2312"/>
          <w:sz w:val="32"/>
          <w:szCs w:val="32"/>
        </w:rPr>
        <w:t>项目承担单位：</w:t>
      </w:r>
      <w:r>
        <w:rPr>
          <w:rFonts w:hint="eastAsia" w:ascii="仿宋_GB2312" w:hAnsi="宋体" w:eastAsia="仿宋_GB2312" w:cs="宋体"/>
          <w:kern w:val="0"/>
          <w:sz w:val="32"/>
          <w:szCs w:val="32"/>
        </w:rPr>
        <w:t>克州吐尔尕特口岸管理委员会</w:t>
      </w:r>
    </w:p>
    <w:p>
      <w:pPr>
        <w:widowControl/>
        <w:spacing w:line="560" w:lineRule="exact"/>
        <w:ind w:firstLine="640" w:firstLineChars="200"/>
        <w:jc w:val="left"/>
        <w:rPr>
          <w:rFonts w:ascii="仿宋_GB2312" w:hAnsi="黑体" w:eastAsia="仿宋_GB2312"/>
          <w:sz w:val="32"/>
          <w:szCs w:val="32"/>
        </w:rPr>
      </w:pPr>
      <w:r>
        <w:rPr>
          <w:rFonts w:hint="eastAsia" w:ascii="仿宋_GB2312" w:hAnsi="黑体" w:eastAsia="仿宋_GB2312"/>
          <w:sz w:val="32"/>
          <w:szCs w:val="32"/>
        </w:rPr>
        <w:t>资金分配情况：基层工作人员补助40元*24人/天</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黑体" w:eastAsia="仿宋_GB2312"/>
          <w:sz w:val="32"/>
          <w:szCs w:val="32"/>
        </w:rPr>
        <w:t>资金执行时间：</w:t>
      </w:r>
      <w:r>
        <w:rPr>
          <w:rFonts w:hint="eastAsia" w:ascii="仿宋_GB2312" w:hAnsi="宋体" w:eastAsia="仿宋_GB2312" w:cs="宋体"/>
          <w:kern w:val="0"/>
          <w:sz w:val="32"/>
          <w:szCs w:val="32"/>
        </w:rPr>
        <w:t>2020年1月至2020年12月</w:t>
      </w:r>
    </w:p>
    <w:p>
      <w:pPr>
        <w:widowControl/>
        <w:spacing w:line="560" w:lineRule="exact"/>
        <w:ind w:left="420" w:leftChars="200" w:firstLine="160" w:firstLineChars="50"/>
        <w:jc w:val="left"/>
        <w:rPr>
          <w:rFonts w:ascii="仿宋_GB2312" w:hAnsi="黑体" w:eastAsia="仿宋_GB2312"/>
          <w:sz w:val="32"/>
          <w:szCs w:val="32"/>
        </w:rPr>
      </w:pPr>
      <w:r>
        <w:rPr>
          <w:rFonts w:hint="eastAsia" w:ascii="仿宋_GB2312" w:hAnsi="宋体" w:eastAsia="仿宋_GB2312"/>
          <w:sz w:val="32"/>
          <w:szCs w:val="32"/>
        </w:rPr>
        <w:t>资金来源</w:t>
      </w:r>
      <w:r>
        <w:rPr>
          <w:rFonts w:hint="eastAsia" w:ascii="仿宋_GB2312" w:hAnsi="黑体" w:eastAsia="仿宋_GB2312"/>
          <w:sz w:val="32"/>
          <w:szCs w:val="32"/>
        </w:rPr>
        <w:t>：自治州专项资金。</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sz w:val="32"/>
          <w:szCs w:val="3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全体基层工作人员</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sz w:val="32"/>
          <w:szCs w:val="32"/>
        </w:rPr>
        <w:t>补贴标准</w:t>
      </w:r>
      <w:r>
        <w:rPr>
          <w:rFonts w:hint="eastAsia" w:ascii="仿宋_GB2312" w:hAnsi="黑体" w:eastAsia="仿宋_GB2312"/>
          <w:sz w:val="32"/>
          <w:szCs w:val="32"/>
        </w:rPr>
        <w:t>：</w:t>
      </w:r>
      <w:r>
        <w:rPr>
          <w:rFonts w:hint="eastAsia" w:ascii="仿宋_GB2312" w:hAnsi="宋体" w:eastAsia="仿宋_GB2312" w:cs="宋体"/>
          <w:kern w:val="0"/>
          <w:sz w:val="32"/>
          <w:szCs w:val="32"/>
        </w:rPr>
        <w:t>40/24人</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sz w:val="32"/>
          <w:szCs w:val="3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基层工作人员</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sz w:val="32"/>
          <w:szCs w:val="3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转账</w:t>
      </w:r>
    </w:p>
    <w:p>
      <w:pPr>
        <w:widowControl/>
        <w:spacing w:line="560" w:lineRule="exact"/>
        <w:ind w:firstLine="640" w:firstLineChars="200"/>
        <w:jc w:val="left"/>
        <w:rPr>
          <w:rFonts w:ascii="仿宋_GB2312" w:hAnsi="宋体" w:eastAsia="仿宋_GB2312"/>
          <w:sz w:val="32"/>
          <w:szCs w:val="32"/>
        </w:rPr>
      </w:pPr>
      <w:r>
        <w:rPr>
          <w:rFonts w:hint="eastAsia" w:ascii="仿宋_GB2312" w:hAnsi="宋体" w:eastAsia="仿宋_GB2312" w:cs="宋体"/>
          <w:kern w:val="0"/>
          <w:sz w:val="32"/>
          <w:szCs w:val="32"/>
        </w:rPr>
        <w:t>发放程序：由单位主要领导签字，手续齐转账支出。</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sz w:val="32"/>
          <w:szCs w:val="3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为确保社会和谐稳定人员补助经费。产生社会效益人民安居乐业。</w:t>
      </w:r>
    </w:p>
    <w:p>
      <w:pPr>
        <w:spacing w:line="560" w:lineRule="exact"/>
        <w:rPr>
          <w:rFonts w:ascii="黑体" w:hAnsi="宋体" w:eastAsia="黑体" w:cs="宋体"/>
          <w:kern w:val="0"/>
          <w:sz w:val="32"/>
          <w:szCs w:val="32"/>
        </w:rPr>
      </w:pPr>
      <w:r>
        <w:rPr>
          <w:rFonts w:hint="eastAsia" w:ascii="黑体" w:hAnsi="宋体" w:eastAsia="黑体" w:cs="宋体"/>
          <w:kern w:val="0"/>
          <w:sz w:val="32"/>
          <w:szCs w:val="32"/>
        </w:rPr>
        <w:t>八、关于吐尔尕特口岸管委会部门2020年一般公共预算“三公”经费预算情况说明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本部门2020年“三公”经费财政拨款预算数为3.6   万元，其中：因公出国（境）费   0  万元，公务用车购置  0  万元，公务用车运行费  3.6万元，公务接待费0 万元。</w:t>
      </w:r>
    </w:p>
    <w:p>
      <w:pPr>
        <w:spacing w:line="560" w:lineRule="exact"/>
        <w:ind w:left="210" w:leftChars="100" w:firstLine="320" w:firstLineChars="1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2020年“三公”经费财政拨款预算比上年减少4.4万元，其中：因公出国（境）费增加（减少）0   万元，主要原因是主要原因是 2020年未安排因公出国预算， 严格执行八项规定；公务用车购置费为0，未安排预算。[或公务用车购置费增加 0  万元，主要原因是：2020年未安排预算    ]；公务用车运行费减少4.4万元，主要原因是：严格执行八项规定，。公务接待费增加0万元，主要原因是财政拨款经费未安排预算。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九、关于吐尔尕特口岸管委会部门2020年政府性基金预算拨款情况说明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本部门2020年没有使用政府性基金预算拨款安排的支出，政府性基金预算支出情况表为空表。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2020年，本级1 家行政单位和 0 家事业单位的机关运行经费财政拨款预算  481.84 万元，比上年预算增加（41.42 万元，增长 0.86  %。主要原因是人员工资增加。</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2020年，本部门及下属单位政府采购预算  0 万元，其中：政府采购货物预算   0  万元，政府采购工程预算     万元，政府采购服务预算   0    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 0 万元，其中：面向小微企业预留政府采购项目预算金额  0  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截至2019年底，吐尔尕特口岸管委会部门及下属各预算单位占用使用国有资产总体情况为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  3651.46  平方米，价值 2192.28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  8  辆，价值222.34   万元；其中：一般公务用车 5 辆，价值   87.08万元；执法执勤用车  0 辆，价值  0 万元；其他车辆 3 辆，价值 135.26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  26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   191.5万元。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  0台（套），单位价值100万元以上大型设备 0 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2020年部门预算未安排购置车辆经费（或安排购置车辆经费  万元），安排购置50万元以上大型设备0  台（套），单位价值100万元以上大型设备 0 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 2  个，涉及预算金额 12 万元。具体情况见下表：</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表1</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吐尔尕特口岸管委会单位</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7</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开展群众工作工作经费7万元</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全体村名170户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按计划1-12月</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年度考核1次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开展群众工作解决贫困户生产生活</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5户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开展群众工作解决贫困大学生生活费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5人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开展群众工作按时解决和发放生产生活费用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满足村民生产生活为民办实事好事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≥10次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村民对群众工作的满意度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表2</w:t>
            </w:r>
          </w:p>
        </w:tc>
      </w:tr>
      <w:tr>
        <w:tblPrEx>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吐尔尕特口岸管委会单位</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基层工作经费</w:t>
            </w:r>
          </w:p>
        </w:tc>
      </w:tr>
      <w:tr>
        <w:tblPrEx>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5</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5</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r>
      <w:tr>
        <w:tblPrEx>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开展基层工作工作经费5万元</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全体村民170户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按计划1-12月</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年度考核1次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开展基层工作解决基层人员生产生活费用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开展基层工作解决贫困大学生生活费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5人</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开展基层工作按时解决和发放生产生活费用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≥12次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满足基层生产生活，为民办实事好事</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≥10次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村民对基层工作的满意度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20" w:lineRule="exact"/>
        <w:ind w:firstLine="630" w:firstLineChars="196"/>
        <w:jc w:val="left"/>
        <w:rPr>
          <w:rFonts w:ascii="楷体_GB2312" w:hAnsi="宋体" w:eastAsia="楷体_GB2312" w:cs="宋体"/>
          <w:b/>
          <w:kern w:val="0"/>
          <w:sz w:val="32"/>
          <w:szCs w:val="32"/>
        </w:r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br w:type="page"/>
      </w: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0"/>
        <w:rPr>
          <w:rFonts w:ascii="仿宋_GB2312" w:eastAsia="仿宋_GB2312"/>
          <w:b/>
          <w:szCs w:val="20"/>
        </w:rPr>
      </w:pPr>
      <w:r>
        <w:rPr>
          <w:rFonts w:hint="eastAsia" w:ascii="仿宋_GB2312" w:eastAsia="仿宋_GB2312"/>
          <w:b/>
          <w:sz w:val="32"/>
          <w:szCs w:val="32"/>
        </w:rPr>
        <w:t>（各部门单位应根据部门预算公开表中对应的经费情况进行名词解释，对未涉及的名词应删除）</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color w:val="000000" w:themeColor="text1"/>
          <w:kern w:val="0"/>
          <w:sz w:val="32"/>
          <w:szCs w:val="32"/>
        </w:rPr>
      </w:pPr>
    </w:p>
    <w:p>
      <w:pPr>
        <w:widowControl/>
        <w:spacing w:line="520" w:lineRule="exact"/>
        <w:jc w:val="left"/>
        <w:rPr>
          <w:rFonts w:ascii="仿宋_GB2312" w:hAnsi="宋体" w:eastAsia="仿宋_GB2312" w:cs="宋体"/>
          <w:kern w:val="0"/>
          <w:sz w:val="32"/>
          <w:szCs w:val="32"/>
          <w:highlight w:val="yellow"/>
        </w:rPr>
      </w:pPr>
      <w:r>
        <w:rPr>
          <w:rFonts w:hint="eastAsia" w:ascii="仿宋_GB2312" w:hAnsi="宋体" w:eastAsia="仿宋_GB2312" w:cs="宋体"/>
          <w:kern w:val="0"/>
          <w:sz w:val="32"/>
          <w:szCs w:val="32"/>
        </w:rPr>
        <w:t xml:space="preserve">                                   吐尔尕特口岸管理委员会</w:t>
      </w:r>
    </w:p>
    <w:p>
      <w:pPr>
        <w:widowControl/>
        <w:spacing w:line="520" w:lineRule="exact"/>
        <w:jc w:val="left"/>
        <w:rPr>
          <w:rFonts w:ascii="仿宋_GB2312" w:eastAsia="仿宋_GB2312"/>
          <w:sz w:val="32"/>
          <w:szCs w:val="32"/>
        </w:rPr>
      </w:pPr>
      <w:r>
        <w:rPr>
          <w:rFonts w:hint="eastAsia" w:ascii="仿宋_GB2312" w:hAnsi="宋体" w:eastAsia="仿宋_GB2312" w:cs="宋体"/>
          <w:kern w:val="0"/>
          <w:sz w:val="32"/>
          <w:szCs w:val="32"/>
          <w:highlight w:val="yellow"/>
        </w:rPr>
        <w:t xml:space="preserve"> </w:t>
      </w:r>
      <w:r>
        <w:rPr>
          <w:rFonts w:hint="eastAsia" w:ascii="仿宋_GB2312" w:hAnsi="宋体" w:eastAsia="仿宋_GB2312" w:cs="宋体"/>
          <w:color w:val="FFFFFF" w:themeColor="background1"/>
          <w:kern w:val="0"/>
          <w:sz w:val="32"/>
          <w:szCs w:val="32"/>
          <w:highlight w:val="yellow"/>
        </w:rPr>
        <w:t xml:space="preserve"> </w:t>
      </w:r>
      <w:r>
        <w:rPr>
          <w:rFonts w:hint="eastAsia" w:ascii="仿宋_GB2312" w:eastAsia="仿宋_GB2312"/>
          <w:sz w:val="32"/>
          <w:szCs w:val="32"/>
        </w:rPr>
        <w:t xml:space="preserve">                                     2020年1月20日</w:t>
      </w:r>
    </w:p>
    <w:sectPr>
      <w:pgSz w:w="16838" w:h="11906" w:orient="landscape"/>
      <w:pgMar w:top="1531" w:right="1985" w:bottom="1531" w:left="1843"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decorative"/>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decorative"/>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22 -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81CD5"/>
    <w:rsid w:val="00012D28"/>
    <w:rsid w:val="00032AE8"/>
    <w:rsid w:val="000343F0"/>
    <w:rsid w:val="000354D2"/>
    <w:rsid w:val="00053BF3"/>
    <w:rsid w:val="000B59FE"/>
    <w:rsid w:val="000D3B5A"/>
    <w:rsid w:val="000D56B0"/>
    <w:rsid w:val="000F626A"/>
    <w:rsid w:val="00106382"/>
    <w:rsid w:val="0011242A"/>
    <w:rsid w:val="00114DEC"/>
    <w:rsid w:val="00125A52"/>
    <w:rsid w:val="001934F0"/>
    <w:rsid w:val="001A3F36"/>
    <w:rsid w:val="00250877"/>
    <w:rsid w:val="002528BD"/>
    <w:rsid w:val="002602D8"/>
    <w:rsid w:val="002C64C7"/>
    <w:rsid w:val="002E5986"/>
    <w:rsid w:val="00324290"/>
    <w:rsid w:val="003253F8"/>
    <w:rsid w:val="00347B2B"/>
    <w:rsid w:val="003869B8"/>
    <w:rsid w:val="00387451"/>
    <w:rsid w:val="00390CA5"/>
    <w:rsid w:val="003C0DCA"/>
    <w:rsid w:val="003E0045"/>
    <w:rsid w:val="003E2258"/>
    <w:rsid w:val="00426012"/>
    <w:rsid w:val="00432267"/>
    <w:rsid w:val="00462065"/>
    <w:rsid w:val="00481CD5"/>
    <w:rsid w:val="004A2DC4"/>
    <w:rsid w:val="00512D81"/>
    <w:rsid w:val="005C42E0"/>
    <w:rsid w:val="00612C58"/>
    <w:rsid w:val="006C4E9F"/>
    <w:rsid w:val="006D0A66"/>
    <w:rsid w:val="006F4EAB"/>
    <w:rsid w:val="00702373"/>
    <w:rsid w:val="00711E5A"/>
    <w:rsid w:val="008160EE"/>
    <w:rsid w:val="00845DE7"/>
    <w:rsid w:val="00883200"/>
    <w:rsid w:val="0089361B"/>
    <w:rsid w:val="008D2BEA"/>
    <w:rsid w:val="00902EDA"/>
    <w:rsid w:val="00910076"/>
    <w:rsid w:val="00957D53"/>
    <w:rsid w:val="009641BC"/>
    <w:rsid w:val="00995615"/>
    <w:rsid w:val="009C2CE7"/>
    <w:rsid w:val="009D0AA2"/>
    <w:rsid w:val="009D5261"/>
    <w:rsid w:val="009F3D00"/>
    <w:rsid w:val="00A0029D"/>
    <w:rsid w:val="00A22748"/>
    <w:rsid w:val="00A229E8"/>
    <w:rsid w:val="00AC7514"/>
    <w:rsid w:val="00AE4077"/>
    <w:rsid w:val="00B22D8A"/>
    <w:rsid w:val="00B6791F"/>
    <w:rsid w:val="00B72F58"/>
    <w:rsid w:val="00BA5178"/>
    <w:rsid w:val="00BC735A"/>
    <w:rsid w:val="00C0661D"/>
    <w:rsid w:val="00C212AA"/>
    <w:rsid w:val="00C5727A"/>
    <w:rsid w:val="00C6795D"/>
    <w:rsid w:val="00C759D1"/>
    <w:rsid w:val="00CB54BE"/>
    <w:rsid w:val="00D06D6F"/>
    <w:rsid w:val="00D14E7C"/>
    <w:rsid w:val="00D21AB0"/>
    <w:rsid w:val="00DB7D61"/>
    <w:rsid w:val="00E41C78"/>
    <w:rsid w:val="00E469CA"/>
    <w:rsid w:val="00E6510E"/>
    <w:rsid w:val="00E7167C"/>
    <w:rsid w:val="00E737CE"/>
    <w:rsid w:val="00E8132F"/>
    <w:rsid w:val="00EE28B6"/>
    <w:rsid w:val="00EF0040"/>
    <w:rsid w:val="00EF2A38"/>
    <w:rsid w:val="00F12EC0"/>
    <w:rsid w:val="00F21AE8"/>
    <w:rsid w:val="00FE07FB"/>
    <w:rsid w:val="00FE1E58"/>
    <w:rsid w:val="07783EEC"/>
    <w:rsid w:val="1BAF6B42"/>
    <w:rsid w:val="1EBD2BCD"/>
    <w:rsid w:val="2B5C29E0"/>
    <w:rsid w:val="2D655C2A"/>
    <w:rsid w:val="4F8B625F"/>
    <w:rsid w:val="57824AEA"/>
    <w:rsid w:val="595B5566"/>
    <w:rsid w:val="75297B70"/>
    <w:rsid w:val="79DA2423"/>
    <w:rsid w:val="7B856243"/>
    <w:rsid w:val="7B983684"/>
    <w:rsid w:val="7BE32C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8"/>
    <w:semiHidden/>
    <w:uiPriority w:val="0"/>
    <w:rPr>
      <w:sz w:val="18"/>
      <w:szCs w:val="18"/>
    </w:r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uiPriority w:val="99"/>
    <w:rPr>
      <w:rFonts w:ascii="Times New Roman" w:hAnsi="Times New Roman" w:eastAsia="黑体" w:cs="Times New Roman"/>
      <w:snapToGrid w:val="0"/>
      <w:kern w:val="0"/>
      <w:sz w:val="18"/>
      <w:szCs w:val="18"/>
    </w:rPr>
  </w:style>
  <w:style w:type="character" w:customStyle="1" w:styleId="18">
    <w:name w:val="批注框文本 Char"/>
    <w:link w:val="2"/>
    <w:semiHidden/>
    <w:qFormat/>
    <w:uiPriority w:val="0"/>
    <w:rPr>
      <w:rFonts w:ascii="Times New Roman" w:hAnsi="Times New Roman" w:eastAsia="宋体" w:cs="Times New Roman"/>
      <w:sz w:val="18"/>
      <w:szCs w:val="18"/>
    </w:rPr>
  </w:style>
  <w:style w:type="character" w:customStyle="1" w:styleId="19">
    <w:name w:val="页眉 字符1"/>
    <w:qFormat/>
    <w:uiPriority w:val="0"/>
    <w:rPr>
      <w:rFonts w:ascii="Times New Roman" w:hAnsi="Times New Roman" w:eastAsia="宋体" w:cs="Times New Roman"/>
      <w:sz w:val="18"/>
      <w:szCs w:val="18"/>
    </w:rPr>
  </w:style>
  <w:style w:type="character" w:customStyle="1" w:styleId="20">
    <w:name w:val="正文文本缩进 3 Char"/>
    <w:link w:val="5"/>
    <w:qFormat/>
    <w:uiPriority w:val="0"/>
    <w:rPr>
      <w:rFonts w:ascii="Times New Roman" w:hAnsi="Times New Roman" w:eastAsia="仿宋_GB2312" w:cs="Times New Roman"/>
      <w:sz w:val="32"/>
      <w:szCs w:val="24"/>
    </w:rPr>
  </w:style>
  <w:style w:type="paragraph" w:customStyle="1" w:styleId="21">
    <w:name w:val="列出段落1"/>
    <w:basedOn w:val="1"/>
    <w:qFormat/>
    <w:uiPriority w:val="34"/>
    <w:pPr>
      <w:ind w:firstLine="420" w:firstLineChars="200"/>
    </w:pPr>
    <w:rPr>
      <w:rFonts w:ascii="Calibri" w:hAnsi="Calibri"/>
      <w:szCs w:val="22"/>
    </w:rPr>
  </w:style>
  <w:style w:type="paragraph" w:customStyle="1" w:styleId="22">
    <w:name w:val="普通(网站)1"/>
    <w:basedOn w:val="1"/>
    <w:uiPriority w:val="0"/>
    <w:rPr>
      <w:rFonts w:ascii="Calibri" w:hAnsi="Calibri" w:cs="黑体"/>
      <w:sz w:val="24"/>
    </w:rPr>
  </w:style>
  <w:style w:type="paragraph" w:customStyle="1" w:styleId="23">
    <w:name w:val="普通(网站)2"/>
    <w:basedOn w:val="1"/>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 w:type="paragraph" w:styleId="25">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1434E6-21E8-455E-A8EF-9AA5EDA443CC}">
  <ds:schemaRefs/>
</ds:datastoreItem>
</file>

<file path=docProps/app.xml><?xml version="1.0" encoding="utf-8"?>
<Properties xmlns="http://schemas.openxmlformats.org/officeDocument/2006/extended-properties" xmlns:vt="http://schemas.openxmlformats.org/officeDocument/2006/docPropsVTypes">
  <Template>Normal</Template>
  <Pages>24</Pages>
  <Words>1614</Words>
  <Characters>9205</Characters>
  <Lines>76</Lines>
  <Paragraphs>21</Paragraphs>
  <TotalTime>1</TotalTime>
  <ScaleCrop>false</ScaleCrop>
  <LinksUpToDate>false</LinksUpToDate>
  <CharactersWithSpaces>10798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2020-11-23T05:22:00Z</dcterms:created>
  <dc:creator>穆斯塔帕</dc:creator>
  <cp:lastModifiedBy>丶记忆是唯一的行李</cp:lastModifiedBy>
  <cp:lastPrinted>2020-01-09T10:17:00Z</cp:lastPrinted>
  <dcterms:modified xsi:type="dcterms:W3CDTF">2020-11-23T05:27:46Z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