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/>
    <w:p/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</w:t>
      </w:r>
      <w:r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  <w:t>克州驻乌干休所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2020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年部门预算公开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both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60" w:lineRule="exact"/>
        <w:jc w:val="both"/>
        <w:outlineLvl w:val="1"/>
        <w:rPr>
          <w:rFonts w:hint="eastAsia" w:ascii="黑体" w:hAnsi="黑体" w:eastAsia="黑体"/>
          <w:kern w:val="0"/>
          <w:sz w:val="36"/>
          <w:szCs w:val="32"/>
        </w:rPr>
      </w:pPr>
    </w:p>
    <w:p>
      <w:pPr>
        <w:widowControl/>
        <w:spacing w:line="460" w:lineRule="exact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60" w:lineRule="exact"/>
        <w:ind w:firstLine="720" w:firstLineChars="200"/>
        <w:outlineLvl w:val="1"/>
        <w:rPr>
          <w:rFonts w:ascii="黑体" w:hAnsi="黑体" w:eastAsia="黑体"/>
          <w:kern w:val="0"/>
          <w:sz w:val="36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第一部分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克州驻乌干休所单位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概况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年部门预算公开表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年部门预算情况说明</w:t>
      </w:r>
    </w:p>
    <w:p>
      <w:pPr>
        <w:widowControl/>
        <w:spacing w:line="460" w:lineRule="exact"/>
        <w:ind w:firstLine="560" w:firstLineChars="200"/>
        <w:outlineLvl w:val="1"/>
        <w:rPr>
          <w:rFonts w:ascii="仿宋_GB2312" w:hAnsi="宋体" w:eastAsia="仿宋_GB2312"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/>
          <w:spacing w:val="-20"/>
          <w:kern w:val="0"/>
          <w:sz w:val="32"/>
          <w:szCs w:val="32"/>
        </w:rPr>
        <w:t>一、关于</w:t>
      </w:r>
      <w:r>
        <w:rPr>
          <w:rFonts w:hint="eastAsia" w:ascii="仿宋_GB2312" w:hAnsi="黑体" w:eastAsia="仿宋_GB2312" w:cs="宋体"/>
          <w:bCs/>
          <w:spacing w:val="-20"/>
          <w:kern w:val="0"/>
          <w:sz w:val="32"/>
          <w:szCs w:val="32"/>
        </w:rPr>
        <w:t>克州驻乌干休所</w:t>
      </w:r>
      <w:r>
        <w:rPr>
          <w:rFonts w:hint="eastAsia" w:ascii="仿宋_GB2312" w:hAnsi="宋体" w:eastAsia="仿宋_GB2312"/>
          <w:spacing w:val="-20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spacing w:val="-20"/>
          <w:kern w:val="0"/>
          <w:sz w:val="32"/>
          <w:szCs w:val="32"/>
        </w:rPr>
        <w:t>年收支预算情况的总体说明</w:t>
      </w:r>
    </w:p>
    <w:p>
      <w:pPr>
        <w:widowControl/>
        <w:spacing w:line="460" w:lineRule="exact"/>
        <w:ind w:firstLine="560" w:firstLineChars="200"/>
        <w:outlineLvl w:val="1"/>
        <w:rPr>
          <w:rFonts w:ascii="仿宋_GB2312" w:hAnsi="宋体" w:eastAsia="仿宋_GB2312"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/>
          <w:spacing w:val="-20"/>
          <w:kern w:val="0"/>
          <w:sz w:val="32"/>
          <w:szCs w:val="32"/>
        </w:rPr>
        <w:t>二、关于</w:t>
      </w:r>
      <w:r>
        <w:rPr>
          <w:rFonts w:hint="eastAsia" w:ascii="仿宋_GB2312" w:hAnsi="黑体" w:eastAsia="仿宋_GB2312" w:cs="宋体"/>
          <w:bCs/>
          <w:spacing w:val="-20"/>
          <w:kern w:val="0"/>
          <w:sz w:val="32"/>
          <w:szCs w:val="32"/>
        </w:rPr>
        <w:t>克州驻乌干休所</w:t>
      </w:r>
      <w:r>
        <w:rPr>
          <w:rFonts w:hint="eastAsia" w:ascii="仿宋_GB2312" w:hAnsi="宋体" w:eastAsia="仿宋_GB2312"/>
          <w:spacing w:val="-20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spacing w:val="-20"/>
          <w:kern w:val="0"/>
          <w:sz w:val="32"/>
          <w:szCs w:val="32"/>
        </w:rPr>
        <w:t>年收入预算情况说明</w:t>
      </w:r>
    </w:p>
    <w:p>
      <w:pPr>
        <w:widowControl/>
        <w:spacing w:line="460" w:lineRule="exact"/>
        <w:ind w:firstLine="560" w:firstLineChars="200"/>
        <w:outlineLvl w:val="1"/>
        <w:rPr>
          <w:rFonts w:ascii="仿宋_GB2312" w:hAnsi="宋体" w:eastAsia="仿宋_GB2312"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/>
          <w:spacing w:val="-20"/>
          <w:kern w:val="0"/>
          <w:sz w:val="32"/>
          <w:szCs w:val="32"/>
        </w:rPr>
        <w:t>三、关于</w:t>
      </w:r>
      <w:r>
        <w:rPr>
          <w:rFonts w:hint="eastAsia" w:ascii="仿宋_GB2312" w:hAnsi="黑体" w:eastAsia="仿宋_GB2312" w:cs="宋体"/>
          <w:bCs/>
          <w:spacing w:val="-20"/>
          <w:kern w:val="0"/>
          <w:sz w:val="32"/>
          <w:szCs w:val="32"/>
        </w:rPr>
        <w:t>克州驻乌干休所</w:t>
      </w:r>
      <w:r>
        <w:rPr>
          <w:rFonts w:hint="eastAsia" w:ascii="仿宋_GB2312" w:hAnsi="宋体" w:eastAsia="仿宋_GB2312"/>
          <w:spacing w:val="-20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spacing w:val="-20"/>
          <w:kern w:val="0"/>
          <w:sz w:val="32"/>
          <w:szCs w:val="32"/>
        </w:rPr>
        <w:t>年支出预算情况说明</w:t>
      </w:r>
    </w:p>
    <w:p>
      <w:pPr>
        <w:widowControl/>
        <w:spacing w:line="460" w:lineRule="exact"/>
        <w:ind w:firstLine="560" w:firstLineChars="200"/>
        <w:outlineLvl w:val="1"/>
        <w:rPr>
          <w:rFonts w:ascii="仿宋_GB2312" w:hAnsi="宋体" w:eastAsia="仿宋_GB2312"/>
          <w:bCs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spacing w:val="-20"/>
          <w:kern w:val="0"/>
          <w:sz w:val="32"/>
          <w:szCs w:val="32"/>
        </w:rPr>
        <w:t>四、关于</w:t>
      </w:r>
      <w:r>
        <w:rPr>
          <w:rFonts w:hint="eastAsia" w:ascii="仿宋_GB2312" w:hAnsi="黑体" w:eastAsia="仿宋_GB2312" w:cs="宋体"/>
          <w:bCs/>
          <w:spacing w:val="-20"/>
          <w:kern w:val="0"/>
          <w:sz w:val="32"/>
          <w:szCs w:val="32"/>
        </w:rPr>
        <w:t>克州驻乌干休所</w:t>
      </w:r>
      <w:r>
        <w:rPr>
          <w:rFonts w:hint="eastAsia" w:ascii="仿宋_GB2312" w:hAnsi="宋体" w:eastAsia="仿宋_GB2312"/>
          <w:spacing w:val="-20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spacing w:val="-20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spacing w:val="-20"/>
          <w:kern w:val="0"/>
          <w:sz w:val="32"/>
          <w:szCs w:val="32"/>
        </w:rPr>
        <w:t>财政拨款收支预算情况的总体说明</w:t>
      </w:r>
    </w:p>
    <w:p>
      <w:pPr>
        <w:widowControl/>
        <w:spacing w:line="460" w:lineRule="exact"/>
        <w:ind w:firstLine="560" w:firstLineChars="200"/>
        <w:outlineLvl w:val="1"/>
        <w:rPr>
          <w:rFonts w:ascii="仿宋_GB2312" w:hAnsi="宋体" w:eastAsia="仿宋_GB2312"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/>
          <w:spacing w:val="-20"/>
          <w:kern w:val="0"/>
          <w:sz w:val="32"/>
          <w:szCs w:val="32"/>
        </w:rPr>
        <w:t>五、关于</w:t>
      </w:r>
      <w:r>
        <w:rPr>
          <w:rFonts w:hint="eastAsia" w:ascii="仿宋_GB2312" w:hAnsi="黑体" w:eastAsia="仿宋_GB2312" w:cs="宋体"/>
          <w:bCs/>
          <w:spacing w:val="-20"/>
          <w:kern w:val="0"/>
          <w:sz w:val="32"/>
          <w:szCs w:val="32"/>
        </w:rPr>
        <w:t>克州驻乌干休所</w:t>
      </w:r>
      <w:r>
        <w:rPr>
          <w:rFonts w:hint="eastAsia" w:ascii="仿宋_GB2312" w:hAnsi="宋体" w:eastAsia="仿宋_GB2312"/>
          <w:spacing w:val="-20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spacing w:val="-20"/>
          <w:kern w:val="0"/>
          <w:sz w:val="32"/>
          <w:szCs w:val="32"/>
        </w:rPr>
        <w:t>年一般公共预算当年拨款情况说明</w:t>
      </w:r>
    </w:p>
    <w:p>
      <w:pPr>
        <w:widowControl/>
        <w:spacing w:line="460" w:lineRule="exact"/>
        <w:ind w:firstLine="560" w:firstLineChars="200"/>
        <w:outlineLvl w:val="1"/>
        <w:rPr>
          <w:rFonts w:ascii="仿宋_GB2312" w:hAnsi="宋体" w:eastAsia="仿宋_GB2312"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/>
          <w:spacing w:val="-20"/>
          <w:kern w:val="0"/>
          <w:sz w:val="32"/>
          <w:szCs w:val="32"/>
        </w:rPr>
        <w:t>六、关于</w:t>
      </w:r>
      <w:r>
        <w:rPr>
          <w:rFonts w:hint="eastAsia" w:ascii="仿宋_GB2312" w:hAnsi="黑体" w:eastAsia="仿宋_GB2312" w:cs="宋体"/>
          <w:bCs/>
          <w:spacing w:val="-20"/>
          <w:kern w:val="0"/>
          <w:sz w:val="32"/>
          <w:szCs w:val="32"/>
        </w:rPr>
        <w:t>克州驻乌干休所</w:t>
      </w:r>
      <w:r>
        <w:rPr>
          <w:rFonts w:hint="eastAsia" w:ascii="仿宋_GB2312" w:hAnsi="宋体" w:eastAsia="仿宋_GB2312"/>
          <w:spacing w:val="-20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spacing w:val="-20"/>
          <w:kern w:val="0"/>
          <w:sz w:val="32"/>
          <w:szCs w:val="32"/>
        </w:rPr>
        <w:t>年一般公共预算基本支出情况说明</w:t>
      </w:r>
    </w:p>
    <w:p>
      <w:pPr>
        <w:widowControl/>
        <w:spacing w:line="460" w:lineRule="exact"/>
        <w:ind w:firstLine="560" w:firstLineChars="200"/>
        <w:outlineLvl w:val="1"/>
        <w:rPr>
          <w:rFonts w:ascii="仿宋_GB2312" w:hAnsi="宋体" w:eastAsia="仿宋_GB2312"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/>
          <w:spacing w:val="-20"/>
          <w:kern w:val="0"/>
          <w:sz w:val="32"/>
          <w:szCs w:val="32"/>
        </w:rPr>
        <w:t>七、关于</w:t>
      </w:r>
      <w:r>
        <w:rPr>
          <w:rFonts w:hint="eastAsia" w:ascii="仿宋_GB2312" w:hAnsi="黑体" w:eastAsia="仿宋_GB2312" w:cs="宋体"/>
          <w:bCs/>
          <w:spacing w:val="-20"/>
          <w:kern w:val="0"/>
          <w:sz w:val="32"/>
          <w:szCs w:val="32"/>
        </w:rPr>
        <w:t>克州驻乌干休所</w:t>
      </w:r>
      <w:r>
        <w:rPr>
          <w:rFonts w:hint="eastAsia" w:ascii="仿宋_GB2312" w:hAnsi="宋体" w:eastAsia="仿宋_GB2312"/>
          <w:spacing w:val="-20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spacing w:val="-20"/>
          <w:kern w:val="0"/>
          <w:sz w:val="32"/>
          <w:szCs w:val="32"/>
        </w:rPr>
        <w:t>年项目支出情况说明</w:t>
      </w:r>
    </w:p>
    <w:p>
      <w:pPr>
        <w:widowControl/>
        <w:spacing w:line="460" w:lineRule="exact"/>
        <w:ind w:firstLine="504" w:firstLineChars="200"/>
        <w:outlineLvl w:val="1"/>
        <w:rPr>
          <w:rFonts w:ascii="仿宋_GB2312" w:hAnsi="宋体" w:eastAsia="仿宋_GB2312"/>
          <w:spacing w:val="-34"/>
          <w:kern w:val="0"/>
          <w:sz w:val="32"/>
          <w:szCs w:val="32"/>
        </w:rPr>
      </w:pPr>
      <w:r>
        <w:rPr>
          <w:rFonts w:hint="eastAsia" w:ascii="仿宋_GB2312" w:hAnsi="宋体" w:eastAsia="仿宋_GB2312"/>
          <w:spacing w:val="-34"/>
          <w:kern w:val="0"/>
          <w:sz w:val="32"/>
          <w:szCs w:val="32"/>
        </w:rPr>
        <w:t>八、关于</w:t>
      </w:r>
      <w:r>
        <w:rPr>
          <w:rFonts w:hint="eastAsia" w:ascii="仿宋_GB2312" w:hAnsi="黑体" w:eastAsia="仿宋_GB2312" w:cs="宋体"/>
          <w:bCs/>
          <w:spacing w:val="-34"/>
          <w:kern w:val="0"/>
          <w:sz w:val="32"/>
          <w:szCs w:val="32"/>
        </w:rPr>
        <w:t>克州驻乌干休所</w:t>
      </w:r>
      <w:r>
        <w:rPr>
          <w:rFonts w:hint="eastAsia" w:ascii="仿宋_GB2312" w:hAnsi="宋体" w:eastAsia="仿宋_GB2312"/>
          <w:spacing w:val="-34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spacing w:val="-34"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460" w:lineRule="exact"/>
        <w:ind w:firstLine="560" w:firstLineChars="200"/>
        <w:outlineLvl w:val="1"/>
        <w:rPr>
          <w:rFonts w:ascii="仿宋_GB2312" w:hAnsi="宋体" w:eastAsia="仿宋_GB2312"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/>
          <w:spacing w:val="-20"/>
          <w:kern w:val="0"/>
          <w:sz w:val="32"/>
          <w:szCs w:val="32"/>
        </w:rPr>
        <w:t>九、关于</w:t>
      </w:r>
      <w:r>
        <w:rPr>
          <w:rFonts w:hint="eastAsia" w:ascii="仿宋_GB2312" w:hAnsi="黑体" w:eastAsia="仿宋_GB2312" w:cs="宋体"/>
          <w:bCs/>
          <w:spacing w:val="-20"/>
          <w:kern w:val="0"/>
          <w:sz w:val="32"/>
          <w:szCs w:val="32"/>
        </w:rPr>
        <w:t>克州驻乌干休所</w:t>
      </w:r>
      <w:r>
        <w:rPr>
          <w:rFonts w:hint="eastAsia" w:ascii="仿宋_GB2312" w:hAnsi="宋体" w:eastAsia="仿宋_GB2312"/>
          <w:spacing w:val="-20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spacing w:val="-20"/>
          <w:kern w:val="0"/>
          <w:sz w:val="32"/>
          <w:szCs w:val="32"/>
        </w:rPr>
        <w:t>年政府性基金预算拨款情况说明</w:t>
      </w:r>
    </w:p>
    <w:p>
      <w:pPr>
        <w:widowControl/>
        <w:spacing w:line="460" w:lineRule="exact"/>
        <w:ind w:firstLine="560" w:firstLineChars="200"/>
        <w:outlineLvl w:val="1"/>
        <w:rPr>
          <w:rFonts w:ascii="仿宋_GB2312" w:hAnsi="宋体" w:eastAsia="仿宋_GB2312"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/>
          <w:spacing w:val="-20"/>
          <w:kern w:val="0"/>
          <w:sz w:val="32"/>
          <w:szCs w:val="32"/>
        </w:rPr>
        <w:t>十、其他重要事项的情况说明</w:t>
      </w: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第一部分   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克州驻乌干休所单位</w:t>
      </w:r>
      <w:r>
        <w:rPr>
          <w:rFonts w:hint="eastAsia" w:ascii="黑体" w:hAnsi="黑体" w:eastAsia="黑体"/>
          <w:kern w:val="0"/>
          <w:sz w:val="32"/>
          <w:szCs w:val="32"/>
        </w:rPr>
        <w:t>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负责落实老干部的政治待遇，协助有关方面落实生活待遇；组织老干部开展各种有益身心健康的文化娱乐活动和体育健身活动，就近参观经济建设；负责解决老干部生活中的实际困难，及时向上级反映老干部的意见、建议和要求；负责干休所的安全保卫，环境卫生工作。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 xml:space="preserve">克州驻乌干休所无下属预算单位，下设 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个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科室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，分别是：办公室、医务所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克州驻乌干休所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编制数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，实有人数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人，其中：在职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人；退休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人，增加或减少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人；离休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人，增加或减少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人。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第二部分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kern w:val="0"/>
          <w:sz w:val="32"/>
          <w:szCs w:val="32"/>
        </w:rPr>
        <w:t>年部门预算公开表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部门收支总体情况表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克州驻乌干休所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单位：万元</w:t>
      </w:r>
    </w:p>
    <w:tbl>
      <w:tblPr>
        <w:tblStyle w:val="7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270.28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270.28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270.28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09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270.28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270.28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270.28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部门收入总体情况表</w:t>
      </w:r>
    </w:p>
    <w:tbl>
      <w:tblPr>
        <w:tblStyle w:val="7"/>
        <w:tblpPr w:leftFromText="180" w:rightFromText="180" w:vertAnchor="text" w:horzAnchor="page" w:tblpX="931" w:tblpY="441"/>
        <w:tblOverlap w:val="never"/>
        <w:tblW w:w="104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417"/>
        <w:gridCol w:w="417"/>
        <w:gridCol w:w="1035"/>
        <w:gridCol w:w="914"/>
        <w:gridCol w:w="816"/>
        <w:gridCol w:w="680"/>
        <w:gridCol w:w="680"/>
        <w:gridCol w:w="519"/>
        <w:gridCol w:w="682"/>
        <w:gridCol w:w="767"/>
        <w:gridCol w:w="561"/>
        <w:gridCol w:w="565"/>
        <w:gridCol w:w="875"/>
        <w:gridCol w:w="10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5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6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上级补助收入</w:t>
            </w:r>
          </w:p>
        </w:tc>
        <w:tc>
          <w:tcPr>
            <w:tcW w:w="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专项收入</w:t>
            </w:r>
          </w:p>
        </w:tc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208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05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离退休人员管理机构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270.28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270.28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270.28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270.28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填报部门：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克州驻乌干休所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kern w:val="0"/>
          <w:sz w:val="24"/>
        </w:rPr>
        <w:t xml:space="preserve">        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kern w:val="0"/>
          <w:sz w:val="24"/>
        </w:rPr>
        <w:t xml:space="preserve"> 单位：万元</w:t>
      </w: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部门支出总体情况表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克州驻乌干休所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单位：万元</w:t>
      </w:r>
    </w:p>
    <w:tbl>
      <w:tblPr>
        <w:tblStyle w:val="7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00"/>
        <w:gridCol w:w="400"/>
        <w:gridCol w:w="2581"/>
        <w:gridCol w:w="1845"/>
        <w:gridCol w:w="1846"/>
        <w:gridCol w:w="18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5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8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208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03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离退休人员管理机构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270.28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231.59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38.69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270.28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231.59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38.69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/>
        <w:jc w:val="left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编制部门：</w:t>
      </w:r>
      <w:r>
        <w:rPr>
          <w:rFonts w:hint="eastAsia" w:ascii="仿宋_GB2312" w:hAnsi="宋体" w:eastAsia="仿宋_GB2312"/>
          <w:kern w:val="0"/>
          <w:sz w:val="28"/>
          <w:szCs w:val="28"/>
          <w:lang w:eastAsia="zh-CN"/>
        </w:rPr>
        <w:t>克州驻乌干休所</w:t>
      </w: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                             单位：万元</w:t>
      </w:r>
    </w:p>
    <w:tbl>
      <w:tblPr>
        <w:tblStyle w:val="7"/>
        <w:tblW w:w="9449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30"/>
        <w:gridCol w:w="2580"/>
        <w:gridCol w:w="1418"/>
        <w:gridCol w:w="1275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270.28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270.28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270.28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270.28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270.28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270.28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270.28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7"/>
        <w:gridCol w:w="2510"/>
        <w:gridCol w:w="660"/>
        <w:gridCol w:w="1024"/>
        <w:gridCol w:w="216"/>
        <w:gridCol w:w="162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克州驻乌干休所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208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离退休人员管理机构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270.28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231.59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38.69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270.28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231.59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38.69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7"/>
        <w:tblW w:w="9467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849"/>
        <w:gridCol w:w="3051"/>
        <w:gridCol w:w="835"/>
        <w:gridCol w:w="706"/>
        <w:gridCol w:w="976"/>
        <w:gridCol w:w="725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克州驻乌干休所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49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30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54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30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12.57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12.57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right="147" w:rightChars="7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退休费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8.39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8.39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其他社会保障缴费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14.74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14.74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办公用品及设备采购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2.10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其他商品和服务支出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取暖费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7.85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6.45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奖金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4.59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4.59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机关事业单位基本养老保险缴费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17.43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17.43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64.88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64.88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55.08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55.08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其他对个人和家庭的补助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维修(护)费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生活补助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0.44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抚恤金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6.63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6.63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离休费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25.53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25.53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福利费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差旅费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231.59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210.27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21.32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7"/>
        <w:tblW w:w="9624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"/>
        <w:gridCol w:w="506"/>
        <w:gridCol w:w="416"/>
        <w:gridCol w:w="416"/>
        <w:gridCol w:w="929"/>
        <w:gridCol w:w="1236"/>
        <w:gridCol w:w="892"/>
        <w:gridCol w:w="108"/>
        <w:gridCol w:w="380"/>
        <w:gridCol w:w="615"/>
        <w:gridCol w:w="825"/>
        <w:gridCol w:w="555"/>
        <w:gridCol w:w="302"/>
        <w:gridCol w:w="200"/>
        <w:gridCol w:w="419"/>
        <w:gridCol w:w="578"/>
        <w:gridCol w:w="420"/>
        <w:gridCol w:w="420"/>
        <w:gridCol w:w="389"/>
        <w:gridCol w:w="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" w:type="dxa"/>
          <w:wAfter w:w="8" w:type="dxa"/>
          <w:trHeight w:val="375" w:hRule="atLeast"/>
        </w:trPr>
        <w:tc>
          <w:tcPr>
            <w:tcW w:w="96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" w:type="dxa"/>
          <w:wAfter w:w="8" w:type="dxa"/>
          <w:trHeight w:val="405" w:hRule="atLeast"/>
        </w:trPr>
        <w:tc>
          <w:tcPr>
            <w:tcW w:w="4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克州驻乌干休所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4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89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48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02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39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516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41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41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929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1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4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4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离退休人员管理机构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离退休党组织书记工作补贴</w:t>
            </w:r>
          </w:p>
        </w:tc>
        <w:tc>
          <w:tcPr>
            <w:tcW w:w="892" w:type="dxa"/>
            <w:shd w:val="clear" w:color="auto" w:fill="auto"/>
            <w:vAlign w:val="bottom"/>
          </w:tcPr>
          <w:p>
            <w:pPr>
              <w:widowControl/>
              <w:jc w:val="right"/>
              <w:outlineLvl w:val="1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3.72</w:t>
            </w:r>
          </w:p>
        </w:tc>
        <w:tc>
          <w:tcPr>
            <w:tcW w:w="488" w:type="dxa"/>
            <w:gridSpan w:val="2"/>
            <w:shd w:val="clear" w:color="auto" w:fill="auto"/>
            <w:vAlign w:val="bottom"/>
          </w:tcPr>
          <w:p>
            <w:pPr>
              <w:widowControl/>
              <w:jc w:val="right"/>
              <w:outlineLvl w:val="1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15" w:type="dxa"/>
            <w:shd w:val="clear" w:color="auto" w:fill="auto"/>
            <w:vAlign w:val="bottom"/>
          </w:tcPr>
          <w:p>
            <w:pPr>
              <w:widowControl/>
              <w:jc w:val="right"/>
              <w:outlineLvl w:val="1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25" w:type="dxa"/>
            <w:shd w:val="clear" w:color="auto" w:fill="auto"/>
            <w:vAlign w:val="bottom"/>
          </w:tcPr>
          <w:p>
            <w:pPr>
              <w:widowControl/>
              <w:jc w:val="right"/>
              <w:outlineLvl w:val="1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3.72</w:t>
            </w:r>
          </w:p>
        </w:tc>
        <w:tc>
          <w:tcPr>
            <w:tcW w:w="555" w:type="dxa"/>
            <w:shd w:val="clear" w:color="auto" w:fill="auto"/>
            <w:vAlign w:val="bottom"/>
          </w:tcPr>
          <w:p>
            <w:pPr>
              <w:widowControl/>
              <w:jc w:val="righ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50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4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4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离退休人员管理机构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老干部场馆运行费</w:t>
            </w:r>
          </w:p>
        </w:tc>
        <w:tc>
          <w:tcPr>
            <w:tcW w:w="892" w:type="dxa"/>
            <w:shd w:val="clear" w:color="auto" w:fill="auto"/>
            <w:vAlign w:val="bottom"/>
          </w:tcPr>
          <w:p>
            <w:pPr>
              <w:widowControl/>
              <w:jc w:val="right"/>
              <w:outlineLvl w:val="1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3.9</w:t>
            </w:r>
          </w:p>
        </w:tc>
        <w:tc>
          <w:tcPr>
            <w:tcW w:w="488" w:type="dxa"/>
            <w:gridSpan w:val="2"/>
            <w:shd w:val="clear" w:color="auto" w:fill="auto"/>
            <w:vAlign w:val="bottom"/>
          </w:tcPr>
          <w:p>
            <w:pPr>
              <w:widowControl/>
              <w:jc w:val="right"/>
              <w:outlineLvl w:val="1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15" w:type="dxa"/>
            <w:shd w:val="clear" w:color="auto" w:fill="auto"/>
            <w:vAlign w:val="bottom"/>
          </w:tcPr>
          <w:p>
            <w:pPr>
              <w:widowControl/>
              <w:jc w:val="right"/>
              <w:outlineLvl w:val="1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3.9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25" w:type="dxa"/>
            <w:shd w:val="clear" w:color="auto" w:fill="auto"/>
            <w:vAlign w:val="bottom"/>
          </w:tcPr>
          <w:p>
            <w:pPr>
              <w:widowControl/>
              <w:jc w:val="right"/>
              <w:outlineLvl w:val="1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55" w:type="dxa"/>
            <w:shd w:val="clear" w:color="auto" w:fill="auto"/>
            <w:vAlign w:val="bottom"/>
          </w:tcPr>
          <w:p>
            <w:pPr>
              <w:widowControl/>
              <w:jc w:val="righ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50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4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4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离退休人员管理机构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聘用人员工资</w:t>
            </w:r>
          </w:p>
        </w:tc>
        <w:tc>
          <w:tcPr>
            <w:tcW w:w="892" w:type="dxa"/>
            <w:shd w:val="clear" w:color="auto" w:fill="auto"/>
            <w:vAlign w:val="bottom"/>
          </w:tcPr>
          <w:p>
            <w:pPr>
              <w:widowControl/>
              <w:jc w:val="right"/>
              <w:outlineLvl w:val="1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31.07</w:t>
            </w:r>
          </w:p>
        </w:tc>
        <w:tc>
          <w:tcPr>
            <w:tcW w:w="488" w:type="dxa"/>
            <w:gridSpan w:val="2"/>
            <w:shd w:val="clear" w:color="auto" w:fill="auto"/>
            <w:vAlign w:val="bottom"/>
          </w:tcPr>
          <w:p>
            <w:pPr>
              <w:widowControl/>
              <w:jc w:val="right"/>
              <w:outlineLvl w:val="1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15" w:type="dxa"/>
            <w:shd w:val="clear" w:color="auto" w:fill="auto"/>
            <w:vAlign w:val="bottom"/>
          </w:tcPr>
          <w:p>
            <w:pPr>
              <w:widowControl/>
              <w:jc w:val="right"/>
              <w:outlineLvl w:val="1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25" w:type="dxa"/>
            <w:shd w:val="clear" w:color="auto" w:fill="auto"/>
            <w:vAlign w:val="bottom"/>
          </w:tcPr>
          <w:p>
            <w:pPr>
              <w:widowControl/>
              <w:jc w:val="right"/>
              <w:outlineLvl w:val="1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31.07</w:t>
            </w:r>
          </w:p>
        </w:tc>
        <w:tc>
          <w:tcPr>
            <w:tcW w:w="555" w:type="dxa"/>
            <w:shd w:val="clear" w:color="auto" w:fill="auto"/>
            <w:vAlign w:val="bottom"/>
          </w:tcPr>
          <w:p>
            <w:pPr>
              <w:widowControl/>
              <w:jc w:val="righ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50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92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2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　</w:t>
            </w:r>
          </w:p>
        </w:tc>
        <w:tc>
          <w:tcPr>
            <w:tcW w:w="89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48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8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55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50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92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2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　</w:t>
            </w:r>
          </w:p>
        </w:tc>
        <w:tc>
          <w:tcPr>
            <w:tcW w:w="89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48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8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55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50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92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2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　</w:t>
            </w:r>
          </w:p>
        </w:tc>
        <w:tc>
          <w:tcPr>
            <w:tcW w:w="89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48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8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55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50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2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89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5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0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2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89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5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0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92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2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9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8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5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0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2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89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5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0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2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89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5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0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2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89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1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5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0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2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36" w:type="dxa"/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合计</w:t>
            </w:r>
          </w:p>
        </w:tc>
        <w:tc>
          <w:tcPr>
            <w:tcW w:w="892" w:type="dxa"/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38.69</w:t>
            </w:r>
          </w:p>
        </w:tc>
        <w:tc>
          <w:tcPr>
            <w:tcW w:w="488" w:type="dxa"/>
            <w:gridSpan w:val="2"/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3.9</w:t>
            </w:r>
          </w:p>
        </w:tc>
        <w:tc>
          <w:tcPr>
            <w:tcW w:w="825" w:type="dxa"/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34.79</w:t>
            </w:r>
          </w:p>
        </w:tc>
        <w:tc>
          <w:tcPr>
            <w:tcW w:w="555" w:type="dxa"/>
            <w:shd w:val="clear" w:color="auto" w:fill="auto"/>
            <w:vAlign w:val="bottom"/>
          </w:tcPr>
          <w:p>
            <w:pPr>
              <w:widowControl/>
              <w:jc w:val="righ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02" w:type="dxa"/>
            <w:gridSpan w:val="2"/>
            <w:shd w:val="clear" w:color="auto" w:fill="auto"/>
            <w:vAlign w:val="bottom"/>
          </w:tcPr>
          <w:p>
            <w:pPr>
              <w:widowControl/>
              <w:jc w:val="righ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  <w:vAlign w:val="bottom"/>
          </w:tcPr>
          <w:p>
            <w:pPr>
              <w:widowControl/>
              <w:jc w:val="righ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  <w:vAlign w:val="bottom"/>
          </w:tcPr>
          <w:p>
            <w:pPr>
              <w:widowControl/>
              <w:jc w:val="righ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widowControl/>
              <w:jc w:val="righ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widowControl/>
              <w:jc w:val="righ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  <w:vAlign w:val="bottom"/>
          </w:tcPr>
          <w:p>
            <w:pPr>
              <w:widowControl/>
              <w:jc w:val="righ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克州驻乌干休所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kern w:val="0"/>
          <w:sz w:val="24"/>
        </w:rPr>
        <w:t xml:space="preserve"> 单位：万元</w:t>
      </w:r>
    </w:p>
    <w:tbl>
      <w:tblPr>
        <w:tblStyle w:val="7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6.75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6.45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6.45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编制单位： 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克州驻乌干休所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单位：万元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457"/>
        <w:gridCol w:w="2896"/>
        <w:gridCol w:w="1559"/>
        <w:gridCol w:w="170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titlePg/>
          <w:docGrid w:linePitch="312" w:charSpace="0"/>
        </w:sect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14141"/>
          <w:spacing w:val="0"/>
          <w:sz w:val="28"/>
          <w:szCs w:val="28"/>
          <w:shd w:val="clear" w:fill="FFFFFF"/>
        </w:rPr>
        <w:t>克州驻乌干休所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14141"/>
          <w:spacing w:val="0"/>
          <w:sz w:val="28"/>
          <w:szCs w:val="28"/>
          <w:shd w:val="clear" w:fill="FFFFFF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14141"/>
          <w:spacing w:val="0"/>
          <w:sz w:val="28"/>
          <w:szCs w:val="28"/>
          <w:shd w:val="clear" w:fill="FFFFFF"/>
        </w:rPr>
        <w:t>年没有使用政府性基金预算拨款安排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14141"/>
          <w:spacing w:val="0"/>
          <w:sz w:val="28"/>
          <w:szCs w:val="28"/>
          <w:shd w:val="clear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14141"/>
          <w:spacing w:val="0"/>
          <w:sz w:val="28"/>
          <w:szCs w:val="28"/>
          <w:shd w:val="clear" w:fill="FFFFFF"/>
        </w:rPr>
        <w:t>支出，政府性基金预算支出情况表为空表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14141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第三部分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kern w:val="0"/>
          <w:sz w:val="32"/>
          <w:szCs w:val="32"/>
        </w:rPr>
        <w:t>年部门预算情况说明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克州驻乌干休所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克州驻乌干休所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年所有收入和支出均纳入部门预算管理。收支总预算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270.28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270.28万元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支出预算包括：社会保障和就业支出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270.28万元。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克州驻乌干休所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克州驻乌干休所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270.28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270.28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14.69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项目个数减少使项目经费减少；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克州驻乌干休所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克州驻乌干休所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年支出预算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270.28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231.59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85.69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11.08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人员变动使人员经费增加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38.69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14.31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25.77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项目个数减少使项目经费减少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四、关于克州驻乌干休所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年财政拨款收支总预算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270.28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16" w:firstLineChars="200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textAlignment w:val="auto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支出预算包括：社会保障和就业支出270.28万元，主要用于人员经费210.26万元；公用经费21.33 万元；项目经费38.69万元。 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克州驻乌干休所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（一）一般公用预算当年拨款规模变化情况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克州驻乌干休所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年一般公共预算拨款基本支出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270.28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执行数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68.05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20.11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公用经费和项目经费减少。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社会保障与就业支出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270.28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万元，占100 %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widowControl/>
        <w:spacing w:line="560" w:lineRule="exact"/>
        <w:ind w:firstLine="640"/>
        <w:jc w:val="both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其中：基本支出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231.59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85.69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%，主要用于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克州驻乌干休所人员经费支出和公用经费支出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；项目支出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39.69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14.31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%，主要用于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老干部活动场馆运行费；聘用人员工资；离退休党组织书记工作补贴。</w:t>
      </w:r>
    </w:p>
    <w:p>
      <w:pPr>
        <w:spacing w:line="560" w:lineRule="exact"/>
        <w:ind w:firstLine="643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社会保障和就业支出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208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行政事业单位离退休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05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离退休人员管理机构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03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：2020年预算数为270.28万元，比上年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执行数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减少了68.05元，下降20.11%，主要原因是：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公用经费和项目经费减少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克州驻乌干休所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克州驻乌干休所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年一般公共预算基本支出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270.28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210.27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万元，主要包括：基本工资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55.08万元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、津贴补贴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64.88万元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4.59万元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、机关事业单位基本养老保险缴费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17.43万元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、其他社会保障缴费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14.74万元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、住房公积金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12.57万元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、离休费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25.53万元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、退休费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8.39万元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、抚恤金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6.62万元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、生活补助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0.44万元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21.32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万元，主要包括：办公费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0.7万元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、取暖费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7.85万元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、差旅费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、维修（护）费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、工会经费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0.76万元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、福利费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1.37万元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、公务用车运行维护费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6.45万元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、办公设备购置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克州驻乌干休所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年项目支出情况说明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情况一：（项目支出、专项业务费按下列内容说明）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：老干部场馆运行费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：根据干休所工作性质，为更好服务于老干部需要。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黑体" w:eastAsia="仿宋_GB2312"/>
          <w:sz w:val="32"/>
          <w:szCs w:val="32"/>
        </w:rPr>
        <w:t>3.9万元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：克州驻乌干休所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：根据活动场馆具体需求进行分配。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：2020年1-12月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情况二：（</w:t>
      </w:r>
      <w:r>
        <w:rPr>
          <w:rFonts w:ascii="仿宋_GB2312" w:hAnsi="宋体" w:eastAsia="仿宋_GB2312"/>
          <w:b/>
          <w:sz w:val="32"/>
          <w:szCs w:val="22"/>
        </w:rPr>
        <w:t>属于</w:t>
      </w:r>
      <w:r>
        <w:rPr>
          <w:rFonts w:ascii="仿宋_GB2312" w:hAnsi="宋体" w:eastAsia="仿宋_GB2312"/>
          <w:b/>
          <w:spacing w:val="-8"/>
          <w:sz w:val="32"/>
          <w:szCs w:val="22"/>
        </w:rPr>
        <w:t>对个人补贴的项目支出</w:t>
      </w:r>
      <w:r>
        <w:rPr>
          <w:rFonts w:hint="eastAsia" w:ascii="仿宋_GB2312" w:hAnsi="黑体" w:eastAsia="仿宋_GB2312"/>
          <w:b/>
          <w:sz w:val="32"/>
          <w:szCs w:val="32"/>
        </w:rPr>
        <w:t>按下列内容说明）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：离退休党组织书记工作补贴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：根据文件发放标准，对干休所六个离退休老干部党支部的书记、委员发放工作补贴。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：3.72万元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：克州驻乌干休所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：根据文件发放标准，对干休所六个离退休老干部党支部的书记、委员发放工作补贴。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：2020年1-12月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资金来源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财政拨款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宋体" w:eastAsia="仿宋_GB2312"/>
          <w:sz w:val="32"/>
          <w:szCs w:val="22"/>
        </w:rPr>
        <w:t>补贴人数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补贴标准</w:t>
      </w:r>
      <w:r>
        <w:rPr>
          <w:rFonts w:hint="eastAsia" w:ascii="仿宋_GB2312" w:hAnsi="黑体" w:eastAsia="仿宋_GB2312"/>
          <w:sz w:val="32"/>
          <w:szCs w:val="32"/>
        </w:rPr>
        <w:t>：书记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每人</w:t>
      </w:r>
      <w:r>
        <w:rPr>
          <w:rFonts w:hint="eastAsia" w:ascii="仿宋_GB2312" w:hAnsi="黑体" w:eastAsia="仿宋_GB2312"/>
          <w:sz w:val="32"/>
          <w:szCs w:val="32"/>
        </w:rPr>
        <w:t>补贴3600元/年，委员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每人</w:t>
      </w:r>
      <w:r>
        <w:rPr>
          <w:rFonts w:hint="eastAsia" w:ascii="仿宋_GB2312" w:hAnsi="黑体" w:eastAsia="仿宋_GB2312"/>
          <w:sz w:val="32"/>
          <w:szCs w:val="32"/>
        </w:rPr>
        <w:t>1200元/年。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22"/>
        </w:rPr>
        <w:t>补贴范围</w:t>
      </w:r>
      <w:r>
        <w:rPr>
          <w:rFonts w:hint="eastAsia" w:ascii="仿宋_GB2312" w:hAnsi="黑体" w:eastAsia="仿宋_GB2312"/>
          <w:sz w:val="32"/>
          <w:szCs w:val="32"/>
        </w:rPr>
        <w:t>：干休所6个离退休党支部书记，13个委员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补贴方式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发放给个人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发放程序：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每月发放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受益人群和社会效益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/>
          <w:sz w:val="32"/>
          <w:szCs w:val="22"/>
          <w:lang w:eastAsia="zh-CN"/>
        </w:rPr>
        <w:t>干休所的离退休党员，鼓励离退休老干部离退休后发挥余热。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.项目名称：聘用人员工资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设立的政策依据：根据公共安全工作要求及单位为老干部服务工作需求。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预算安排规模：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31.07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项目承担单位：克州驻乌干休所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资金分配情况：根据工作岗位职能分配工资。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资金执行时间：20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年1-12月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资金来源：财政拨款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补贴人数：8人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补贴标准：平均月工资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0.32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补贴范围：单位聘用的保安、保洁、驾驶员。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补贴方式：发放给个人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发放程序：每月发放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受益人群和社会效益：解决了聘用人员的就业，同时为老干部的出行、日常生活提供方便，安全、环境优美得到保障。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克州驻乌干休所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克州驻乌干休所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年“三公”经费财政拨款预算数为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6.75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万元，公务用车运行费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6.45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年“三公”经费财政拨款预算比上年增加（减少）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因公出国（境）费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人员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；公务用车购置费为0，未安排预算。[或公务用车购置费增加（减少）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单位没有购车计划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]；公务用车运行费增加（减少）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压缩经费开支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；公务接待费增加（减少）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压缩经费开支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克州驻乌干休所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年政府性基金预算拨款情况说明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克州驻乌干休所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克州驻乌干休所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本级及下属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家行政单位和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家事业单位的机关运行经费财政拨款预算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21.33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万元，比上年预算减少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6.78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24.12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减少了公用取暖费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克州驻乌干休所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部门及下属单位政府采购预算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8.55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万元，其中：政府采购货物预算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万元，政府采购工程预算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万元，政府采购服务预算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6.45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2020</w:t>
      </w:r>
      <w:r>
        <w:rPr>
          <w:rFonts w:hint="eastAsia" w:ascii="仿宋_GB2312" w:hAnsi="仿宋_GB2312" w:eastAsia="仿宋_GB2312"/>
          <w:sz w:val="32"/>
        </w:rPr>
        <w:t>年度本部门面向中小企业预留政府采购项目预算金额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万元，其中：面向小微企业预留政府采购项目预算金额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底，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克州驻乌干休所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占用使用国有资产总体情况为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1.房屋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1780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206.43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2.车辆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116.14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万元；其中：一般公务用车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116.14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万元；执法执勤用车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万元；其他车辆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辆，价值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3.办公家具价值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1.57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81.28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年部门预算未安排购置车辆经费（或安排购置车辆经费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万元），安排购置50万元以上大型设备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年度，本年度实行绩效管理的项目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个，涉及预算金额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38.69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万元。具体情况见下表（按项目分别填报）：</w:t>
      </w:r>
    </w:p>
    <w:p>
      <w:pPr>
        <w:widowControl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13"/>
          <w:cols w:space="425" w:num="1"/>
          <w:docGrid w:type="lines" w:linePitch="312" w:charSpace="0"/>
        </w:sectPr>
      </w:pPr>
    </w:p>
    <w:tbl>
      <w:tblPr>
        <w:tblStyle w:val="7"/>
        <w:tblW w:w="139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613"/>
        <w:gridCol w:w="1908"/>
        <w:gridCol w:w="500"/>
        <w:gridCol w:w="1164"/>
        <w:gridCol w:w="323"/>
        <w:gridCol w:w="323"/>
        <w:gridCol w:w="1925"/>
        <w:gridCol w:w="742"/>
        <w:gridCol w:w="639"/>
        <w:gridCol w:w="2143"/>
        <w:gridCol w:w="249"/>
        <w:gridCol w:w="2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克州驻乌干休所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老干部场馆运行费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3.9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3.9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根据干休所离退休老干部的需要，为老干部生活、学习、活动提各全方位的服务。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61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水电费　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根据实际使用情况支出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设施维护费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、活动用品购买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根据实际使用情况支出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2020年1月1日开始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达到实效指标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2020年12月31日结束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达到数量指标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2项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达到数量指标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为老干部生活、学习、活动提各全方位的服务。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达到质量指标100%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61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260" w:firstLineChars="7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根据老干部的需要，提供全方位服务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达到可持续影响指标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离退休老干部老有所养老、老有所学、老有所乐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达到社会效益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440" w:firstLineChars="8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61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好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达到满意度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克州驻乌干休所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离退休党组织书记工作补贴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3.72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3.72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对干休所六个离退休老干部党支部的书记、委员发放工作补贴。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61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干休所6个离退休党支部书记，13个委员　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书记补贴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每月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300元，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委员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每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月100元。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2020年1月1日开始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达到实效指标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2020年12月31日结束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达到数量指标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1项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每月按时发放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达到质量指标100%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61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使离退休党员感受到党组织对他们的关心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达到可持续影响指标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鼓励离退休老干部离退休后发挥余热。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达到社会效益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61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好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达到满意度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克州驻乌干休所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聘用人员工资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31.07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31.07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根据干休所离退休老干部的需要，为老干部的日常生活、出行提供方便、安全、环境优美得到保障。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61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聘用人员工资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聘用人员8名，每人每月平均0.31万元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冰雪清扫费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1.79万元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2020年1月1日开始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达到实效指标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2020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年12月31日结束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达到数量指标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2项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为老干部的日常生活、出行提供方便、安全、环境优美得到保障。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达到质量指标100%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61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为老干部的日常生活、出行提供方便、安全、环境优美得到保障。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达到可持续影响指标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解决了聘用人员的就业，同时为老干部的出行提供方便，安全、环境优美得到保障。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达到社会效益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61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好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达到满意度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8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spacing w:line="560" w:lineRule="exact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 w:start="21"/>
          <w:cols w:space="425" w:num="1"/>
          <w:docGrid w:type="lines" w:linePitch="312" w:charSpace="0"/>
        </w:sectPr>
      </w:pPr>
    </w:p>
    <w:p>
      <w:pPr>
        <w:widowControl/>
        <w:spacing w:line="52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克州驻乌干休所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无其他说明事项。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三、财政专户管理资金：</w:t>
      </w:r>
      <w:r>
        <w:rPr>
          <w:rFonts w:hint="eastAsia" w:ascii="仿宋_GB2312" w:eastAsia="仿宋_GB2312"/>
          <w:sz w:val="32"/>
          <w:szCs w:val="32"/>
        </w:rPr>
        <w:t>包括专户管理行政事业性收费（主要是教育收费）、其他非税收入。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四、其他资金：</w:t>
      </w:r>
      <w:r>
        <w:rPr>
          <w:rFonts w:hint="eastAsia" w:ascii="仿宋_GB2312" w:eastAsia="仿宋_GB2312"/>
          <w:sz w:val="32"/>
          <w:szCs w:val="32"/>
        </w:rPr>
        <w:t>包括事业收入、经营收入、其他收入等。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六、项目支出：</w:t>
      </w:r>
      <w:r>
        <w:rPr>
          <w:rFonts w:hint="eastAsia" w:ascii="仿宋_GB2312" w:eastAsia="仿宋_GB2312"/>
          <w:sz w:val="32"/>
          <w:szCs w:val="32"/>
        </w:rPr>
        <w:t>部门支出预算的组成部分，是自治州本级部门为完成其特定的行政任务或事业发展目标，在基本支出预算之外编制的年度项目支出计划。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七、“三公”经费：</w:t>
      </w:r>
      <w:r>
        <w:rPr>
          <w:rFonts w:hint="eastAsia" w:ascii="仿宋_GB2312" w:eastAsia="仿宋_GB2312"/>
          <w:sz w:val="32"/>
          <w:szCs w:val="32"/>
        </w:rPr>
        <w:t>指自治州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八、机关运行经费：</w:t>
      </w:r>
      <w:r>
        <w:rPr>
          <w:rFonts w:hint="eastAsia" w:ascii="仿宋_GB2312" w:eastAsia="仿宋_GB2312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ind w:left="5120" w:hanging="5120" w:hangingChars="16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克州驻乌干休所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/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20" w:lineRule="exact"/>
        <w:ind w:firstLine="280" w:firstLineChars="100"/>
        <w:rPr>
          <w:rFonts w:ascii="仿宋_GB2312" w:eastAsia="仿宋_GB2312"/>
          <w:sz w:val="28"/>
          <w:szCs w:val="28"/>
        </w:rPr>
      </w:pPr>
    </w:p>
    <w:p/>
    <w:p/>
    <w:sectPr>
      <w:pgSz w:w="11906" w:h="16838"/>
      <w:pgMar w:top="1985" w:right="1531" w:bottom="1843" w:left="1531" w:header="851" w:footer="992" w:gutter="0"/>
      <w:pgNumType w:fmt="numberInDash" w:start="22"/>
      <w:cols w:space="425" w:num="1"/>
      <w:docGrid w:type="line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13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D5"/>
    <w:rsid w:val="00012D28"/>
    <w:rsid w:val="00032AE8"/>
    <w:rsid w:val="000343F0"/>
    <w:rsid w:val="000D56B0"/>
    <w:rsid w:val="00106382"/>
    <w:rsid w:val="00114DEC"/>
    <w:rsid w:val="001934F0"/>
    <w:rsid w:val="00324290"/>
    <w:rsid w:val="00387451"/>
    <w:rsid w:val="00432267"/>
    <w:rsid w:val="00481CD5"/>
    <w:rsid w:val="005C42E0"/>
    <w:rsid w:val="008160EE"/>
    <w:rsid w:val="009D0AA2"/>
    <w:rsid w:val="00B22D8A"/>
    <w:rsid w:val="00D06D6F"/>
    <w:rsid w:val="00E469CA"/>
    <w:rsid w:val="00E7167C"/>
    <w:rsid w:val="02685B4E"/>
    <w:rsid w:val="02A233C0"/>
    <w:rsid w:val="03AD0E5F"/>
    <w:rsid w:val="066B4725"/>
    <w:rsid w:val="0EEC6252"/>
    <w:rsid w:val="0EF619D3"/>
    <w:rsid w:val="1620492E"/>
    <w:rsid w:val="165608BB"/>
    <w:rsid w:val="21A822E2"/>
    <w:rsid w:val="25F834F9"/>
    <w:rsid w:val="26B43940"/>
    <w:rsid w:val="285869FA"/>
    <w:rsid w:val="28EE2648"/>
    <w:rsid w:val="2A652384"/>
    <w:rsid w:val="3455107C"/>
    <w:rsid w:val="51B321F8"/>
    <w:rsid w:val="56CD45B6"/>
    <w:rsid w:val="579C4149"/>
    <w:rsid w:val="59407619"/>
    <w:rsid w:val="5DF568C5"/>
    <w:rsid w:val="5F77002B"/>
    <w:rsid w:val="61454A30"/>
    <w:rsid w:val="6EAC5983"/>
    <w:rsid w:val="6FF7594C"/>
    <w:rsid w:val="712E52BC"/>
    <w:rsid w:val="74BF0EE4"/>
    <w:rsid w:val="766B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qFormat/>
    <w:uiPriority w:val="0"/>
    <w:rPr>
      <w:sz w:val="18"/>
      <w:szCs w:val="18"/>
      <w:lang w:val="zh-CN" w:eastAsia="zh-CN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20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sz w:val="32"/>
      <w:lang w:val="zh-CN" w:eastAsia="zh-CN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rFonts w:cs="Times New Roman"/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3"/>
    <w:qFormat/>
    <w:uiPriority w:val="99"/>
    <w:rPr>
      <w:sz w:val="18"/>
      <w:szCs w:val="18"/>
    </w:rPr>
  </w:style>
  <w:style w:type="paragraph" w:customStyle="1" w:styleId="14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15">
    <w:name w:val="批注框文本 字符"/>
    <w:basedOn w:val="9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正文文本缩进 3 字符"/>
    <w:basedOn w:val="9"/>
    <w:semiHidden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7">
    <w:name w:val="页脚 字符1"/>
    <w:qFormat/>
    <w:uiPriority w:val="99"/>
    <w:rPr>
      <w:rFonts w:ascii="Times New Roman" w:hAnsi="Times New Roman" w:eastAsia="黑体" w:cs="Times New Roman"/>
      <w:snapToGrid w:val="0"/>
      <w:kern w:val="0"/>
      <w:sz w:val="18"/>
      <w:szCs w:val="18"/>
      <w:lang w:val="zh-CN" w:eastAsia="zh-CN"/>
    </w:rPr>
  </w:style>
  <w:style w:type="character" w:customStyle="1" w:styleId="18">
    <w:name w:val="批注框文本 字符1"/>
    <w:link w:val="2"/>
    <w:semiHidden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19">
    <w:name w:val="页眉 字符1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20">
    <w:name w:val="正文文本缩进 3 字符1"/>
    <w:link w:val="5"/>
    <w:qFormat/>
    <w:uiPriority w:val="0"/>
    <w:rPr>
      <w:rFonts w:ascii="Times New Roman" w:hAnsi="Times New Roman" w:eastAsia="仿宋_GB2312" w:cs="Times New Roman"/>
      <w:sz w:val="32"/>
      <w:szCs w:val="24"/>
      <w:lang w:val="zh-CN" w:eastAsia="zh-CN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  <w:style w:type="paragraph" w:customStyle="1" w:styleId="23">
    <w:name w:val="普通(网站)2"/>
    <w:basedOn w:val="1"/>
    <w:qFormat/>
    <w:uiPriority w:val="0"/>
    <w:rPr>
      <w:rFonts w:ascii="Calibri" w:hAnsi="Calibri" w:cs="黑体"/>
      <w:sz w:val="24"/>
    </w:rPr>
  </w:style>
  <w:style w:type="paragraph" w:customStyle="1" w:styleId="24">
    <w:name w:val="普通(网站)3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1576</Words>
  <Characters>8987</Characters>
  <Lines>74</Lines>
  <Paragraphs>21</Paragraphs>
  <TotalTime>68</TotalTime>
  <ScaleCrop>false</ScaleCrop>
  <LinksUpToDate>false</LinksUpToDate>
  <CharactersWithSpaces>10542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2020-01-09T08:29:00Z</dcterms:created>
  <dc:creator>穆斯塔帕</dc:creator>
  <cp:lastModifiedBy>干休所</cp:lastModifiedBy>
  <cp:lastPrinted>2020-01-22T03:10:00Z</cp:lastPrinted>
  <dcterms:modified xsi:type="dcterms:W3CDTF">2020-11-18T05:31:50Z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