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扶贫开发办公室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克孜勒苏柯尔克孜自治州扶贫开发办公室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扶贫开发办公室2020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扶贫开发办公室2020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扶贫开发办公室2020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扶贫开发办公室2020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扶贫开发办公室2020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扶贫开发办公室2020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扶贫开发办公室2020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扶贫开发办公室2020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九、关于克孜勒苏柯尔克孜自治州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扶贫开发办公室2020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br w:type="page"/>
      </w:r>
    </w:p>
    <w:p>
      <w:pPr>
        <w:widowControl/>
        <w:jc w:val="both"/>
        <w:outlineLvl w:val="1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克孜勒苏柯尔克孜自治州扶贫开发办公室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克孜勒苏柯尔克孜自治州扶贫开发办公室职能：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贯彻执行国家、自治区扶贫方针政策，研究制定克州扶贫开发战略规划、政策措施并组织实施。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统筹编制国家和自治区用于克州扶贫开发的专项资金、物资分配方案，制定完善扶贫专项资金、物资的管理办法，监督检查物资的管理和使用情况。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会同有关部门提出、审核扶贫开发项目计划，组织、协调和监管扶贫开发项目。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组织实施产业化扶贫计划，引导、扶持扶贫龙头企业发展，协调管理信贷扶贫工作。</w:t>
      </w: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编制并组织实施贫困劳动力、贫困地区干部培训计划，协调贫困地区人力资源工作；研究建立贫困地区自然灾害应对机制，指导贫困地区应对自然灾害和灾后重建工作。</w:t>
      </w: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组织协调并开展对口支援贫困地区、中央定点帮扶新疆、自治区定点帮扶和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东西部扶贫协作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工作；动员社会各界扶贫济困，协助有关部门向克州引进人才、技术、资金和设备。开展与国际组织、区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组织和非政府组织的反贫困交流合作，组织实施外资扶贫项目。</w:t>
      </w: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组织开展扶贫考核评价、扶贫经验交流、扶贫信息搜集、扶贫宣传工作。</w:t>
      </w: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落实国家、自治区关于脱贫攻坚大数据平台建设运用管理工作要求。指导各县（市）做好脱贫攻坚大数据平台建设运用管理工作，加强建设运营管理，统筹抓好组织实施，加强技术支持，强化监督管理，为打好精准脱贫攻坚战奠定坚实基础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负责贫困户建档立卡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管理，配合开展扶贫审计工作。</w:t>
      </w: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承办克州党委、克州人民政府交办的其他任务。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克孜勒苏柯尔克孜自治州扶贫开发办公室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无下属单位，下设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5个科室，分别是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：综合科、规划科、社会扶贫科、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扶贫信息中心、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 xml:space="preserve">项目管理信息中心 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克孜勒苏柯尔克孜自治州扶贫开发办公室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ind w:left="0" w:leftChars="0" w:firstLine="0" w:firstLineChars="0"/>
        <w:jc w:val="left"/>
        <w:outlineLvl w:val="1"/>
        <w:rPr>
          <w:rFonts w:hint="default" w:ascii="仿宋_GB2312" w:hAnsi="宋体" w:eastAsia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填报部门：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克孜勒苏柯尔克孜自治州扶贫开发办公室              单位：万元          </w:t>
      </w:r>
    </w:p>
    <w:tbl>
      <w:tblPr>
        <w:tblStyle w:val="8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557.48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557.48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619.06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569.48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619.06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49.58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619.06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619.06</w:t>
            </w:r>
          </w:p>
        </w:tc>
      </w:tr>
    </w:tbl>
    <w:p>
      <w:pPr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克孜勒苏柯尔克孜自治州扶贫开发办公室</w:t>
      </w:r>
      <w:r>
        <w:rPr>
          <w:rFonts w:hint="eastAsia" w:ascii="仿宋_GB2312" w:hAnsi="宋体" w:eastAsia="仿宋_GB2312"/>
          <w:kern w:val="0"/>
          <w:sz w:val="24"/>
        </w:rPr>
        <w:t xml:space="preserve">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kern w:val="0"/>
          <w:sz w:val="24"/>
        </w:rPr>
        <w:t xml:space="preserve">       单位：万元</w:t>
      </w:r>
    </w:p>
    <w:tbl>
      <w:tblPr>
        <w:tblStyle w:val="8"/>
        <w:tblW w:w="10130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420"/>
        <w:gridCol w:w="425"/>
        <w:gridCol w:w="1000"/>
        <w:gridCol w:w="777"/>
        <w:gridCol w:w="10"/>
        <w:gridCol w:w="763"/>
        <w:gridCol w:w="550"/>
        <w:gridCol w:w="510"/>
        <w:gridCol w:w="570"/>
        <w:gridCol w:w="510"/>
        <w:gridCol w:w="525"/>
        <w:gridCol w:w="540"/>
        <w:gridCol w:w="555"/>
        <w:gridCol w:w="1174"/>
        <w:gridCol w:w="10"/>
        <w:gridCol w:w="1278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2" w:hRule="atLeast"/>
        </w:trPr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行政运行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319.06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269.48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49.58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一般行政事务管理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283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283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其他扶贫支出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both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619.06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557.48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49.58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br w:type="page"/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克孜勒苏柯尔克孜自治州扶贫开发办公室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单位：万元</w:t>
      </w:r>
    </w:p>
    <w:tbl>
      <w:tblPr>
        <w:tblStyle w:val="8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80"/>
        <w:gridCol w:w="480"/>
        <w:gridCol w:w="2291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2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2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行政运行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319.06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319.06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一般行政事务管理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283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其他扶贫支出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619.06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319.06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br w:type="page"/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克孜勒苏柯尔克孜自治州扶贫开发办公室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单位：万元</w:t>
      </w:r>
    </w:p>
    <w:tbl>
      <w:tblPr>
        <w:tblStyle w:val="8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557.48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557.48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557.48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557.48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557.48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557.48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557.48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br w:type="page"/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1684"/>
        <w:gridCol w:w="542"/>
        <w:gridCol w:w="130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克孜勒苏柯尔克孜自治州扶贫开发办公室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行政运行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269.48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269.48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283.00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283.00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其他扶贫支出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557.48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269.48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288.00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br w:type="page"/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8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58"/>
        <w:gridCol w:w="2891"/>
        <w:gridCol w:w="2006"/>
        <w:gridCol w:w="139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克孜勒苏柯尔克孜自治州扶贫开发办公室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20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92.61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奖金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23.60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邮电费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退休费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12.96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lang w:val="en-US" w:eastAsia="zh-CN"/>
              </w:rPr>
              <w:t>269.4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lang w:val="en-US" w:eastAsia="zh-CN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lang w:val="en-US" w:eastAsia="zh-CN"/>
              </w:rPr>
              <w:t>249.61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lang w:val="en-US" w:eastAsia="zh-CN"/>
              </w:rPr>
              <w:t>19.8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lang w:val="en-US" w:eastAsia="zh-CN"/>
              </w:rPr>
              <w:t>7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br w:type="page"/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8"/>
        <w:tblW w:w="9704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01"/>
        <w:gridCol w:w="420"/>
        <w:gridCol w:w="450"/>
        <w:gridCol w:w="1080"/>
        <w:gridCol w:w="1260"/>
        <w:gridCol w:w="739"/>
        <w:gridCol w:w="543"/>
        <w:gridCol w:w="796"/>
        <w:gridCol w:w="531"/>
        <w:gridCol w:w="493"/>
        <w:gridCol w:w="214"/>
        <w:gridCol w:w="364"/>
        <w:gridCol w:w="419"/>
        <w:gridCol w:w="578"/>
        <w:gridCol w:w="420"/>
        <w:gridCol w:w="420"/>
        <w:gridCol w:w="225"/>
        <w:gridCol w:w="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243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243" w:type="dxa"/>
          <w:trHeight w:val="405" w:hRule="atLeast"/>
        </w:trPr>
        <w:tc>
          <w:tcPr>
            <w:tcW w:w="7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克孜勒苏柯尔克孜自治州扶贫开发办公室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0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08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扶贫项目管理费</w:t>
            </w:r>
          </w:p>
        </w:tc>
        <w:tc>
          <w:tcPr>
            <w:tcW w:w="73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53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一般行政管理事务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脱贫攻坚专项经费</w:t>
            </w:r>
          </w:p>
        </w:tc>
        <w:tc>
          <w:tcPr>
            <w:tcW w:w="73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223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223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53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扶贫其他支出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群众工作经费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53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扶贫其他支出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  <w:t>群众工作经费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53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3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3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5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7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.00</w:t>
            </w:r>
          </w:p>
        </w:tc>
        <w:tc>
          <w:tcPr>
            <w:tcW w:w="53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br w:type="page"/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ind w:firstLine="240" w:firstLineChars="100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克孜勒苏柯尔克孜自治州扶贫开发办公室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单位：万元</w:t>
      </w:r>
    </w:p>
    <w:tbl>
      <w:tblPr>
        <w:tblStyle w:val="8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34.00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br w:type="page"/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ind w:firstLine="240" w:firstLineChars="100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克孜勒苏柯尔克孜自治州扶贫开发办公室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克孜勒苏柯尔克孜自治州扶贫开发办公室2020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rPr>
          <w:rFonts w:hint="eastAsia" w:ascii="仿宋_GB2312" w:hAnsi="宋体" w:eastAsia="仿宋_GB2312"/>
          <w:b/>
          <w:kern w:val="0"/>
          <w:sz w:val="28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br w:type="page"/>
      </w:r>
    </w:p>
    <w:p>
      <w:pPr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克孜勒苏柯尔克孜自治州扶贫开发办公室2020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扶贫开发办公室2020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619.06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557.48万元，上级专项收入12万元，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上年结余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（其他收入）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49.58万元。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支出预算包括：农林水支出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619.06万元。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克孜勒苏柯尔克孜自治州扶贫开发办公室2020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克孜勒苏柯尔克孜自治州扶贫开发办公室2020年收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预算合计619.06万元，其中：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557.48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180.49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新增脱贫攻坚专项经费223万元。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上级专项收入12万元，占1.94%，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比上年增长100%。主要原因是：2020年预算中安排上级专项收入资金主要是用于开展群众工作经费，上年预算中未做此项目的预算。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49.58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2546.66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移民安置工作的项目资金未纳入到2020年度预算。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    </w:t>
      </w:r>
    </w:p>
    <w:p>
      <w:pPr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克孜勒苏柯尔克孜自治州扶贫开发办公室2020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克孜勒苏柯尔克孜自治州扶贫开发办公室2020年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619.06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319.06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2213.22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移民项目较多，项目拨付资金按工程每个阶段验收情况进行拨付，拨付资金情况不能确定，为缩小预决算差异率，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移民项目资金未做预算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300万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48.46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236.04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：为了全面做好脱贫攻坚工作，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新增脱贫攻坚专项经费223万元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、扶贫项目管理费较上年增加11万元。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克孜勒苏柯尔克孜自治州扶贫开发办公室2020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克孜勒苏柯尔克孜自治州扶贫开发办公室2020年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557.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支出预算包括：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lang w:eastAsia="zh-CN"/>
        </w:rPr>
        <w:t>农林水支出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557.48万元,主要用于人员经费、公用经费、扶贫项目管理、脱贫攻坚专项经费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克孜勒苏柯尔克孜自治州扶贫开发办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公室2020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  <w:t>共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预算当年拨款规模变化情况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克孜勒苏柯尔克孜自治州扶贫开发办公室2020年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269.48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减少43.55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减少13.91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去年基本支出和项目支出在同一个款项。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克孜勒苏柯尔克孜自治州扶贫开发办公室2020年一般公共预算拨款项目支出300万元，比上年执行数增加234万元，增加354.54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。主要原因：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今年新增脱贫攻坚专项经费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223万元，扶贫项目管理费预算也较上年增加11万元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.一般公共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预算农林水支出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213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557.48</w:t>
      </w:r>
      <w:r>
        <w:rPr>
          <w:rFonts w:hint="eastAsia" w:ascii="仿宋_GB2312" w:eastAsia="仿宋_GB2312"/>
          <w:color w:val="auto"/>
          <w:sz w:val="32"/>
          <w:szCs w:val="32"/>
        </w:rPr>
        <w:t>万元，占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（三）一般公共预算当年拨款具体使用情况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一般公共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预算农林水支出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扶贫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05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）行政运行（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2020年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269.48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比上年执行数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减少了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281.83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减少了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51.13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%，主要原因：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去年基本支出和项目支出在同一个款项。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一般公共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预算农林水支出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扶贫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05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一般行政管理事务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02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2020年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283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比上年执行数增加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234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477.55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%，主要原因：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因脱贫攻坚工作需要，今年新增了脱贫攻坚专项经费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223万元，扶贫项目管理费也较上年增加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textAlignment w:val="auto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一般公共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预算农林水支出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扶贫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05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其他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扶贫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支出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99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2020年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与上年执行数相同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克孜勒苏柯尔克孜自治州扶贫开发办公室2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克孜勒苏柯尔克孜自治州扶贫开发办公室2020年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269.48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249.61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71.6万元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92.61万元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5.97万元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社会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16.36万元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17.19万元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8.36万元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12.96万元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4.3、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1.02万元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克孜勒苏柯尔克孜自治州扶贫开发办公室2020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扶贫项目管理费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新财扶（2017）33号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克州扶贫办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州本级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配套60万元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2020年1月至12月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脱贫攻坚专项经费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克财预（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2020）1号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223万元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克州扶贫办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州本级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配套223万元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2020年1月至12月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按上级批示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克州扶贫办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州本级配套5万元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2020年1月至12月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按上级批示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克州扶贫办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自治区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配套12万元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2020年1月至12月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克孜勒苏柯尔克孜自治州扶贫开发办公室2020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克孜勒苏柯尔克孜自治州扶贫开发办公室2020年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万元；公务用车购置费为0，未安排预算；公务用车运行费增加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2020年阿克陶县摘帽退出，因距阿图什市路途远、工作组人员多，指导工作量大，车辆运行费相应增加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会议费，培训费纳入公务接待费预算安排，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年只做公务接待费用预算，会议费，培训费未列入三公经费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克孜勒苏柯尔克孜自治州扶贫开发办公室2020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克孜勒苏柯尔克孜自治州扶贫开发办公室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没有使用政府性基金预算拨款安排的支出，政府性基金预算支出情况表为空表。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其他重要事项的情况说明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克孜勒苏柯尔克孜自治州扶贫开发办公室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机关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56.41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年初预算结构进行调整，将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22万元公用经费调为项目经费，公用经费相应减少。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克孜勒苏柯尔克孜自治州扶贫开发办公室及下属单位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170.71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170.71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2020年</w:t>
      </w:r>
      <w:r>
        <w:rPr>
          <w:rFonts w:hint="eastAsia" w:ascii="仿宋_GB2312" w:hAnsi="仿宋_GB2312" w:eastAsia="仿宋_GB2312"/>
          <w:sz w:val="32"/>
        </w:rPr>
        <w:t>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131.71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59.87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克孜勒苏柯尔克孜自治州扶贫开发办公室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143.3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143.3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3.办公家具价值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84.85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tbl>
      <w:tblPr>
        <w:tblStyle w:val="8"/>
        <w:tblpPr w:leftFromText="180" w:rightFromText="180" w:vertAnchor="text" w:horzAnchor="page" w:tblpX="1652" w:tblpY="53"/>
        <w:tblOverlap w:val="never"/>
        <w:tblW w:w="137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2164"/>
        <w:gridCol w:w="1810"/>
        <w:gridCol w:w="1925"/>
        <w:gridCol w:w="249"/>
        <w:gridCol w:w="1132"/>
        <w:gridCol w:w="2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</w:trPr>
        <w:tc>
          <w:tcPr>
            <w:tcW w:w="13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8"/>
              <w:tblW w:w="13425" w:type="dxa"/>
              <w:tblInd w:w="1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04"/>
              <w:gridCol w:w="1857"/>
              <w:gridCol w:w="2164"/>
              <w:gridCol w:w="1810"/>
              <w:gridCol w:w="623"/>
              <w:gridCol w:w="1302"/>
              <w:gridCol w:w="1381"/>
              <w:gridCol w:w="17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6" w:hRule="atLeast"/>
              </w:trPr>
              <w:tc>
                <w:tcPr>
                  <w:tcW w:w="1342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outlineLvl w:val="1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kern w:val="0"/>
                      <w:sz w:val="32"/>
                      <w:szCs w:val="32"/>
                    </w:rPr>
                    <w:t>项  目  支  出  绩  效  目  标  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预算单位</w:t>
                  </w:r>
                </w:p>
              </w:tc>
              <w:tc>
                <w:tcPr>
                  <w:tcW w:w="5831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克孜勒苏柯尔克孜自治州扶贫开发办公室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316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eastAsia="zh-CN"/>
                    </w:rPr>
                    <w:t>扶贫项目管理费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250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项目资金（万元）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年度资金总额：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60万元</w:t>
                  </w:r>
                </w:p>
              </w:tc>
              <w:tc>
                <w:tcPr>
                  <w:tcW w:w="181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其中：财政拨款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60万元</w:t>
                  </w:r>
                </w:p>
              </w:tc>
              <w:tc>
                <w:tcPr>
                  <w:tcW w:w="13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其他资金</w:t>
                  </w:r>
                </w:p>
              </w:tc>
              <w:tc>
                <w:tcPr>
                  <w:tcW w:w="17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250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项目总体目标</w:t>
                  </w:r>
                </w:p>
              </w:tc>
              <w:tc>
                <w:tcPr>
                  <w:tcW w:w="10921" w:type="dxa"/>
                  <w:gridSpan w:val="7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督查各县市扶贫项目的进展情况，统计扶贫项目的项目开展和完成情况，确保项目顺利实施,促进贫困群众稳定增收。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一级指标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二级指标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三级指标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指标值（包含数字及文字描述）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项目完成指标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成本指标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车辆维护费(万元)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10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eastAsia="zh-CN"/>
                    </w:rPr>
                    <w:t>办公费、会议培训费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(万元)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hint="default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督查项目人员差旅费(万元)　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时效指标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项目完成期限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1月-12月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数量指标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督查三县一市扶贫产业项目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督查项目≧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398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个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质量指标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督查项目工程的覆盖率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督查项目工程覆盖率95%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2504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项目效益指标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经济效益指标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可持续影响指标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扶贫项目建设后的成果综合利用率（%）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100%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社会效益指标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精准发力，确保扶贫资金落到实处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效果显著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生态效益指标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</w:trPr>
              <w:tc>
                <w:tcPr>
                  <w:tcW w:w="2504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满意度指标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满意度指标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受益群体满意度（%）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满意率96%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" w:hRule="atLeast"/>
              </w:trPr>
              <w:tc>
                <w:tcPr>
                  <w:tcW w:w="2504" w:type="dxa"/>
                  <w:vMerge w:val="continue"/>
                  <w:tcBorders>
                    <w:top w:val="nil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 w:val="continue"/>
                  <w:tcBorders>
                    <w:top w:val="nil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3"/>
                  <w:tcBorders>
                    <w:top w:val="single" w:color="000000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left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4467" w:type="dxa"/>
                  <w:gridSpan w:val="3"/>
                  <w:tcBorders>
                    <w:top w:val="single" w:color="000000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/>
                    <w:ind w:left="0" w:leftChars="0" w:right="0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72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克孜勒苏柯尔克孜自治州扶贫开发办公室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脱贫攻坚专项经费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223万元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223万元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53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2020年实现1.17万人脱贫、38个贫困村退出、阿克陶县“摘帽”。乌恰县，阿合奇脱贫成果巩固提升，阿图什通过第三方评估验收。2020年实现全州现行标准下的农村贫困人口全部脱贫、贫困县（市）全部摘帽、区域性整体贫困问题得到解决，努力与全疆全国同步迈入小康社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车辆维护费(万元)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、人员差旅费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人员培训，及办公设置购置　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工作期限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1月-12月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退出村（个）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入户摸底天数(天)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入户天数≧300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脱贫工作指导覆盖率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覆盖率≧99%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贫困发生率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≤2.82%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帮助和指导基层脱贫攻坚工作，提高基层工作效率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巩固提升脱贫成果，抓好返贫监测预警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效果显著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受益群体满意度（%）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满意率96%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72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tbl>
      <w:tblPr>
        <w:tblStyle w:val="8"/>
        <w:tblpPr w:leftFromText="180" w:rightFromText="180" w:vertAnchor="text" w:horzAnchor="page" w:tblpX="1568" w:tblpY="386"/>
        <w:tblOverlap w:val="never"/>
        <w:tblW w:w="140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871"/>
        <w:gridCol w:w="2180"/>
        <w:gridCol w:w="1824"/>
        <w:gridCol w:w="1940"/>
        <w:gridCol w:w="251"/>
        <w:gridCol w:w="1140"/>
        <w:gridCol w:w="2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408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 w:firstLine="4819" w:firstLineChars="1500"/>
              <w:jc w:val="both"/>
              <w:textAlignment w:val="auto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克孜勒苏柯尔克孜自治州扶贫开发办公室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5万元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拨款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5万元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保障工作人员的生活质量和工作积极性，聚集总目标，使广大群众充分了解党的惠民政策，提高劳动生产，增加农牧民收入，表彰先致富人员，提高农牧民的积极性，达到共同富裕。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工作队车辆加油（万元）</w:t>
            </w:r>
          </w:p>
        </w:tc>
        <w:tc>
          <w:tcPr>
            <w:tcW w:w="3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办公费（万元）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、开展各类活动（万元）</w:t>
            </w:r>
          </w:p>
        </w:tc>
        <w:tc>
          <w:tcPr>
            <w:tcW w:w="3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工作期限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工作期限</w:t>
            </w:r>
          </w:p>
        </w:tc>
        <w:tc>
          <w:tcPr>
            <w:tcW w:w="3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1月-12月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　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工作队车辆加油（升）</w:t>
            </w:r>
          </w:p>
        </w:tc>
        <w:tc>
          <w:tcPr>
            <w:tcW w:w="3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开展各类活动（次）</w:t>
            </w:r>
          </w:p>
        </w:tc>
        <w:tc>
          <w:tcPr>
            <w:tcW w:w="3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10次以上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（按实际情况定）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参加活动人员覆盖率</w:t>
            </w:r>
          </w:p>
        </w:tc>
        <w:tc>
          <w:tcPr>
            <w:tcW w:w="3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让群众知党恩，感党恩</w:t>
            </w:r>
          </w:p>
        </w:tc>
        <w:tc>
          <w:tcPr>
            <w:tcW w:w="3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显著提高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提高为农牧民服务意识</w:t>
            </w:r>
          </w:p>
        </w:tc>
        <w:tc>
          <w:tcPr>
            <w:tcW w:w="3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效果显著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让群众知党恩，感党恩</w:t>
            </w:r>
          </w:p>
        </w:tc>
        <w:tc>
          <w:tcPr>
            <w:tcW w:w="3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显著提高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群众满意度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≧96%　</w:t>
            </w:r>
          </w:p>
        </w:tc>
      </w:tr>
    </w:tbl>
    <w:tbl>
      <w:tblPr>
        <w:tblStyle w:val="8"/>
        <w:tblpPr w:leftFromText="180" w:rightFromText="180" w:vertAnchor="text" w:horzAnchor="page" w:tblpX="1538" w:tblpY="143"/>
        <w:tblOverlap w:val="never"/>
        <w:tblW w:w="139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2164"/>
        <w:gridCol w:w="1810"/>
        <w:gridCol w:w="1925"/>
        <w:gridCol w:w="249"/>
        <w:gridCol w:w="1132"/>
        <w:gridCol w:w="2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克孜勒苏柯尔克孜自治州扶贫开发办公室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群众工作经费（二）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12万元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12万元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该项目资金用于解决群众生产生活中的困难，为农牧民办实事，好事。通过该项目的实施，使农牧民了解党的惠民政策，提高劳动生产力，提高农牧民的致富积极性，达到共同富裕，维护社会长治久安。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为民办实事工作经费（万元）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为民办好事时间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1月-12月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 为民办实事好事（次）解决村容村貌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24次（按实际情况定）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慰问困难群众（人）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10次以上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（按实际情况定）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走访群众覆盖率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让群众知党恩，感党恩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显著提高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让群众知党恩，感党恩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效果显著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群众满意度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≧96%　</w:t>
            </w:r>
          </w:p>
        </w:tc>
      </w:tr>
    </w:tbl>
    <w:p>
      <w:pPr>
        <w:tabs>
          <w:tab w:val="left" w:pos="589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800" w:right="1440" w:bottom="2372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无其他说明的情况。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hint="eastAsia" w:ascii="黑体" w:hAnsi="黑体" w:eastAsia="黑体"/>
          <w:sz w:val="32"/>
          <w:szCs w:val="32"/>
        </w:rPr>
        <w:sectPr>
          <w:footerReference r:id="rId7" w:type="default"/>
          <w:pgSz w:w="11906" w:h="16838"/>
          <w:pgMar w:top="1985" w:right="1531" w:bottom="1843" w:left="1531" w:header="851" w:footer="992" w:gutter="0"/>
          <w:pgNumType w:fmt="numberInDash" w:start="27"/>
          <w:cols w:space="425" w:num="1"/>
          <w:docGrid w:type="lines" w:linePitch="312" w:charSpace="640"/>
        </w:sectPr>
      </w:pP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克孜勒苏柯尔克孜自治州扶贫开发办公室  </w:t>
      </w:r>
    </w:p>
    <w:p>
      <w:pPr>
        <w:widowControl/>
        <w:spacing w:line="520" w:lineRule="exact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2020年01月23日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footerReference r:id="rId8" w:type="default"/>
      <w:pgSz w:w="11906" w:h="16838"/>
      <w:pgMar w:top="1985" w:right="1531" w:bottom="1843" w:left="1531" w:header="851" w:footer="992" w:gutter="0"/>
      <w:pgNumType w:fmt="numberInDash" w:start="27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838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26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838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27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838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2FF5"/>
    <w:multiLevelType w:val="singleLevel"/>
    <w:tmpl w:val="30182FF5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B4DE28"/>
    <w:multiLevelType w:val="singleLevel"/>
    <w:tmpl w:val="53B4DE2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2B02522"/>
    <w:rsid w:val="02F0100F"/>
    <w:rsid w:val="0331599E"/>
    <w:rsid w:val="036B67E9"/>
    <w:rsid w:val="04F14559"/>
    <w:rsid w:val="0572409D"/>
    <w:rsid w:val="05816D21"/>
    <w:rsid w:val="05913154"/>
    <w:rsid w:val="05F5260D"/>
    <w:rsid w:val="07E06094"/>
    <w:rsid w:val="09452D8A"/>
    <w:rsid w:val="0AE6657F"/>
    <w:rsid w:val="0B152804"/>
    <w:rsid w:val="0CFE352F"/>
    <w:rsid w:val="0DB74282"/>
    <w:rsid w:val="0DE31A7B"/>
    <w:rsid w:val="0E111F8B"/>
    <w:rsid w:val="0E2B367E"/>
    <w:rsid w:val="0F3E0F58"/>
    <w:rsid w:val="0FEA2038"/>
    <w:rsid w:val="101C1080"/>
    <w:rsid w:val="101F5A0D"/>
    <w:rsid w:val="1146227E"/>
    <w:rsid w:val="129E6E72"/>
    <w:rsid w:val="12AC7A28"/>
    <w:rsid w:val="12F92C6E"/>
    <w:rsid w:val="13C4511C"/>
    <w:rsid w:val="1549354F"/>
    <w:rsid w:val="15660DD6"/>
    <w:rsid w:val="160354F6"/>
    <w:rsid w:val="16FC6C98"/>
    <w:rsid w:val="18165FAB"/>
    <w:rsid w:val="18766C81"/>
    <w:rsid w:val="1897778F"/>
    <w:rsid w:val="18A861BA"/>
    <w:rsid w:val="18D0082E"/>
    <w:rsid w:val="192D73AA"/>
    <w:rsid w:val="194838C4"/>
    <w:rsid w:val="19DA420C"/>
    <w:rsid w:val="1A2A0F02"/>
    <w:rsid w:val="1A9229FD"/>
    <w:rsid w:val="1B0F267C"/>
    <w:rsid w:val="1C1C0F93"/>
    <w:rsid w:val="1CE22A87"/>
    <w:rsid w:val="1ECA3A89"/>
    <w:rsid w:val="206271A4"/>
    <w:rsid w:val="208D13B2"/>
    <w:rsid w:val="214A519A"/>
    <w:rsid w:val="22994F33"/>
    <w:rsid w:val="24EC692E"/>
    <w:rsid w:val="25A241F5"/>
    <w:rsid w:val="25AD31E7"/>
    <w:rsid w:val="270E42D5"/>
    <w:rsid w:val="270F316D"/>
    <w:rsid w:val="27C45C12"/>
    <w:rsid w:val="2CCB4210"/>
    <w:rsid w:val="2D5D0634"/>
    <w:rsid w:val="2E110782"/>
    <w:rsid w:val="2E1E2EEE"/>
    <w:rsid w:val="2F980AE5"/>
    <w:rsid w:val="32F33959"/>
    <w:rsid w:val="36E63120"/>
    <w:rsid w:val="371B5FF5"/>
    <w:rsid w:val="383852E1"/>
    <w:rsid w:val="384B560C"/>
    <w:rsid w:val="38D1550D"/>
    <w:rsid w:val="3967394E"/>
    <w:rsid w:val="39CB7511"/>
    <w:rsid w:val="39DB4BE9"/>
    <w:rsid w:val="3A0B220D"/>
    <w:rsid w:val="3B0635C7"/>
    <w:rsid w:val="3B246775"/>
    <w:rsid w:val="3BEC5DA9"/>
    <w:rsid w:val="3ECB1ECD"/>
    <w:rsid w:val="40117A8E"/>
    <w:rsid w:val="41BA7FF4"/>
    <w:rsid w:val="41BC0354"/>
    <w:rsid w:val="42DC1A44"/>
    <w:rsid w:val="434A51A2"/>
    <w:rsid w:val="44BC08F8"/>
    <w:rsid w:val="458569ED"/>
    <w:rsid w:val="464B6AFD"/>
    <w:rsid w:val="46F90487"/>
    <w:rsid w:val="476252BB"/>
    <w:rsid w:val="49261C7A"/>
    <w:rsid w:val="49894552"/>
    <w:rsid w:val="4A29068E"/>
    <w:rsid w:val="4A4B2A5E"/>
    <w:rsid w:val="4B647CD2"/>
    <w:rsid w:val="4CE139A5"/>
    <w:rsid w:val="4FDF3737"/>
    <w:rsid w:val="4FEE3434"/>
    <w:rsid w:val="533C7932"/>
    <w:rsid w:val="54D5487E"/>
    <w:rsid w:val="58B2477C"/>
    <w:rsid w:val="59104059"/>
    <w:rsid w:val="594C2EEF"/>
    <w:rsid w:val="5AD60CE5"/>
    <w:rsid w:val="5D0D626F"/>
    <w:rsid w:val="5D764D18"/>
    <w:rsid w:val="5DAD53BE"/>
    <w:rsid w:val="5DCD5089"/>
    <w:rsid w:val="5F014035"/>
    <w:rsid w:val="60C527C1"/>
    <w:rsid w:val="615D2027"/>
    <w:rsid w:val="620F75D4"/>
    <w:rsid w:val="63674333"/>
    <w:rsid w:val="63FB612D"/>
    <w:rsid w:val="64DE365D"/>
    <w:rsid w:val="666C2EBB"/>
    <w:rsid w:val="67D77E53"/>
    <w:rsid w:val="68BD562D"/>
    <w:rsid w:val="69691DE5"/>
    <w:rsid w:val="6AE66E4D"/>
    <w:rsid w:val="6BD35154"/>
    <w:rsid w:val="6DF75E87"/>
    <w:rsid w:val="6E381289"/>
    <w:rsid w:val="6F484E8A"/>
    <w:rsid w:val="70CC3935"/>
    <w:rsid w:val="715F2CA6"/>
    <w:rsid w:val="71A444B2"/>
    <w:rsid w:val="728F1A20"/>
    <w:rsid w:val="73C211EB"/>
    <w:rsid w:val="74AD040D"/>
    <w:rsid w:val="7675384C"/>
    <w:rsid w:val="772374B5"/>
    <w:rsid w:val="7816076F"/>
    <w:rsid w:val="78505D65"/>
    <w:rsid w:val="78743D69"/>
    <w:rsid w:val="788E438E"/>
    <w:rsid w:val="79DD2FFA"/>
    <w:rsid w:val="7A045208"/>
    <w:rsid w:val="7B7F7BB8"/>
    <w:rsid w:val="7B9D00BF"/>
    <w:rsid w:val="7BA80DC0"/>
    <w:rsid w:val="7C433066"/>
    <w:rsid w:val="7C5F2DC0"/>
    <w:rsid w:val="7C75783A"/>
    <w:rsid w:val="7F3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9"/>
    <w:semiHidden/>
    <w:qFormat/>
    <w:uiPriority w:val="0"/>
    <w:rPr>
      <w:sz w:val="18"/>
      <w:szCs w:val="18"/>
      <w:lang w:val="zh-CN" w:eastAsia="zh-CN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21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5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6">
    <w:name w:val="批注框文本 字符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字符"/>
    <w:basedOn w:val="10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8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9">
    <w:name w:val="批注框文本 字符1"/>
    <w:link w:val="3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1">
    <w:name w:val="正文文本缩进 3 字符1"/>
    <w:link w:val="6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5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8333</Words>
  <Characters>9432</Characters>
  <Lines>74</Lines>
  <Paragraphs>21</Paragraphs>
  <TotalTime>1</TotalTime>
  <ScaleCrop>false</ScaleCrop>
  <LinksUpToDate>false</LinksUpToDate>
  <CharactersWithSpaces>10519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2021-05-19T02:37:22Z</cp:lastPrinted>
  <dcterms:modified xsi:type="dcterms:W3CDTF">2021-05-19T02:37:49Z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