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电教仪器站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 xml:space="preserve"> 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2020年克州电教仪器站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2020年克州电教仪器站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2020年克州电教仪器站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克州电教仪器站2020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克州电教仪器站2020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克州电教仪器站2020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克州电教仪器站2020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克州电教仪器站2020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克州电教仪器站2020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克州电教仪器站2020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克州电教仪器站2020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克州电教仪器站2020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克州电教仪器站主要负责全州的教师信息化工作和实验教学工作。信息化工作是电教站的核心，负责培训提升全州教师的信息化能力，检查各学校信息化使用情况，给各学校配备信息化设备等。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克州电教仪器站无下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属预算单位，下设</w:t>
      </w:r>
      <w:r>
        <w:rPr>
          <w:rFonts w:ascii="仿宋_GB2312" w:hAnsi="黑体" w:eastAsia="仿宋_GB2312" w:cs="宋体"/>
          <w:bCs/>
          <w:kern w:val="0"/>
          <w:sz w:val="32"/>
          <w:szCs w:val="32"/>
        </w:rPr>
        <w:t>0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克州电教仪器站编制数</w:t>
      </w:r>
      <w:r>
        <w:rPr>
          <w:rFonts w:ascii="仿宋_GB2312" w:hAnsi="宋体" w:eastAsia="仿宋_GB2312" w:cs="宋体"/>
          <w:kern w:val="0"/>
          <w:sz w:val="32"/>
          <w:szCs w:val="32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ascii="仿宋_GB2312" w:hAnsi="宋体" w:eastAsia="仿宋_GB2312" w:cs="宋体"/>
          <w:kern w:val="0"/>
          <w:sz w:val="32"/>
          <w:szCs w:val="32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ascii="仿宋_GB2312" w:hAnsi="宋体" w:eastAsia="仿宋_GB2312" w:cs="宋体"/>
          <w:kern w:val="0"/>
          <w:sz w:val="32"/>
          <w:szCs w:val="32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ascii="仿宋_GB2312" w:hAnsi="宋体" w:eastAsia="仿宋_GB2312" w:cs="宋体"/>
          <w:kern w:val="0"/>
          <w:sz w:val="32"/>
          <w:szCs w:val="32"/>
        </w:rPr>
        <w:t>;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退休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电教仪器站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           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238.81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238.81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238.81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238.81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238.8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                                                      单位：万元</w:t>
      </w:r>
    </w:p>
    <w:tbl>
      <w:tblPr>
        <w:tblStyle w:val="7"/>
        <w:tblW w:w="10203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484"/>
        <w:gridCol w:w="495"/>
        <w:gridCol w:w="879"/>
        <w:gridCol w:w="3"/>
        <w:gridCol w:w="858"/>
        <w:gridCol w:w="918"/>
        <w:gridCol w:w="372"/>
        <w:gridCol w:w="498"/>
        <w:gridCol w:w="3"/>
        <w:gridCol w:w="627"/>
        <w:gridCol w:w="3"/>
        <w:gridCol w:w="511"/>
        <w:gridCol w:w="3"/>
        <w:gridCol w:w="707"/>
        <w:gridCol w:w="3"/>
        <w:gridCol w:w="654"/>
        <w:gridCol w:w="3"/>
        <w:gridCol w:w="383"/>
        <w:gridCol w:w="3"/>
        <w:gridCol w:w="963"/>
        <w:gridCol w:w="3"/>
        <w:gridCol w:w="1295"/>
        <w:gridCol w:w="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30" w:hRule="atLeast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成人广播电视教育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238.81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238.81 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238.81 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238.81 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 xml:space="preserve"> 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             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390"/>
        <w:gridCol w:w="450"/>
        <w:gridCol w:w="2414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其他成人教育支出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成人广播电视教育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236.31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236.31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238.8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236.31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</w:tbl>
    <w:p>
      <w:pPr>
        <w:widowControl/>
        <w:spacing w:before="120" w:beforeLines="50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 xml:space="preserve"> 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              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238.81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238.81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238.81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238.81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238.81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238.81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238.81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 xml:space="preserve"> 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22"/>
        <w:gridCol w:w="48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其他成人教育支出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成人广播电视教育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236.8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236.8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236.8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 xml:space="preserve"> 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55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13.63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13.63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6.8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80.24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80.24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17.2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17.2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502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24.1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24.1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6.77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236.81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232.36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4.45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56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498"/>
        <w:gridCol w:w="465"/>
        <w:gridCol w:w="495"/>
        <w:gridCol w:w="870"/>
        <w:gridCol w:w="1162"/>
        <w:gridCol w:w="16"/>
        <w:gridCol w:w="734"/>
        <w:gridCol w:w="16"/>
        <w:gridCol w:w="94"/>
        <w:gridCol w:w="459"/>
        <w:gridCol w:w="16"/>
        <w:gridCol w:w="520"/>
        <w:gridCol w:w="16"/>
        <w:gridCol w:w="636"/>
        <w:gridCol w:w="16"/>
        <w:gridCol w:w="636"/>
        <w:gridCol w:w="16"/>
        <w:gridCol w:w="362"/>
        <w:gridCol w:w="200"/>
        <w:gridCol w:w="16"/>
        <w:gridCol w:w="403"/>
        <w:gridCol w:w="16"/>
        <w:gridCol w:w="562"/>
        <w:gridCol w:w="16"/>
        <w:gridCol w:w="404"/>
        <w:gridCol w:w="16"/>
        <w:gridCol w:w="404"/>
        <w:gridCol w:w="16"/>
        <w:gridCol w:w="373"/>
        <w:gridCol w:w="79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95" w:type="dxa"/>
          <w:trHeight w:val="375" w:hRule="atLeast"/>
        </w:trPr>
        <w:tc>
          <w:tcPr>
            <w:tcW w:w="945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8" w:type="dxa"/>
          <w:wAfter w:w="95" w:type="dxa"/>
          <w:trHeight w:val="405" w:hRule="atLeast"/>
        </w:trPr>
        <w:tc>
          <w:tcPr>
            <w:tcW w:w="4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30" w:hRule="atLeast"/>
        </w:trPr>
        <w:tc>
          <w:tcPr>
            <w:tcW w:w="1466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0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6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9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205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18"/>
                <w:szCs w:val="18"/>
              </w:rPr>
              <w:t>其他成人教育支出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计算机培训费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7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         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          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/>
          <w:kern w:val="0"/>
          <w:sz w:val="32"/>
          <w:szCs w:val="32"/>
        </w:rPr>
        <w:t>备注：本年没有使用政府性基金预算拨款安排的支出，故此表为空表。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238.81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收入预算包括：一般公共预算238.81。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支出预算包括：教育支出238.81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收入预算238.81万元，其中：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一般公共预算238.81万元，占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" w:hAnsi="仿宋" w:eastAsia="仿宋" w:cs="仿宋"/>
          <w:kern w:val="0"/>
          <w:sz w:val="32"/>
          <w:szCs w:val="32"/>
        </w:rPr>
        <w:t>243.82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2019年有一人调出。，故2020年预算减少。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kern w:val="0"/>
          <w:sz w:val="32"/>
          <w:szCs w:val="32"/>
        </w:rPr>
        <w:t>我单位本年度未安排政府性基金预算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年支出预算238.8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基本支出23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" w:hAnsi="仿宋" w:eastAsia="仿宋" w:cs="仿宋"/>
          <w:kern w:val="0"/>
          <w:sz w:val="32"/>
          <w:szCs w:val="32"/>
        </w:rPr>
        <w:t>241.82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2019年有一人调出，故2020年预算减少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与上年2万元持平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年财政拨款收支总预算238.81万元。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支出预算包括：教育支出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238.81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万元，主要用于职工工资、津贴补贴、社会保障缴费、住房公积金等。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    236.8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282.57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2019年有一人调出，有增资补发，故2020年预算减少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50" w:lineRule="exact"/>
        <w:ind w:firstLine="627" w:firstLineChars="196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1.教育支出（类）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万元，占100%。成人教育成人广播电视教育支出运行相对应的基本支出236.8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万元，是指人员经费支出和公用经费支出，项目支出2万元是指中小学教师培训费2万元。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1.教育（类）成人教育（款）成人广播电视教育（项）:2019年预算数为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282.57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45.76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2019年有一人调出，有增资补发，故2020年预算减少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      236.8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人员经费232.3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81.7万元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80.24万元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6.81万元、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24.18万元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13.63万元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17.27万元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6.77万元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1.33万元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1.09万元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（一）2018年克州电教仪器站安排项目支出、专项业务费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计算机培训费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教师计算机技术相关政策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2万元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克州电教仪器站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1万元/次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年2月、8月</w:t>
      </w:r>
    </w:p>
    <w:p>
      <w:pPr>
        <w:spacing w:line="500" w:lineRule="exact"/>
        <w:ind w:firstLine="64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克州电教仪器站无属于对个人补贴的项目支出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万元，公务用车购置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本年度未安排该项预算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未安排该项预算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本年度未安排该项预算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上年度公务用车由克州教育局统一调配，公务用车维护费由克州教育局承担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kern w:val="0"/>
          <w:sz w:val="32"/>
          <w:szCs w:val="32"/>
        </w:rPr>
        <w:t>公务接待由教育局承担，故本年度未安排预算。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克州电教仪器站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年没有使用政府性基金预算拨款安排的支出，政府性基金预算支出情况表为空表（表九）。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年，克州电教仪器站本级及下属0家行政单位、0家参公管理事业单位和0家事业单位的机关运行经费财政拨款预算4.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万元，比上年预算4.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%。主要原因是本年度预算中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减少一人，相应的公用经费、福利费、工会费减少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及下属单位政府采购预算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万元，政府采购工程预算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克州电教仪器站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2车辆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13.35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13.35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办公家具价值</w:t>
      </w:r>
      <w:r>
        <w:rPr>
          <w:rFonts w:ascii="仿宋_GB2312" w:hAnsi="宋体" w:eastAsia="仿宋_GB2312" w:cs="宋体"/>
          <w:kern w:val="0"/>
          <w:sz w:val="32"/>
          <w:szCs w:val="32"/>
        </w:rPr>
        <w:t>1.88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其他资产价值</w:t>
      </w:r>
      <w:r>
        <w:rPr>
          <w:rFonts w:ascii="仿宋_GB2312" w:hAnsi="宋体" w:eastAsia="仿宋_GB2312" w:cs="宋体"/>
          <w:kern w:val="0"/>
          <w:sz w:val="32"/>
          <w:szCs w:val="32"/>
        </w:rPr>
        <w:t>17.3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0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</w:t>
      </w:r>
      <w:r>
        <w:rPr>
          <w:rFonts w:ascii="仿宋_GB2312" w:hAnsi="宋体" w:eastAsia="仿宋_GB2312" w:cs="宋体"/>
          <w:kern w:val="0"/>
          <w:sz w:val="32"/>
          <w:szCs w:val="32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</w:t>
      </w:r>
      <w:r>
        <w:rPr>
          <w:rFonts w:ascii="仿宋_GB2312" w:hAnsi="宋体" w:eastAsia="仿宋_GB2312" w:cs="宋体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年克州电教仪器站预算未安排购置车辆经费（或安排购置车辆经费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</w:t>
      </w:r>
      <w:r>
        <w:rPr>
          <w:rFonts w:ascii="仿宋_GB2312" w:hAnsi="宋体" w:eastAsia="仿宋_GB2312" w:cs="宋体"/>
          <w:kern w:val="0"/>
          <w:sz w:val="32"/>
          <w:szCs w:val="32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</w:t>
      </w:r>
      <w:r>
        <w:rPr>
          <w:rFonts w:ascii="仿宋_GB2312" w:hAnsi="宋体" w:eastAsia="仿宋_GB2312" w:cs="宋体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克州电教仪器站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计算机培训费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</w:rPr>
              <w:t>本年度共组织教师计算机培训及考试两期，分别在暑假和寒假期间，计划每期培训教师人数230人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考务费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改卷费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=0.8万元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≥2月&amp;&amp;≤12月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培训次数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≥460人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资金使用覆盖率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加强教师队伍建设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加强教师队伍建设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beforeLines="50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克州电教仪器站无其他需说明的事项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</w:t>
      </w:r>
      <w:r>
        <w:rPr>
          <w:rFonts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</w:rPr>
        <w:t>名词解释</w:t>
      </w:r>
    </w:p>
    <w:p>
      <w:pPr>
        <w:widowControl/>
        <w:spacing w:line="56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z w:val="32"/>
          <w:szCs w:val="32"/>
        </w:rPr>
        <w:t>包括公共财政拨款（补助）资金、专项收入。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部门支出预算的组成部分，是自治区本级部门为完成其特定的行政任务或事业发展目标，在基本支出预算之外编制的年度项目支出计划。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电教仪器站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0A335A"/>
    <w:multiLevelType w:val="singleLevel"/>
    <w:tmpl w:val="890A335A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1CB46A0"/>
    <w:rsid w:val="086850D3"/>
    <w:rsid w:val="08EB4575"/>
    <w:rsid w:val="0A4A1E04"/>
    <w:rsid w:val="0BA14910"/>
    <w:rsid w:val="0C114B61"/>
    <w:rsid w:val="0CD23621"/>
    <w:rsid w:val="0D1E321F"/>
    <w:rsid w:val="0E0F1481"/>
    <w:rsid w:val="16B10A0A"/>
    <w:rsid w:val="1B59742F"/>
    <w:rsid w:val="1D2D469A"/>
    <w:rsid w:val="1DEF797F"/>
    <w:rsid w:val="1F077205"/>
    <w:rsid w:val="22F07AEE"/>
    <w:rsid w:val="24612272"/>
    <w:rsid w:val="2A6F65EC"/>
    <w:rsid w:val="2AE13798"/>
    <w:rsid w:val="2DB44800"/>
    <w:rsid w:val="35A10335"/>
    <w:rsid w:val="364B78BE"/>
    <w:rsid w:val="36FA10F3"/>
    <w:rsid w:val="3834371C"/>
    <w:rsid w:val="3D147F40"/>
    <w:rsid w:val="3D726B6D"/>
    <w:rsid w:val="3E39772B"/>
    <w:rsid w:val="3E890A49"/>
    <w:rsid w:val="45206487"/>
    <w:rsid w:val="469A73F2"/>
    <w:rsid w:val="48F016B0"/>
    <w:rsid w:val="496B1E72"/>
    <w:rsid w:val="49E04607"/>
    <w:rsid w:val="4A4F22AE"/>
    <w:rsid w:val="547E6C40"/>
    <w:rsid w:val="559F18CD"/>
    <w:rsid w:val="55CB3F7C"/>
    <w:rsid w:val="565320F9"/>
    <w:rsid w:val="59187684"/>
    <w:rsid w:val="5E373BBD"/>
    <w:rsid w:val="5ED67276"/>
    <w:rsid w:val="5F6208DA"/>
    <w:rsid w:val="5FCC2616"/>
    <w:rsid w:val="63A9585C"/>
    <w:rsid w:val="63E04A2D"/>
    <w:rsid w:val="6545249F"/>
    <w:rsid w:val="66B745C5"/>
    <w:rsid w:val="67B40AAC"/>
    <w:rsid w:val="68852179"/>
    <w:rsid w:val="69EC26F8"/>
    <w:rsid w:val="73FF74A4"/>
    <w:rsid w:val="76BC6DD0"/>
    <w:rsid w:val="77E74EA2"/>
    <w:rsid w:val="7BC2252D"/>
    <w:rsid w:val="7BDD6302"/>
    <w:rsid w:val="7D9236C1"/>
    <w:rsid w:val="7E6C1E7A"/>
    <w:rsid w:val="7F376B21"/>
    <w:rsid w:val="7F4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4</TotalTime>
  <ScaleCrop>false</ScaleCrop>
  <LinksUpToDate>false</LinksUpToDate>
  <CharactersWithSpaces>10542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ran嘟嘟</cp:lastModifiedBy>
  <cp:lastPrinted>2020-11-27T08:52:13Z</cp:lastPrinted>
  <dcterms:modified xsi:type="dcterms:W3CDTF">2020-11-27T08:52:57Z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