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克孜勒苏柯尔克孜自治州第二中学2020年部门预算公开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克州二中单位概况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2020年克州二中预算公开表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一、克州二中收支总体情况表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二、克州二中收入总体情况表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三、克州二中支出总体情况表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2020年克州二中预算情况说明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一、关于克州二中2020年收支预算情况的总体说明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二、关于克州二中2020年收入预算情况说明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三、关于克州二中2020年支出预算情况说明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rPr>
        <w:t>克州二中2020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五、关于克州二中2020年一般公共预算当年拨款情况说明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六、关于克州二中2020年一般公共预算基本支出情况说明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七、关于克州二中2020年项目支出情况说明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八、关于克州二中2020年一般公共预算“三公”经费预算情况说明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九、关于克州二中2020年政府性基金预算拨款情况说明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克州二中概况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克州二中是一所全日制中学，负责认真贯彻党和国家的教育方针政策，坚持社会主义办学方向，实行教育与生产劳动相结合,对学生进行德智体美劳等方面的教育；负责依法制定学校章程,并按照章程自主管理，配合各级人民政府依法动员、组织适龄少年入学,严格控制学生辍学,依法保证适龄少年接受义务教育；负责制定学校发展规划,并抓好组织实施和落实工作；负责按照教育主管部门发布的指导性教学计划、课程标准,组织实施教育教学活动、科学研究活动，依据国家教育主管部门有关教学计划、课程设置等方面的规定,决定和实施本校的教学计划,组织教学评比、集体备课,组织考试等；负责学籍管理和依法制定本校教师及其他职工在内的具体管理活动；负责科学管理,合理使用学校的设施和经费,并积极筹备资金,改善办学条件；负责维护学校、师生的合法权益,依法接受各级教育行政部门的检查指导和人民群众的监督，保证教育教学质量。</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xml:space="preserve">  </w:t>
      </w:r>
      <w:r>
        <w:rPr>
          <w:rFonts w:hint="eastAsia" w:ascii="仿宋_GB2312" w:hAnsi="黑体" w:eastAsia="仿宋_GB2312" w:cs="宋体"/>
          <w:b/>
          <w:bCs/>
          <w:kern w:val="0"/>
          <w:sz w:val="32"/>
          <w:szCs w:val="32"/>
        </w:rPr>
        <w:t xml:space="preserve"> </w:t>
      </w:r>
      <w:r>
        <w:rPr>
          <w:rFonts w:hint="eastAsia" w:ascii="仿宋_GB2312" w:hAnsi="黑体" w:eastAsia="仿宋_GB2312" w:cs="宋体"/>
          <w:bCs/>
          <w:kern w:val="0"/>
          <w:sz w:val="32"/>
          <w:szCs w:val="32"/>
        </w:rPr>
        <w:t>克州二中无下属预算单位，下设7个处室，分别是：办公室、总务处、政教处、教务处、教研室、工会、网络资源中心</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克州二中编制数201，</w:t>
      </w:r>
      <w:r>
        <w:rPr>
          <w:rFonts w:hint="eastAsia" w:ascii="仿宋_GB2312" w:hAnsi="宋体" w:eastAsia="仿宋_GB2312" w:cs="宋体"/>
          <w:color w:val="000000" w:themeColor="text1"/>
          <w:kern w:val="0"/>
          <w:sz w:val="32"/>
          <w:szCs w:val="32"/>
          <w14:textFill>
            <w14:solidFill>
              <w14:schemeClr w14:val="tx1"/>
            </w14:solidFill>
          </w14:textFill>
        </w:rPr>
        <w:t>实有人数227人，其中：在职227人，减少11人；退休1人，增加1人；离休0人，增加或减少0人。</w:t>
      </w:r>
    </w:p>
    <w:p>
      <w:pPr>
        <w:widowControl/>
        <w:spacing w:before="120" w:beforeLines="50"/>
        <w:outlineLvl w:val="1"/>
        <w:rPr>
          <w:rFonts w:ascii="黑体" w:hAnsi="黑体" w:eastAsia="黑体"/>
          <w:color w:val="FF0000"/>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2020年克州二中预算公开表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克州二中收支总体情况表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编制部门：克州二中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3139.39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3139.39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3901.96</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tabs>
                <w:tab w:val="center" w:pos="886"/>
                <w:tab w:val="right" w:pos="2072"/>
              </w:tabs>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85.00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321.58</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3545.97　</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3901.96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color w:val="000000" w:themeColor="text1"/>
                <w:kern w:val="0"/>
                <w:sz w:val="18"/>
                <w:szCs w:val="18"/>
                <w14:textFill>
                  <w14:solidFill>
                    <w14:schemeClr w14:val="tx1"/>
                  </w14:solidFill>
                </w14:textFill>
              </w:rPr>
              <w:t>355.99</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3901.96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3901.96</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克州二中收入总体情况表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填报部门：克州二中                                               单位：万元</w:t>
      </w:r>
    </w:p>
    <w:tbl>
      <w:tblPr>
        <w:tblStyle w:val="7"/>
        <w:tblW w:w="10463" w:type="dxa"/>
        <w:jc w:val="center"/>
        <w:tblLayout w:type="fixed"/>
        <w:tblCellMar>
          <w:top w:w="0" w:type="dxa"/>
          <w:left w:w="108" w:type="dxa"/>
          <w:bottom w:w="0" w:type="dxa"/>
          <w:right w:w="108" w:type="dxa"/>
        </w:tblCellMar>
      </w:tblPr>
      <w:tblGrid>
        <w:gridCol w:w="642"/>
        <w:gridCol w:w="471"/>
        <w:gridCol w:w="472"/>
        <w:gridCol w:w="1028"/>
        <w:gridCol w:w="933"/>
        <w:gridCol w:w="964"/>
        <w:gridCol w:w="396"/>
        <w:gridCol w:w="403"/>
        <w:gridCol w:w="369"/>
        <w:gridCol w:w="407"/>
        <w:gridCol w:w="761"/>
        <w:gridCol w:w="807"/>
        <w:gridCol w:w="916"/>
        <w:gridCol w:w="673"/>
        <w:gridCol w:w="1221"/>
      </w:tblGrid>
      <w:tr>
        <w:tblPrEx>
          <w:tblCellMar>
            <w:top w:w="0" w:type="dxa"/>
            <w:left w:w="108" w:type="dxa"/>
            <w:bottom w:w="0" w:type="dxa"/>
            <w:right w:w="108" w:type="dxa"/>
          </w:tblCellMar>
        </w:tblPrEx>
        <w:trPr>
          <w:trHeight w:val="510" w:hRule="atLeast"/>
          <w:jc w:val="center"/>
        </w:trPr>
        <w:tc>
          <w:tcPr>
            <w:tcW w:w="158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02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93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39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0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3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407"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80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916"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67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2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02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3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9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6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07"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0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916"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67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2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02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04　</w:t>
            </w:r>
          </w:p>
        </w:tc>
        <w:tc>
          <w:tcPr>
            <w:tcW w:w="102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高中教育　</w:t>
            </w:r>
          </w:p>
        </w:tc>
        <w:tc>
          <w:tcPr>
            <w:tcW w:w="933"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themeColor="text1"/>
                <w:sz w:val="20"/>
                <w:szCs w:val="20"/>
                <w14:textFill>
                  <w14:solidFill>
                    <w14:schemeClr w14:val="tx1"/>
                  </w14:solidFill>
                </w14:textFill>
              </w:rPr>
              <w:t>3887.16</w:t>
            </w:r>
          </w:p>
        </w:tc>
        <w:tc>
          <w:tcPr>
            <w:tcW w:w="964" w:type="dxa"/>
            <w:tcBorders>
              <w:top w:val="nil"/>
              <w:left w:val="nil"/>
              <w:bottom w:val="single" w:color="auto" w:sz="4" w:space="0"/>
              <w:right w:val="single" w:color="auto" w:sz="4" w:space="0"/>
            </w:tcBorders>
            <w:shd w:val="clear" w:color="000000" w:fill="FFFFFF"/>
            <w:noWrap/>
            <w:vAlign w:val="center"/>
          </w:tcPr>
          <w:p>
            <w:pPr>
              <w:widowControl/>
              <w:jc w:val="right"/>
              <w:textAlignment w:val="center"/>
              <w:rPr>
                <w:rFonts w:ascii="宋体" w:hAnsi="宋体" w:cs="宋体"/>
                <w:color w:val="000000"/>
                <w:sz w:val="18"/>
                <w:szCs w:val="18"/>
              </w:rPr>
            </w:pPr>
            <w:r>
              <w:rPr>
                <w:rFonts w:hint="eastAsia" w:ascii="仿宋_GB2312" w:eastAsia="仿宋_GB2312"/>
                <w:color w:val="000000"/>
                <w:sz w:val="20"/>
                <w:szCs w:val="20"/>
              </w:rPr>
              <w:t>3124.59</w:t>
            </w:r>
          </w:p>
        </w:tc>
        <w:tc>
          <w:tcPr>
            <w:tcW w:w="39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85　</w:t>
            </w:r>
          </w:p>
        </w:tc>
        <w:tc>
          <w:tcPr>
            <w:tcW w:w="9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321.58</w:t>
            </w:r>
          </w:p>
        </w:tc>
        <w:tc>
          <w:tcPr>
            <w:tcW w:w="673"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themeColor="text1"/>
                <w:sz w:val="20"/>
                <w:szCs w:val="20"/>
                <w14:textFill>
                  <w14:solidFill>
                    <w14:schemeClr w14:val="tx1"/>
                  </w14:solidFill>
                </w14:textFill>
              </w:rPr>
              <w:t>355.99</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02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其他教育支出　</w:t>
            </w:r>
          </w:p>
        </w:tc>
        <w:tc>
          <w:tcPr>
            <w:tcW w:w="933"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14.80</w:t>
            </w:r>
          </w:p>
        </w:tc>
        <w:tc>
          <w:tcPr>
            <w:tcW w:w="96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14.80</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jc w:val="center"/>
        </w:trPr>
        <w:tc>
          <w:tcPr>
            <w:tcW w:w="64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7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02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93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kern w:val="0"/>
                <w:sz w:val="18"/>
                <w:szCs w:val="18"/>
              </w:rPr>
              <w:t>3901.96</w:t>
            </w:r>
            <w:r>
              <w:rPr>
                <w:rFonts w:hint="eastAsia" w:ascii="仿宋_GB2312" w:eastAsia="仿宋_GB2312"/>
                <w:color w:val="000000"/>
                <w:sz w:val="20"/>
                <w:szCs w:val="20"/>
              </w:rPr>
              <w:t>　</w:t>
            </w:r>
          </w:p>
        </w:tc>
        <w:tc>
          <w:tcPr>
            <w:tcW w:w="9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3139.39　</w:t>
            </w:r>
          </w:p>
        </w:tc>
        <w:tc>
          <w:tcPr>
            <w:tcW w:w="39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3"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0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0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85</w:t>
            </w:r>
          </w:p>
        </w:tc>
        <w:tc>
          <w:tcPr>
            <w:tcW w:w="916"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r>
              <w:rPr>
                <w:rFonts w:hint="eastAsia" w:ascii="仿宋_GB2312" w:eastAsia="仿宋_GB2312"/>
                <w:color w:val="000000"/>
                <w:sz w:val="20"/>
                <w:szCs w:val="20"/>
              </w:rPr>
              <w:t>321.58</w:t>
            </w:r>
          </w:p>
        </w:tc>
        <w:tc>
          <w:tcPr>
            <w:tcW w:w="67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2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355</w:t>
            </w:r>
            <w:r>
              <w:rPr>
                <w:rFonts w:hint="eastAsia" w:ascii="仿宋_GB2312" w:hAnsi="宋体" w:eastAsia="仿宋_GB2312" w:cs="宋体"/>
                <w:color w:val="000000"/>
                <w:sz w:val="20"/>
                <w:szCs w:val="20"/>
              </w:rPr>
              <w:t>.99</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克州二中支出总体情况表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编制部门：克州二中                                               单位：万元</w:t>
      </w:r>
    </w:p>
    <w:tbl>
      <w:tblPr>
        <w:tblStyle w:val="7"/>
        <w:tblW w:w="9420" w:type="dxa"/>
        <w:tblInd w:w="-240" w:type="dxa"/>
        <w:tblLayout w:type="autofit"/>
        <w:tblCellMar>
          <w:top w:w="0" w:type="dxa"/>
          <w:left w:w="108" w:type="dxa"/>
          <w:bottom w:w="0" w:type="dxa"/>
          <w:right w:w="108" w:type="dxa"/>
        </w:tblCellMar>
      </w:tblPr>
      <w:tblGrid>
        <w:gridCol w:w="456"/>
        <w:gridCol w:w="400"/>
        <w:gridCol w:w="400"/>
        <w:gridCol w:w="2581"/>
        <w:gridCol w:w="1845"/>
        <w:gridCol w:w="1846"/>
        <w:gridCol w:w="1892"/>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99</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其他教育支出</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仿宋_GB2312" w:eastAsia="仿宋_GB2312"/>
                <w:color w:val="000000"/>
                <w:sz w:val="20"/>
                <w:szCs w:val="20"/>
              </w:rPr>
              <w:t>14.8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14.8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04</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仿宋_GB2312" w:eastAsia="仿宋_GB2312"/>
                <w:color w:val="000000"/>
                <w:sz w:val="20"/>
                <w:szCs w:val="20"/>
              </w:rPr>
              <w:t>高中教育</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仿宋_GB2312" w:eastAsia="仿宋_GB2312"/>
                <w:color w:val="000000"/>
                <w:sz w:val="20"/>
                <w:szCs w:val="20"/>
              </w:rPr>
              <w:t>3887.16</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仿宋_GB2312" w:eastAsia="仿宋_GB2312"/>
                <w:color w:val="000000"/>
                <w:sz w:val="20"/>
                <w:szCs w:val="20"/>
              </w:rPr>
              <w:t>3623.11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仿宋_GB2312" w:eastAsia="仿宋_GB2312"/>
                <w:color w:val="000000"/>
                <w:sz w:val="20"/>
                <w:szCs w:val="20"/>
              </w:rPr>
              <w:t>264.05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仿宋_GB2312" w:eastAsia="仿宋_GB2312"/>
                <w:color w:val="000000"/>
                <w:sz w:val="20"/>
                <w:szCs w:val="20"/>
              </w:rPr>
              <w:t>3901.96</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仿宋_GB2312" w:eastAsia="仿宋_GB2312"/>
                <w:color w:val="000000"/>
                <w:sz w:val="20"/>
                <w:szCs w:val="20"/>
              </w:rPr>
              <w:t>3623.11</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4"/>
                <w14:textFill>
                  <w14:solidFill>
                    <w14:schemeClr w14:val="tx1"/>
                  </w14:solidFill>
                </w14:textFill>
              </w:rPr>
            </w:pPr>
            <w:r>
              <w:rPr>
                <w:rFonts w:hint="eastAsia" w:ascii="仿宋_GB2312" w:eastAsia="仿宋_GB2312"/>
                <w:color w:val="000000"/>
                <w:sz w:val="20"/>
                <w:szCs w:val="20"/>
              </w:rPr>
              <w:t>278.85</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编制部门：克州二中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eastAsia="仿宋_GB2312"/>
                <w:color w:val="000000"/>
                <w:sz w:val="20"/>
                <w:szCs w:val="20"/>
              </w:rPr>
              <w:t>3139.39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eastAsia="仿宋_GB2312"/>
                <w:color w:val="000000"/>
                <w:sz w:val="20"/>
                <w:szCs w:val="20"/>
              </w:rPr>
              <w:t>3139.39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eastAsia="仿宋_GB2312"/>
                <w:color w:val="000000"/>
                <w:sz w:val="20"/>
                <w:szCs w:val="20"/>
              </w:rPr>
              <w:t>3139.39</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eastAsia="仿宋_GB2312"/>
                <w:color w:val="000000"/>
                <w:sz w:val="20"/>
                <w:szCs w:val="20"/>
              </w:rPr>
              <w:t>3139.39</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5"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eastAsia="仿宋_GB2312"/>
                <w:color w:val="000000"/>
                <w:sz w:val="20"/>
                <w:szCs w:val="20"/>
              </w:rPr>
              <w:t>3139.39</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eastAsia="仿宋_GB2312"/>
                <w:color w:val="000000"/>
                <w:sz w:val="20"/>
                <w:szCs w:val="20"/>
              </w:rPr>
              <w:t>3139.39</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eastAsia="仿宋_GB2312"/>
                <w:color w:val="000000"/>
                <w:sz w:val="20"/>
                <w:szCs w:val="20"/>
              </w:rPr>
              <w:t>3139.39</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autofit"/>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编制部门：克州二中</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Cs/>
                <w:color w:val="000000"/>
                <w:kern w:val="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Cs/>
                <w:color w:val="000000"/>
                <w:kern w:val="0"/>
                <w:sz w:val="20"/>
                <w:szCs w:val="20"/>
              </w:rPr>
              <w:t>99</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Cs/>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eastAsia="仿宋_GB2312"/>
                <w:color w:val="000000"/>
                <w:sz w:val="20"/>
                <w:szCs w:val="20"/>
              </w:rPr>
              <w:t>其他教育支出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eastAsia="仿宋_GB2312"/>
                <w:color w:val="000000"/>
                <w:sz w:val="20"/>
                <w:szCs w:val="20"/>
              </w:rPr>
              <w:t>14.80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eastAsia="仿宋_GB2312"/>
                <w:color w:val="000000"/>
                <w:sz w:val="20"/>
                <w:szCs w:val="20"/>
              </w:rPr>
              <w:t>14.80</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02</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04</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高中教育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3124.59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3124.59</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3139.39</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3124.59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14.80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020" w:type="dxa"/>
        <w:tblInd w:w="-148" w:type="dxa"/>
        <w:tblLayout w:type="fixed"/>
        <w:tblCellMar>
          <w:top w:w="0" w:type="dxa"/>
          <w:left w:w="108" w:type="dxa"/>
          <w:bottom w:w="0" w:type="dxa"/>
          <w:right w:w="108" w:type="dxa"/>
        </w:tblCellMar>
      </w:tblPr>
      <w:tblGrid>
        <w:gridCol w:w="757"/>
        <w:gridCol w:w="716"/>
        <w:gridCol w:w="3057"/>
        <w:gridCol w:w="829"/>
        <w:gridCol w:w="706"/>
        <w:gridCol w:w="976"/>
        <w:gridCol w:w="404"/>
        <w:gridCol w:w="1575"/>
      </w:tblGrid>
      <w:tr>
        <w:tblPrEx>
          <w:tblCellMar>
            <w:top w:w="0" w:type="dxa"/>
            <w:left w:w="108" w:type="dxa"/>
            <w:bottom w:w="0" w:type="dxa"/>
            <w:right w:w="108" w:type="dxa"/>
          </w:tblCellMar>
        </w:tblPrEx>
        <w:trPr>
          <w:trHeight w:val="375" w:hRule="atLeast"/>
        </w:trPr>
        <w:tc>
          <w:tcPr>
            <w:tcW w:w="9020"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530"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编制部门：克州二中</w:t>
            </w:r>
          </w:p>
        </w:tc>
        <w:tc>
          <w:tcPr>
            <w:tcW w:w="829"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1979" w:type="dxa"/>
            <w:gridSpan w:val="2"/>
            <w:tcBorders>
              <w:top w:val="nil"/>
              <w:left w:val="nil"/>
              <w:bottom w:val="nil"/>
              <w:right w:val="nil"/>
            </w:tcBorders>
            <w:shd w:val="clear" w:color="auto" w:fill="auto"/>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53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49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73"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05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535"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380"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57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057"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535"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38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7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24.21</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24.21</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84.30</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84.30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09</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6.75</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6.75</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　</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308.49</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308.49</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　</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2.22</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2.22</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08</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37.00</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37.00</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79.29</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79.29</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223.01</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223.01</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06</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　</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160.14</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160.14</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05</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28</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　</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13.45</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13.45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1166.13</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1166.13</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02</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68.09</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68.09</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71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01</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951.51</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951.51</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3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53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r>
              <w:rPr>
                <w:rFonts w:hint="eastAsia" w:ascii="仿宋_GB2312" w:hAnsi="宋体" w:eastAsia="仿宋_GB2312" w:cs="宋体"/>
                <w:color w:val="000000"/>
                <w:kern w:val="0"/>
                <w:sz w:val="20"/>
                <w:szCs w:val="20"/>
                <w:lang w:val="en-US" w:eastAsia="zh-CN"/>
              </w:rPr>
              <w:t>12</w:t>
            </w:r>
            <w:r>
              <w:rPr>
                <w:rFonts w:hint="eastAsia" w:ascii="仿宋_GB2312" w:hAnsi="宋体" w:eastAsia="仿宋_GB2312" w:cs="宋体"/>
                <w:color w:val="000000"/>
                <w:kern w:val="0"/>
                <w:sz w:val="20"/>
                <w:szCs w:val="20"/>
              </w:rPr>
              <w:t>4.59</w:t>
            </w:r>
            <w:bookmarkStart w:id="0" w:name="_GoBack"/>
            <w:bookmarkEnd w:id="0"/>
          </w:p>
        </w:tc>
        <w:tc>
          <w:tcPr>
            <w:tcW w:w="138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3002.63</w:t>
            </w:r>
          </w:p>
        </w:tc>
        <w:tc>
          <w:tcPr>
            <w:tcW w:w="15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121.97</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autofit"/>
        <w:tblCellMar>
          <w:top w:w="0" w:type="dxa"/>
          <w:left w:w="108" w:type="dxa"/>
          <w:bottom w:w="0" w:type="dxa"/>
          <w:right w:w="108" w:type="dxa"/>
        </w:tblCellMar>
      </w:tblPr>
      <w:tblGrid>
        <w:gridCol w:w="10"/>
        <w:gridCol w:w="506"/>
        <w:gridCol w:w="416"/>
        <w:gridCol w:w="416"/>
        <w:gridCol w:w="851"/>
        <w:gridCol w:w="1456"/>
        <w:gridCol w:w="750"/>
        <w:gridCol w:w="100"/>
        <w:gridCol w:w="407"/>
        <w:gridCol w:w="716"/>
        <w:gridCol w:w="652"/>
        <w:gridCol w:w="652"/>
        <w:gridCol w:w="378"/>
        <w:gridCol w:w="200"/>
        <w:gridCol w:w="419"/>
        <w:gridCol w:w="578"/>
        <w:gridCol w:w="420"/>
        <w:gridCol w:w="420"/>
        <w:gridCol w:w="389"/>
        <w:gridCol w:w="8"/>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编制部门：克州二中</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39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397"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851" w:type="dxa"/>
            <w:shd w:val="clear" w:color="auto" w:fill="auto"/>
            <w:vAlign w:val="center"/>
          </w:tcPr>
          <w:p>
            <w:pPr>
              <w:widowControl/>
              <w:jc w:val="center"/>
              <w:rPr>
                <w:rFonts w:ascii="宋体" w:hAnsi="宋体" w:cs="宋体"/>
                <w:color w:val="000000"/>
                <w:kern w:val="0"/>
                <w:sz w:val="20"/>
                <w:szCs w:val="20"/>
              </w:rPr>
            </w:pPr>
            <w:r>
              <w:rPr>
                <w:rFonts w:hint="eastAsia" w:ascii="仿宋_GB2312" w:eastAsia="仿宋_GB2312"/>
                <w:color w:val="000000"/>
                <w:sz w:val="20"/>
                <w:szCs w:val="20"/>
              </w:rPr>
              <w:t>其他教育支出</w:t>
            </w:r>
          </w:p>
        </w:tc>
        <w:tc>
          <w:tcPr>
            <w:tcW w:w="1456" w:type="dxa"/>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寄宿生住宿费</w:t>
            </w:r>
          </w:p>
        </w:tc>
        <w:tc>
          <w:tcPr>
            <w:tcW w:w="750" w:type="dxa"/>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14.80</w:t>
            </w:r>
          </w:p>
        </w:tc>
        <w:tc>
          <w:tcPr>
            <w:tcW w:w="569" w:type="dxa"/>
            <w:gridSpan w:val="2"/>
            <w:shd w:val="clear" w:color="auto" w:fill="auto"/>
            <w:vAlign w:val="center"/>
          </w:tcPr>
          <w:p>
            <w:pPr>
              <w:widowControl/>
              <w:jc w:val="center"/>
              <w:rPr>
                <w:rFonts w:ascii="仿宋_GB2312" w:eastAsia="仿宋_GB2312"/>
                <w:color w:val="000000"/>
                <w:sz w:val="20"/>
                <w:szCs w:val="20"/>
              </w:rPr>
            </w:pPr>
          </w:p>
        </w:tc>
        <w:tc>
          <w:tcPr>
            <w:tcW w:w="536" w:type="dxa"/>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14.80</w:t>
            </w:r>
          </w:p>
        </w:tc>
        <w:tc>
          <w:tcPr>
            <w:tcW w:w="652" w:type="dxa"/>
            <w:shd w:val="clear" w:color="auto" w:fill="auto"/>
            <w:vAlign w:val="center"/>
          </w:tcPr>
          <w:p>
            <w:pPr>
              <w:widowControl/>
              <w:jc w:val="center"/>
              <w:rPr>
                <w:rFonts w:ascii="宋体" w:hAnsi="宋体" w:cs="宋体"/>
                <w:color w:val="000000"/>
                <w:kern w:val="0"/>
                <w:sz w:val="20"/>
                <w:szCs w:val="20"/>
              </w:rPr>
            </w:pPr>
          </w:p>
        </w:tc>
        <w:tc>
          <w:tcPr>
            <w:tcW w:w="652" w:type="dxa"/>
            <w:shd w:val="clear" w:color="auto" w:fill="auto"/>
            <w:vAlign w:val="center"/>
          </w:tcPr>
          <w:p>
            <w:pPr>
              <w:widowControl/>
              <w:jc w:val="center"/>
              <w:rPr>
                <w:rFonts w:ascii="宋体" w:hAnsi="宋体" w:cs="宋体"/>
                <w:color w:val="000000"/>
                <w:kern w:val="0"/>
                <w:sz w:val="20"/>
                <w:szCs w:val="20"/>
              </w:rPr>
            </w:pPr>
          </w:p>
        </w:tc>
        <w:tc>
          <w:tcPr>
            <w:tcW w:w="578" w:type="dxa"/>
            <w:gridSpan w:val="2"/>
            <w:shd w:val="clear" w:color="auto" w:fill="auto"/>
            <w:vAlign w:val="center"/>
          </w:tcPr>
          <w:p>
            <w:pPr>
              <w:widowControl/>
              <w:jc w:val="center"/>
              <w:rPr>
                <w:rFonts w:ascii="宋体" w:hAnsi="宋体" w:cs="宋体"/>
                <w:color w:val="000000"/>
                <w:kern w:val="0"/>
                <w:sz w:val="20"/>
                <w:szCs w:val="20"/>
              </w:rPr>
            </w:pPr>
          </w:p>
        </w:tc>
        <w:tc>
          <w:tcPr>
            <w:tcW w:w="419" w:type="dxa"/>
            <w:shd w:val="clear" w:color="auto" w:fill="auto"/>
            <w:vAlign w:val="center"/>
          </w:tcPr>
          <w:p>
            <w:pPr>
              <w:widowControl/>
              <w:jc w:val="center"/>
              <w:rPr>
                <w:rFonts w:ascii="宋体" w:hAnsi="宋体" w:cs="宋体"/>
                <w:color w:val="000000"/>
                <w:kern w:val="0"/>
                <w:sz w:val="20"/>
                <w:szCs w:val="20"/>
              </w:rPr>
            </w:pPr>
          </w:p>
        </w:tc>
        <w:tc>
          <w:tcPr>
            <w:tcW w:w="578" w:type="dxa"/>
            <w:shd w:val="clear" w:color="auto" w:fill="auto"/>
            <w:vAlign w:val="center"/>
          </w:tcPr>
          <w:p>
            <w:pPr>
              <w:widowControl/>
              <w:jc w:val="center"/>
              <w:rPr>
                <w:rFonts w:ascii="宋体" w:hAnsi="宋体" w:cs="宋体"/>
                <w:color w:val="000000"/>
                <w:kern w:val="0"/>
                <w:sz w:val="20"/>
                <w:szCs w:val="20"/>
              </w:rPr>
            </w:pPr>
          </w:p>
        </w:tc>
        <w:tc>
          <w:tcPr>
            <w:tcW w:w="420" w:type="dxa"/>
            <w:shd w:val="clear" w:color="auto" w:fill="auto"/>
            <w:vAlign w:val="center"/>
          </w:tcPr>
          <w:p>
            <w:pPr>
              <w:widowControl/>
              <w:jc w:val="center"/>
              <w:rPr>
                <w:rFonts w:ascii="宋体" w:hAnsi="宋体" w:cs="宋体"/>
                <w:color w:val="000000"/>
                <w:kern w:val="0"/>
                <w:sz w:val="20"/>
                <w:szCs w:val="20"/>
              </w:rPr>
            </w:pPr>
          </w:p>
        </w:tc>
        <w:tc>
          <w:tcPr>
            <w:tcW w:w="420" w:type="dxa"/>
            <w:shd w:val="clear" w:color="auto" w:fill="auto"/>
            <w:vAlign w:val="center"/>
          </w:tcPr>
          <w:p>
            <w:pPr>
              <w:widowControl/>
              <w:jc w:val="center"/>
              <w:rPr>
                <w:rFonts w:ascii="宋体" w:hAnsi="宋体" w:cs="宋体"/>
                <w:color w:val="000000"/>
                <w:kern w:val="0"/>
                <w:sz w:val="20"/>
                <w:szCs w:val="20"/>
              </w:rPr>
            </w:pPr>
          </w:p>
        </w:tc>
        <w:tc>
          <w:tcPr>
            <w:tcW w:w="468" w:type="dxa"/>
            <w:gridSpan w:val="2"/>
            <w:shd w:val="clear" w:color="auto" w:fill="auto"/>
            <w:vAlign w:val="center"/>
          </w:tcPr>
          <w:p>
            <w:pPr>
              <w:widowControl/>
              <w:jc w:val="center"/>
              <w:rPr>
                <w:rFonts w:ascii="宋体" w:hAnsi="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14.80</w:t>
            </w:r>
          </w:p>
        </w:tc>
        <w:tc>
          <w:tcPr>
            <w:tcW w:w="569" w:type="dxa"/>
            <w:gridSpan w:val="2"/>
            <w:shd w:val="clear" w:color="auto" w:fill="auto"/>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536" w:type="dxa"/>
            <w:shd w:val="clear" w:color="auto" w:fill="auto"/>
            <w:vAlign w:val="center"/>
          </w:tcPr>
          <w:p>
            <w:pPr>
              <w:widowControl/>
              <w:jc w:val="center"/>
              <w:rPr>
                <w:rFonts w:ascii="仿宋_GB2312" w:eastAsia="仿宋_GB2312"/>
                <w:color w:val="000000"/>
                <w:sz w:val="20"/>
                <w:szCs w:val="20"/>
              </w:rPr>
            </w:pPr>
            <w:r>
              <w:rPr>
                <w:rFonts w:hint="eastAsia" w:ascii="仿宋_GB2312" w:eastAsia="仿宋_GB2312"/>
                <w:color w:val="000000"/>
                <w:sz w:val="20"/>
                <w:szCs w:val="20"/>
              </w:rPr>
              <w:t>14.80</w:t>
            </w:r>
          </w:p>
        </w:tc>
        <w:tc>
          <w:tcPr>
            <w:tcW w:w="652" w:type="dxa"/>
            <w:shd w:val="clear" w:color="auto" w:fill="auto"/>
          </w:tcPr>
          <w:p>
            <w:pPr>
              <w:widowControl/>
              <w:jc w:val="center"/>
              <w:rPr>
                <w:rFonts w:ascii="仿宋_GB2312" w:eastAsia="仿宋_GB2312"/>
                <w:color w:val="000000"/>
                <w:sz w:val="20"/>
                <w:szCs w:val="20"/>
              </w:rPr>
            </w:pPr>
            <w:r>
              <w:rPr>
                <w:rFonts w:hint="eastAsia" w:ascii="仿宋_GB2312" w:eastAsia="仿宋_GB2312"/>
                <w:color w:val="000000"/>
                <w:sz w:val="20"/>
                <w:szCs w:val="20"/>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编制单位：克州二中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28"/>
        </w:rPr>
      </w:pPr>
      <w:r>
        <w:rPr>
          <w:rFonts w:hint="eastAsia" w:ascii="仿宋_GB2312" w:hAnsi="宋体" w:eastAsia="仿宋_GB2312"/>
          <w:b/>
          <w:kern w:val="0"/>
          <w:sz w:val="28"/>
          <w:szCs w:val="32"/>
        </w:rPr>
        <w:t>备注：</w:t>
      </w:r>
      <w:r>
        <w:rPr>
          <w:rFonts w:hint="eastAsia" w:ascii="仿宋_GB2312" w:hAnsi="宋体" w:eastAsia="仿宋_GB2312"/>
          <w:b/>
          <w:kern w:val="0"/>
          <w:sz w:val="28"/>
          <w:szCs w:val="28"/>
        </w:rPr>
        <w:t>2020年未安排一般公共预算“三公”经费。</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编制单位：克州二中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kern w:val="0"/>
          <w:sz w:val="32"/>
          <w:szCs w:val="32"/>
        </w:rPr>
        <w:sectPr>
          <w:footerReference r:id="rId5" w:type="first"/>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r>
        <w:rPr>
          <w:rFonts w:hint="eastAsia" w:ascii="仿宋_GB2312" w:hAnsi="宋体" w:eastAsia="仿宋_GB2312"/>
          <w:b/>
          <w:kern w:val="0"/>
          <w:sz w:val="28"/>
          <w:szCs w:val="32"/>
        </w:rPr>
        <w:t>备注：2020未安排</w:t>
      </w:r>
      <w:r>
        <w:rPr>
          <w:rFonts w:hint="eastAsia" w:ascii="仿宋_GB2312" w:hAnsi="宋体" w:eastAsia="仿宋_GB2312"/>
          <w:b/>
          <w:kern w:val="0"/>
          <w:sz w:val="32"/>
          <w:szCs w:val="32"/>
        </w:rPr>
        <w:t>政府性基金</w:t>
      </w:r>
      <w:r>
        <w:rPr>
          <w:rFonts w:hint="eastAsia" w:ascii="仿宋_GB2312" w:hAnsi="宋体" w:eastAsia="仿宋_GB2312"/>
          <w:b/>
          <w:kern w:val="0"/>
          <w:sz w:val="28"/>
          <w:szCs w:val="32"/>
        </w:rPr>
        <w:t>。</w:t>
      </w: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2020年克州二中预算情况说明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关于克州二中2020年收支预算情况的总体说明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按照全口径预算的原则，克州二中2020年所有收入和支出均纳入部门预算管理。收支总预算</w:t>
      </w:r>
      <w:r>
        <w:rPr>
          <w:rFonts w:hint="eastAsia" w:ascii="仿宋_GB2312" w:hAnsi="宋体" w:eastAsia="仿宋_GB2312" w:cs="宋体"/>
          <w:color w:val="000000" w:themeColor="text1"/>
          <w:kern w:val="0"/>
          <w:sz w:val="32"/>
          <w:szCs w:val="32"/>
          <w14:textFill>
            <w14:solidFill>
              <w14:schemeClr w14:val="tx1"/>
            </w14:solidFill>
          </w14:textFill>
        </w:rPr>
        <w:t>3901.96</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收入预算包括：一般公共预算3139.39万元、其他收入85万元、上级专项收入321.58万元、单位上年结余（不包括国库集中支付额度结余）355.99万元。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w:t>
      </w:r>
      <w:r>
        <w:rPr>
          <w:rFonts w:hint="eastAsia" w:ascii="仿宋_GB2312" w:hAnsi="宋体" w:eastAsia="仿宋_GB2312" w:cs="宋体"/>
          <w:color w:val="000000" w:themeColor="text1"/>
          <w:kern w:val="0"/>
          <w:sz w:val="32"/>
          <w:szCs w:val="32"/>
          <w14:textFill>
            <w14:solidFill>
              <w14:schemeClr w14:val="tx1"/>
            </w14:solidFill>
          </w14:textFill>
        </w:rPr>
        <w:t>3901.96</w:t>
      </w:r>
      <w:r>
        <w:rPr>
          <w:rFonts w:hint="eastAsia" w:ascii="仿宋_GB2312" w:hAnsi="宋体" w:eastAsia="仿宋_GB2312" w:cs="宋体"/>
          <w:kern w:val="0"/>
          <w:sz w:val="32"/>
          <w:szCs w:val="32"/>
        </w:rPr>
        <w:t>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二、关于克州二中2020年收入预算情况说明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克州二中收入预算</w:t>
      </w:r>
      <w:r>
        <w:rPr>
          <w:rFonts w:hint="eastAsia" w:ascii="仿宋_GB2312" w:hAnsi="宋体" w:eastAsia="仿宋_GB2312" w:cs="宋体"/>
          <w:color w:val="000000" w:themeColor="text1"/>
          <w:kern w:val="0"/>
          <w:sz w:val="32"/>
          <w:szCs w:val="32"/>
          <w14:textFill>
            <w14:solidFill>
              <w14:schemeClr w14:val="tx1"/>
            </w14:solidFill>
          </w14:textFill>
        </w:rPr>
        <w:t>3901.96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一般公共预算3139.39万元，占80.46%，比上年减少238.51万元，主要原因是</w:t>
      </w:r>
      <w:r>
        <w:rPr>
          <w:rFonts w:hint="eastAsia" w:ascii="仿宋_GB2312" w:hAnsi="宋体" w:eastAsia="仿宋_GB2312" w:cs="宋体"/>
          <w:color w:val="000000" w:themeColor="text1"/>
          <w:kern w:val="0"/>
          <w:sz w:val="32"/>
          <w:szCs w:val="32"/>
          <w14:textFill>
            <w14:solidFill>
              <w14:schemeClr w14:val="tx1"/>
            </w14:solidFill>
          </w14:textFill>
        </w:rPr>
        <w:t xml:space="preserve">2019年预算安排了2018年9月新聘教师工资，2020年预算未安排2019年新聘教师工资； </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政府性基金预算未安排。或0万元，占0%，比上年增加（减少）0万元，主要原因是未安排预算；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财政专户管理资金0万元，占0%，比上年增加（减少）   0万元，主要原因是财政专户管理资金未安排；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事业收入0万元，占0%，比上年增加（减少）0万元，主要原因是事业收入未安排；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事业单位经营收入0万元，占0%，比上年增加（减少）0万元，主要原因是事业单位经营收入未安排；</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其他收入85万元，占2.18%，比上年减少65万元，主要原因是</w:t>
      </w:r>
      <w:r>
        <w:rPr>
          <w:rFonts w:hint="eastAsia" w:ascii="仿宋_GB2312" w:hAnsi="宋体" w:eastAsia="仿宋_GB2312" w:cs="宋体"/>
          <w:color w:val="000000" w:themeColor="text1"/>
          <w:kern w:val="0"/>
          <w:sz w:val="32"/>
          <w:szCs w:val="32"/>
          <w14:textFill>
            <w14:solidFill>
              <w14:schemeClr w14:val="tx1"/>
            </w14:solidFill>
          </w14:textFill>
        </w:rPr>
        <w:t>2020年我单位学生教辅、试卷、学生校服等收入减少；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用事业基金弥补收支差额0万元，占0%，比上年增加（减少）0万元，主要原因是用事业基金弥补收支差额未安排。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单位上年结余（不包括国库集中支付额度结余）355.99万元，占9.12%，比上年增加</w:t>
      </w:r>
      <w:r>
        <w:rPr>
          <w:rFonts w:hint="eastAsia" w:ascii="仿宋_GB2312" w:hAnsi="宋体" w:eastAsia="仿宋_GB2312" w:cs="宋体"/>
          <w:color w:val="000000" w:themeColor="text1"/>
          <w:kern w:val="0"/>
          <w:sz w:val="32"/>
          <w:szCs w:val="32"/>
          <w14:textFill>
            <w14:solidFill>
              <w14:schemeClr w14:val="tx1"/>
            </w14:solidFill>
          </w14:textFill>
        </w:rPr>
        <w:t>261.95</w:t>
      </w:r>
      <w:r>
        <w:rPr>
          <w:rFonts w:hint="eastAsia" w:ascii="仿宋_GB2312" w:hAnsi="宋体" w:eastAsia="仿宋_GB2312" w:cs="宋体"/>
          <w:kern w:val="0"/>
          <w:sz w:val="32"/>
          <w:szCs w:val="32"/>
        </w:rPr>
        <w:t>万元，主要原是2019年公用取暖费未支付，2019年拨入改善普通高中办学条件项目资金结余264.05万元。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三、关于克州二中2020年支出预算情况说明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克州二中2020年支出预算</w:t>
      </w:r>
      <w:r>
        <w:rPr>
          <w:rFonts w:hint="eastAsia" w:ascii="仿宋_GB2312" w:hAnsi="宋体" w:eastAsia="仿宋_GB2312" w:cs="宋体"/>
          <w:color w:val="000000" w:themeColor="text1"/>
          <w:kern w:val="0"/>
          <w:sz w:val="32"/>
          <w:szCs w:val="32"/>
          <w14:textFill>
            <w14:solidFill>
              <w14:schemeClr w14:val="tx1"/>
            </w14:solidFill>
          </w14:textFill>
        </w:rPr>
        <w:t>3901.96</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基本支出3623.11万元，占92.85%，比上年减少287.49万元，主要原因是</w:t>
      </w:r>
      <w:r>
        <w:rPr>
          <w:rFonts w:hint="eastAsia" w:ascii="仿宋_GB2312" w:hAnsi="宋体" w:eastAsia="仿宋_GB2312" w:cs="宋体"/>
          <w:color w:val="000000" w:themeColor="text1"/>
          <w:kern w:val="0"/>
          <w:sz w:val="32"/>
          <w:szCs w:val="32"/>
          <w14:textFill>
            <w14:solidFill>
              <w14:schemeClr w14:val="tx1"/>
            </w14:solidFill>
          </w14:textFill>
        </w:rPr>
        <w:t>我单位学生教辅、试卷、学生校服等支出减少，2019年预算安排了2018年9月新聘教师工资，2020年预算未安排2019年新聘教师工资。</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项目支出278.85万元，占7.15%，比上年增加265.91   万元，主要原因是</w:t>
      </w:r>
      <w:r>
        <w:rPr>
          <w:rFonts w:hint="eastAsia" w:ascii="仿宋_GB2312" w:hAnsi="宋体" w:eastAsia="仿宋_GB2312" w:cs="宋体"/>
          <w:color w:val="000000" w:themeColor="text1"/>
          <w:kern w:val="0"/>
          <w:sz w:val="32"/>
          <w:szCs w:val="32"/>
          <w14:textFill>
            <w14:solidFill>
              <w14:schemeClr w14:val="tx1"/>
            </w14:solidFill>
          </w14:textFill>
        </w:rPr>
        <w:t>2019年拨入改善普通高中办学条件项目资金结余264.05万元，寄宿生人数增加。</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rPr>
        <w:t>克州二中</w:t>
      </w:r>
      <w:r>
        <w:rPr>
          <w:rFonts w:hint="eastAsia" w:ascii="黑体" w:hAnsi="黑体" w:eastAsia="黑体" w:cs="宋体"/>
          <w:bCs/>
          <w:kern w:val="0"/>
          <w:sz w:val="32"/>
          <w:szCs w:val="32"/>
        </w:rPr>
        <w:t>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2020年财政拨款收支总预算3139.39万元。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w:t>
      </w:r>
      <w:r>
        <w:rPr>
          <w:rFonts w:hint="eastAsia" w:ascii="仿宋_GB2312" w:hAnsi="宋体" w:eastAsia="仿宋_GB2312" w:cs="宋体"/>
          <w:kern w:val="0"/>
          <w:sz w:val="32"/>
          <w:szCs w:val="32"/>
        </w:rPr>
        <w:t>3139.39万元</w:t>
      </w:r>
      <w:r>
        <w:rPr>
          <w:rFonts w:hint="eastAsia" w:ascii="仿宋_GB2312" w:hAnsi="宋体" w:eastAsia="仿宋_GB2312" w:cs="宋体"/>
          <w:spacing w:val="-6"/>
          <w:kern w:val="0"/>
          <w:sz w:val="32"/>
          <w:szCs w:val="32"/>
        </w:rPr>
        <w:t>，无政府性基金预算拨款。</w:t>
      </w:r>
    </w:p>
    <w:p>
      <w:pPr>
        <w:spacing w:line="560" w:lineRule="exact"/>
        <w:ind w:firstLine="640" w:firstLineChars="200"/>
        <w:rPr>
          <w:rFonts w:ascii="仿宋_GB2312" w:hAnsi="宋体" w:eastAsia="仿宋_GB2312" w:cs="宋体"/>
          <w:color w:val="000000" w:themeColor="text1"/>
          <w:spacing w:val="-6"/>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支出预算</w:t>
      </w:r>
      <w:r>
        <w:rPr>
          <w:rFonts w:hint="eastAsia" w:ascii="仿宋_GB2312" w:hAnsi="宋体" w:eastAsia="仿宋_GB2312" w:cs="宋体"/>
          <w:color w:val="000000" w:themeColor="text1"/>
          <w:spacing w:val="-6"/>
          <w:kern w:val="0"/>
          <w:sz w:val="32"/>
          <w:szCs w:val="32"/>
          <w14:textFill>
            <w14:solidFill>
              <w14:schemeClr w14:val="tx1"/>
            </w14:solidFill>
          </w14:textFill>
        </w:rPr>
        <w:t>全部为教育支出</w:t>
      </w:r>
      <w:r>
        <w:rPr>
          <w:rFonts w:hint="eastAsia" w:ascii="仿宋_GB2312" w:hAnsi="宋体" w:eastAsia="仿宋_GB2312" w:cs="宋体"/>
          <w:color w:val="000000" w:themeColor="text1"/>
          <w:kern w:val="0"/>
          <w:sz w:val="32"/>
          <w:szCs w:val="32"/>
          <w14:textFill>
            <w14:solidFill>
              <w14:schemeClr w14:val="tx1"/>
            </w14:solidFill>
          </w14:textFill>
        </w:rPr>
        <w:t>3139.39万元，主要用于支付职工薪酬、社会保障缴费、住房公积金等和用于学校的正常运转。</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五、关于克州二中2020年一般公共预算当年拨款情况说明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克州二中2020年一般公共预算拨款基本支出3124.59万元，比上年执行数减少</w:t>
      </w:r>
      <w:r>
        <w:rPr>
          <w:rFonts w:hint="eastAsia" w:ascii="仿宋_GB2312" w:hAnsi="宋体" w:eastAsia="仿宋_GB2312" w:cs="宋体"/>
          <w:color w:val="000000" w:themeColor="text1"/>
          <w:kern w:val="0"/>
          <w:sz w:val="32"/>
          <w:szCs w:val="32"/>
          <w14:textFill>
            <w14:solidFill>
              <w14:schemeClr w14:val="tx1"/>
            </w14:solidFill>
          </w14:textFill>
        </w:rPr>
        <w:t>1002.16</w:t>
      </w:r>
      <w:r>
        <w:rPr>
          <w:rFonts w:hint="eastAsia" w:ascii="仿宋_GB2312" w:hAnsi="宋体" w:eastAsia="仿宋_GB2312" w:cs="宋体"/>
          <w:kern w:val="0"/>
          <w:sz w:val="32"/>
          <w:szCs w:val="32"/>
        </w:rPr>
        <w:t>万元，下降32.73%。主要原因是：</w:t>
      </w:r>
      <w:r>
        <w:rPr>
          <w:rFonts w:hint="eastAsia" w:ascii="仿宋_GB2312" w:hAnsi="宋体" w:eastAsia="仿宋_GB2312" w:cs="宋体"/>
          <w:color w:val="000000" w:themeColor="text1"/>
          <w:kern w:val="0"/>
          <w:sz w:val="32"/>
          <w:szCs w:val="32"/>
          <w14:textFill>
            <w14:solidFill>
              <w14:schemeClr w14:val="tx1"/>
            </w14:solidFill>
          </w14:textFill>
        </w:rPr>
        <w:t xml:space="preserve">2019年拨入2018年的精神文明奖和效能考核奖励工资253.2万元、2019年度高中学生助学金301.39万元、2019年效能考核奖励工资279万元；财政2020年减少对我单位公用经费安排力度，我单位本着勤俭节约的原则，严格控制各项支出。    </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1.一般公共服务（类）0</w:t>
      </w:r>
      <w:r>
        <w:rPr>
          <w:rFonts w:hint="eastAsia" w:ascii="仿宋_GB2312" w:hAnsi="宋体" w:eastAsia="仿宋_GB2312" w:cs="宋体"/>
          <w:kern w:val="0"/>
          <w:sz w:val="32"/>
          <w:szCs w:val="32"/>
        </w:rPr>
        <w:t>万元，占0%。</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2.</w:t>
      </w:r>
      <w:r>
        <w:rPr>
          <w:rFonts w:hint="eastAsia" w:ascii="仿宋_GB2312" w:hAnsi="宋体" w:eastAsia="仿宋_GB2312" w:cs="宋体"/>
          <w:color w:val="000000" w:themeColor="text1"/>
          <w:kern w:val="0"/>
          <w:sz w:val="32"/>
          <w:szCs w:val="32"/>
          <w14:textFill>
            <w14:solidFill>
              <w14:schemeClr w14:val="tx1"/>
            </w14:solidFill>
          </w14:textFill>
        </w:rPr>
        <w:t>教育支出（类）3139.39万元，占100%。</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其中：其他教育支出14.80万元，占0.47%，是指寄宿生住宿费。</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高中教育3124.59万元，占99.53%，是指人员经费支出和公用经费支出。</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1.</w:t>
      </w:r>
      <w:r>
        <w:rPr>
          <w:rFonts w:hint="eastAsia" w:ascii="仿宋_GB2312" w:hAnsi="宋体" w:eastAsia="仿宋_GB2312" w:cs="宋体"/>
          <w:color w:val="000000" w:themeColor="text1"/>
          <w:kern w:val="0"/>
          <w:sz w:val="32"/>
          <w:szCs w:val="32"/>
          <w14:textFill>
            <w14:solidFill>
              <w14:schemeClr w14:val="tx1"/>
            </w14:solidFill>
          </w14:textFill>
        </w:rPr>
        <w:t>例：</w:t>
      </w:r>
      <w:r>
        <w:rPr>
          <w:rFonts w:ascii="仿宋_GB2312" w:hAnsi="宋体" w:eastAsia="仿宋_GB2312" w:cs="宋体"/>
          <w:color w:val="000000" w:themeColor="text1"/>
          <w:kern w:val="0"/>
          <w:sz w:val="32"/>
          <w:szCs w:val="32"/>
          <w14:textFill>
            <w14:solidFill>
              <w14:schemeClr w14:val="tx1"/>
            </w14:solidFill>
          </w14:textFill>
        </w:rPr>
        <w:t>一般公共服务（类）财政事务（款）行政运行（项）:</w:t>
      </w:r>
      <w:r>
        <w:rPr>
          <w:rFonts w:hint="eastAsia" w:ascii="仿宋_GB2312" w:hAnsi="宋体" w:eastAsia="仿宋_GB2312" w:cs="宋体"/>
          <w:color w:val="000000" w:themeColor="text1"/>
          <w:kern w:val="0"/>
          <w:sz w:val="32"/>
          <w:szCs w:val="32"/>
          <w14:textFill>
            <w14:solidFill>
              <w14:schemeClr w14:val="tx1"/>
            </w14:solidFill>
          </w14:textFill>
        </w:rPr>
        <w:t>2020年</w:t>
      </w:r>
      <w:r>
        <w:rPr>
          <w:rFonts w:ascii="仿宋_GB2312" w:hAnsi="宋体" w:eastAsia="仿宋_GB2312" w:cs="宋体"/>
          <w:color w:val="000000" w:themeColor="text1"/>
          <w:kern w:val="0"/>
          <w:sz w:val="32"/>
          <w:szCs w:val="32"/>
          <w14:textFill>
            <w14:solidFill>
              <w14:schemeClr w14:val="tx1"/>
            </w14:solidFill>
          </w14:textFill>
        </w:rPr>
        <w:t>预算数为</w:t>
      </w:r>
      <w:r>
        <w:rPr>
          <w:rFonts w:hint="eastAsia" w:ascii="仿宋_GB2312" w:hAnsi="宋体" w:eastAsia="仿宋_GB2312" w:cs="宋体"/>
          <w:color w:val="000000" w:themeColor="text1"/>
          <w:kern w:val="0"/>
          <w:sz w:val="32"/>
          <w:szCs w:val="32"/>
          <w14:textFill>
            <w14:solidFill>
              <w14:schemeClr w14:val="tx1"/>
            </w14:solidFill>
          </w14:textFill>
        </w:rPr>
        <w:t>0</w:t>
      </w:r>
      <w:r>
        <w:rPr>
          <w:rFonts w:ascii="仿宋_GB2312" w:hAnsi="宋体" w:eastAsia="仿宋_GB2312" w:cs="宋体"/>
          <w:color w:val="000000" w:themeColor="text1"/>
          <w:kern w:val="0"/>
          <w:sz w:val="32"/>
          <w:szCs w:val="32"/>
          <w14:textFill>
            <w14:solidFill>
              <w14:schemeClr w14:val="tx1"/>
            </w14:solidFill>
          </w14:textFill>
        </w:rPr>
        <w:t>万元，</w:t>
      </w:r>
      <w:r>
        <w:rPr>
          <w:rFonts w:hint="eastAsia" w:ascii="仿宋_GB2312" w:hAnsi="宋体" w:eastAsia="仿宋_GB2312" w:cs="宋体"/>
          <w:color w:val="000000" w:themeColor="text1"/>
          <w:kern w:val="0"/>
          <w:sz w:val="32"/>
          <w:szCs w:val="32"/>
          <w14:textFill>
            <w14:solidFill>
              <w14:schemeClr w14:val="tx1"/>
            </w14:solidFill>
          </w14:textFill>
        </w:rPr>
        <w:t>比上年执行数增加（减少）    万元，增长（下降）0%，主要原因是：我单位未安排</w:t>
      </w:r>
      <w:r>
        <w:rPr>
          <w:rFonts w:ascii="仿宋_GB2312" w:hAnsi="宋体" w:eastAsia="仿宋_GB2312" w:cs="宋体"/>
          <w:color w:val="000000" w:themeColor="text1"/>
          <w:kern w:val="0"/>
          <w:sz w:val="32"/>
          <w:szCs w:val="32"/>
          <w14:textFill>
            <w14:solidFill>
              <w14:schemeClr w14:val="tx1"/>
            </w14:solidFill>
          </w14:textFill>
        </w:rPr>
        <w:t>一般公共服务（类）财政事务（款）行政运行（项）</w:t>
      </w:r>
      <w:r>
        <w:rPr>
          <w:rFonts w:hint="eastAsia" w:ascii="仿宋_GB2312" w:hAnsi="宋体" w:eastAsia="仿宋_GB2312" w:cs="宋体"/>
          <w:color w:val="000000" w:themeColor="text1"/>
          <w:kern w:val="0"/>
          <w:sz w:val="32"/>
          <w:szCs w:val="32"/>
          <w14:textFill>
            <w14:solidFill>
              <w14:schemeClr w14:val="tx1"/>
            </w14:solidFill>
          </w14:textFill>
        </w:rPr>
        <w:t xml:space="preserve">。     </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2.教育支出（类）普通教育（款）高中教育（项）:2020年</w:t>
      </w:r>
      <w:r>
        <w:rPr>
          <w:rFonts w:ascii="仿宋_GB2312" w:hAnsi="宋体" w:eastAsia="仿宋_GB2312" w:cs="宋体"/>
          <w:color w:val="000000" w:themeColor="text1"/>
          <w:kern w:val="0"/>
          <w:sz w:val="32"/>
          <w:szCs w:val="32"/>
          <w14:textFill>
            <w14:solidFill>
              <w14:schemeClr w14:val="tx1"/>
            </w14:solidFill>
          </w14:textFill>
        </w:rPr>
        <w:t>预算数为</w:t>
      </w:r>
      <w:r>
        <w:rPr>
          <w:rFonts w:hint="eastAsia" w:ascii="仿宋_GB2312" w:hAnsi="宋体" w:eastAsia="仿宋_GB2312" w:cs="宋体"/>
          <w:color w:val="000000" w:themeColor="text1"/>
          <w:kern w:val="0"/>
          <w:sz w:val="32"/>
          <w:szCs w:val="32"/>
          <w14:textFill>
            <w14:solidFill>
              <w14:schemeClr w14:val="tx1"/>
            </w14:solidFill>
          </w14:textFill>
        </w:rPr>
        <w:t>3887.16</w:t>
      </w:r>
      <w:r>
        <w:rPr>
          <w:rFonts w:ascii="仿宋_GB2312" w:hAnsi="宋体" w:eastAsia="仿宋_GB2312" w:cs="宋体"/>
          <w:color w:val="000000" w:themeColor="text1"/>
          <w:kern w:val="0"/>
          <w:sz w:val="32"/>
          <w:szCs w:val="32"/>
          <w14:textFill>
            <w14:solidFill>
              <w14:schemeClr w14:val="tx1"/>
            </w14:solidFill>
          </w14:textFill>
        </w:rPr>
        <w:t>万元，</w:t>
      </w:r>
      <w:r>
        <w:rPr>
          <w:rFonts w:hint="eastAsia" w:ascii="仿宋_GB2312" w:hAnsi="宋体" w:eastAsia="仿宋_GB2312" w:cs="宋体"/>
          <w:color w:val="000000" w:themeColor="text1"/>
          <w:kern w:val="0"/>
          <w:sz w:val="32"/>
          <w:szCs w:val="32"/>
          <w14:textFill>
            <w14:solidFill>
              <w14:schemeClr w14:val="tx1"/>
            </w14:solidFill>
          </w14:textFill>
        </w:rPr>
        <w:t>比上年执行数增加104.02万元，增长2.68%，主要原因是：2020年预算未安排2019年新聘教师工资。</w:t>
      </w:r>
    </w:p>
    <w:p>
      <w:pPr>
        <w:spacing w:line="560" w:lineRule="exact"/>
        <w:ind w:firstLine="640" w:firstLineChars="200"/>
        <w:rPr>
          <w:rFonts w:ascii="楷体_GB2312" w:hAnsi="宋体" w:eastAsia="楷体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3.教育支出（类）普通教育（款）其他教育支出（项）:2020年</w:t>
      </w:r>
      <w:r>
        <w:rPr>
          <w:rFonts w:ascii="仿宋_GB2312" w:hAnsi="宋体" w:eastAsia="仿宋_GB2312" w:cs="宋体"/>
          <w:color w:val="000000" w:themeColor="text1"/>
          <w:kern w:val="0"/>
          <w:sz w:val="32"/>
          <w:szCs w:val="32"/>
          <w14:textFill>
            <w14:solidFill>
              <w14:schemeClr w14:val="tx1"/>
            </w14:solidFill>
          </w14:textFill>
        </w:rPr>
        <w:t>预算数为</w:t>
      </w:r>
      <w:r>
        <w:rPr>
          <w:rFonts w:hint="eastAsia" w:ascii="仿宋_GB2312" w:hAnsi="宋体" w:eastAsia="仿宋_GB2312" w:cs="宋体"/>
          <w:color w:val="000000" w:themeColor="text1"/>
          <w:kern w:val="0"/>
          <w:sz w:val="32"/>
          <w:szCs w:val="32"/>
          <w14:textFill>
            <w14:solidFill>
              <w14:schemeClr w14:val="tx1"/>
            </w14:solidFill>
          </w14:textFill>
        </w:rPr>
        <w:t>14.80</w:t>
      </w:r>
      <w:r>
        <w:rPr>
          <w:rFonts w:ascii="仿宋_GB2312" w:hAnsi="宋体" w:eastAsia="仿宋_GB2312" w:cs="宋体"/>
          <w:color w:val="000000" w:themeColor="text1"/>
          <w:kern w:val="0"/>
          <w:sz w:val="32"/>
          <w:szCs w:val="32"/>
          <w14:textFill>
            <w14:solidFill>
              <w14:schemeClr w14:val="tx1"/>
            </w14:solidFill>
          </w14:textFill>
        </w:rPr>
        <w:t>万元，</w:t>
      </w:r>
      <w:r>
        <w:rPr>
          <w:rFonts w:hint="eastAsia" w:ascii="仿宋_GB2312" w:hAnsi="宋体" w:eastAsia="仿宋_GB2312" w:cs="宋体"/>
          <w:color w:val="000000" w:themeColor="text1"/>
          <w:kern w:val="0"/>
          <w:sz w:val="32"/>
          <w:szCs w:val="32"/>
          <w14:textFill>
            <w14:solidFill>
              <w14:schemeClr w14:val="tx1"/>
            </w14:solidFill>
          </w14:textFill>
        </w:rPr>
        <w:t>比上年执行数增加14.80万元，增长100%，主要原因是：上年未安排教育支出（类）普通教育（款）其他教育支出（项）。</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六、关于克州二中2020年一般公共预算基本支出情况说明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克州二中2020年一般公共预算基本支出3124.59万元， 其中：</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人员经费3002.63万元，主要包括：基本工资951.51万元、津贴补贴1166.13万元、奖金79.29万元</w:t>
      </w:r>
      <w:r>
        <w:rPr>
          <w:rFonts w:hint="eastAsia" w:ascii="仿宋_GB2312" w:hAnsi="宋体" w:eastAsia="仿宋_GB2312" w:cs="宋体"/>
          <w:color w:val="000000" w:themeColor="text1"/>
          <w:kern w:val="0"/>
          <w:sz w:val="32"/>
          <w:szCs w:val="32"/>
          <w14:textFill>
            <w14:solidFill>
              <w14:schemeClr w14:val="tx1"/>
            </w14:solidFill>
          </w14:textFill>
        </w:rPr>
        <w:t>、机关事业单位基本养老保险缴费308.49万元、其他社会保障缴费160.14万元、住房公积金223.01万元、退休费68.09万元、生活补助2.22万元、助学金37万元、奖励金6.75万元等。</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公用经费121.97万元，主要包括：取暖费84.30万元、工会经费13.45万元、福利费24.21万元等。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七、关于克州二中2020年项目支出情况说明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w:t>
      </w:r>
      <w:r>
        <w:rPr>
          <w:rFonts w:ascii="仿宋_GB2312" w:hAnsi="黑体" w:eastAsia="仿宋_GB2312"/>
          <w:b/>
          <w:sz w:val="32"/>
          <w:szCs w:val="32"/>
        </w:rPr>
        <w:t>）</w:t>
      </w:r>
      <w:r>
        <w:rPr>
          <w:rFonts w:hint="eastAsia" w:ascii="仿宋_GB2312" w:hAnsi="黑体" w:eastAsia="仿宋_GB2312"/>
          <w:b/>
          <w:sz w:val="32"/>
          <w:szCs w:val="32"/>
        </w:rPr>
        <w:t>项目支出、专项业务费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：寄宿生住宿费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：根据州财政局相关政策</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：14.8万元</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：克州二中</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：主要用于学校运行水费、电费</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：2020年1月至12月</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w:t>
      </w:r>
      <w:r>
        <w:rPr>
          <w:rFonts w:ascii="仿宋_GB2312" w:hAnsi="宋体" w:eastAsia="仿宋_GB2312"/>
          <w:b/>
          <w:spacing w:val="-8"/>
          <w:sz w:val="32"/>
          <w:szCs w:val="22"/>
        </w:rPr>
        <w:t>对个人补贴的项目支出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补贴人数</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发放程序：</w:t>
      </w:r>
      <w:r>
        <w:rPr>
          <w:rFonts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八、关于克州二中2020年一般公共预算“三公”经费预算情况说明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克州二中2020年“三公”经费财政拨款预算数为0万元，其中：因公出国（境）费0万元，公务用车购置0万元，公务用车运行费0万元，公务接待费0万元。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0万元，其中：因公出国（境）费增加（减少）0万元，主要原因是未安排预算；公务用车购置费为0万元，未安排预算。[或公务用车购置费增加（减少）0万元，主要原因是未安排预算]；公务用车运行费增加（减少）0万元，主要原因是未安排预算；公务接待费增加（减少）0万元，主要原因是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九、关于克州二中2020年政府性基金预算拨款情况说明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克州二中2020年没有使用政府性基金预算拨款安排的支出，政府性基金预算支出情况表为空表。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2020年，克州二中本级及下属0家行政单位和0家事业单位的机关运行经费财政拨款预算121.97万元，比上年预算减少0.18万元，下降0.15%。主要原因是</w:t>
      </w:r>
      <w:r>
        <w:rPr>
          <w:rFonts w:hint="eastAsia" w:ascii="仿宋_GB2312" w:hAnsi="宋体" w:eastAsia="仿宋_GB2312" w:cs="宋体"/>
          <w:color w:val="000000" w:themeColor="text1"/>
          <w:kern w:val="0"/>
          <w:sz w:val="32"/>
          <w:szCs w:val="32"/>
          <w14:textFill>
            <w14:solidFill>
              <w14:schemeClr w14:val="tx1"/>
            </w14:solidFill>
          </w14:textFill>
        </w:rPr>
        <w:t>2020年我单位劳务费、专用材料费、差旅费、办公费、水电费、邮电费、培训费、维修(护)费等支出使用高中免学费公用经费专项和城乡义务教育补助资金专项，高中免学费公用经费专项和城乡义务教育补助资金专项预算列入上级专项收入。</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2020年，克州二中及下属单位政府采购预算</w:t>
      </w:r>
      <w:r>
        <w:rPr>
          <w:rFonts w:hint="eastAsia" w:ascii="仿宋_GB2312" w:hAnsi="宋体" w:eastAsia="仿宋_GB2312" w:cs="宋体"/>
          <w:color w:val="000000" w:themeColor="text1"/>
          <w:kern w:val="0"/>
          <w:sz w:val="32"/>
          <w:szCs w:val="32"/>
          <w14:textFill>
            <w14:solidFill>
              <w14:schemeClr w14:val="tx1"/>
            </w14:solidFill>
          </w14:textFill>
        </w:rPr>
        <w:t>254.38</w:t>
      </w:r>
      <w:r>
        <w:rPr>
          <w:rFonts w:hint="eastAsia" w:ascii="仿宋_GB2312" w:hAnsi="宋体" w:eastAsia="仿宋_GB2312" w:cs="宋体"/>
          <w:kern w:val="0"/>
          <w:sz w:val="32"/>
          <w:szCs w:val="32"/>
        </w:rPr>
        <w:t>万元，其中：政府采购货物预算254.38万元，政府采购工程预算0万元，政府采购服务预算0万元。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2020年度本部门面向中小企业预留政府采购项目预算金额0万元，其中：面向小微企业预留政府采购项目预算金额0万元。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截至2019年底，克州二中及下属各预算单位占用使用国有资产总体情况为：</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kern w:val="0"/>
          <w:sz w:val="32"/>
          <w:szCs w:val="32"/>
        </w:rPr>
        <w:t>1.房屋36,977.25平方米，价值</w:t>
      </w:r>
      <w:r>
        <w:rPr>
          <w:rFonts w:hint="eastAsia" w:ascii="仿宋_GB2312" w:hAnsi="宋体" w:eastAsia="仿宋_GB2312" w:cs="宋体"/>
          <w:color w:val="000000" w:themeColor="text1"/>
          <w:kern w:val="0"/>
          <w:sz w:val="32"/>
          <w:szCs w:val="32"/>
          <w14:textFill>
            <w14:solidFill>
              <w14:schemeClr w14:val="tx1"/>
            </w14:solidFill>
          </w14:textFill>
        </w:rPr>
        <w:t>5884.76万元。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2.车辆1辆，价值19.88万元；其中：一般公务用车1辆，价值0万元；执法执勤用车0辆，价值0万元；其他车辆0辆，价值0万元。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3.办公家具价值180.81万元。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4.其他资产价值500.85万元。</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color w:val="000000" w:themeColor="text1"/>
          <w:kern w:val="0"/>
          <w:sz w:val="32"/>
          <w:szCs w:val="32"/>
          <w14:textFill>
            <w14:solidFill>
              <w14:schemeClr w14:val="tx1"/>
            </w14:solidFill>
          </w14:textFill>
        </w:rPr>
        <w:t>2020年部门预算未安排购置车辆经</w:t>
      </w:r>
      <w:r>
        <w:rPr>
          <w:rFonts w:hint="eastAsia" w:ascii="仿宋_GB2312" w:hAnsi="宋体" w:eastAsia="仿宋_GB2312" w:cs="宋体"/>
          <w:kern w:val="0"/>
          <w:sz w:val="32"/>
          <w:szCs w:val="32"/>
        </w:rPr>
        <w:t>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2020年度，本年度实行绩效管理的项目1个，涉及预算金额14.80万元。具体情况见下表（按项目分别填报）：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240"/>
        <w:gridCol w:w="1277"/>
        <w:gridCol w:w="240"/>
        <w:gridCol w:w="187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27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0"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401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74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克州二中</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75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寄宿生住宿费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14.80　</w:t>
            </w:r>
          </w:p>
        </w:tc>
        <w:tc>
          <w:tcPr>
            <w:tcW w:w="17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2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14.80　</w:t>
            </w:r>
          </w:p>
        </w:tc>
        <w:tc>
          <w:tcPr>
            <w:tcW w:w="211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保障学校正常运转</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ind w:firstLine="180" w:firstLineChars="100"/>
              <w:jc w:val="left"/>
              <w:rPr>
                <w:rFonts w:ascii="宋体" w:hAnsi="宋体" w:cs="宋体"/>
                <w:kern w:val="0"/>
                <w:sz w:val="18"/>
                <w:szCs w:val="18"/>
              </w:rPr>
            </w:pPr>
            <w:r>
              <w:rPr>
                <w:rFonts w:hint="eastAsia" w:ascii="宋体" w:hAnsi="宋体" w:cs="宋体"/>
                <w:kern w:val="0"/>
                <w:sz w:val="18"/>
                <w:szCs w:val="18"/>
              </w:rPr>
              <w:t>寄宿生住宿费投入数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缴费完成时间</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≥1月&amp;&amp;≤6月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资金使用时间</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≥1月&amp;&amp;≤12月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缴费总次数</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缴费完成率</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生均财政投入人数</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≤740人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生均投入金额</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=200元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学生对学校满意度</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0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家长对学校满意度</w:t>
            </w:r>
          </w:p>
        </w:tc>
        <w:tc>
          <w:tcPr>
            <w:tcW w:w="451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ascii="仿宋_GB2312" w:hAnsi="宋体" w:eastAsia="仿宋_GB2312" w:cs="宋体"/>
          <w:kern w:val="0"/>
          <w:sz w:val="32"/>
          <w:szCs w:val="32"/>
        </w:rPr>
        <w:t>……</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440" w:hanging="5440" w:hangingChars="1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克孜勒苏柯尔克孜自治州第二中学                           2020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- 2 -</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- 2 -</w:t>
                    </w:r>
                    <w:r>
                      <w:rPr>
                        <w:rFonts w:hint="eastAsia"/>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32AE8"/>
    <w:rsid w:val="000343F0"/>
    <w:rsid w:val="000D56B0"/>
    <w:rsid w:val="001055FE"/>
    <w:rsid w:val="00106382"/>
    <w:rsid w:val="00114DEC"/>
    <w:rsid w:val="001934F0"/>
    <w:rsid w:val="002073A5"/>
    <w:rsid w:val="00324290"/>
    <w:rsid w:val="00387451"/>
    <w:rsid w:val="00423C44"/>
    <w:rsid w:val="00432267"/>
    <w:rsid w:val="00481CD5"/>
    <w:rsid w:val="004A3D38"/>
    <w:rsid w:val="005C42E0"/>
    <w:rsid w:val="008160EE"/>
    <w:rsid w:val="008B5CC9"/>
    <w:rsid w:val="009D0AA2"/>
    <w:rsid w:val="00B22D8A"/>
    <w:rsid w:val="00BB70DB"/>
    <w:rsid w:val="00D039A0"/>
    <w:rsid w:val="00D06D6F"/>
    <w:rsid w:val="00D333B6"/>
    <w:rsid w:val="00D5637C"/>
    <w:rsid w:val="00DD1992"/>
    <w:rsid w:val="00E27E92"/>
    <w:rsid w:val="00E469CA"/>
    <w:rsid w:val="00E7167C"/>
    <w:rsid w:val="01CA22CE"/>
    <w:rsid w:val="037570C3"/>
    <w:rsid w:val="04BE7507"/>
    <w:rsid w:val="052D4F3D"/>
    <w:rsid w:val="05384E21"/>
    <w:rsid w:val="0685204B"/>
    <w:rsid w:val="06BE7631"/>
    <w:rsid w:val="06D237E6"/>
    <w:rsid w:val="075D4CC4"/>
    <w:rsid w:val="07B321E8"/>
    <w:rsid w:val="07BD5D62"/>
    <w:rsid w:val="07C10A92"/>
    <w:rsid w:val="07C86ABE"/>
    <w:rsid w:val="08C803B8"/>
    <w:rsid w:val="08CF5DAB"/>
    <w:rsid w:val="090A47BB"/>
    <w:rsid w:val="097545CB"/>
    <w:rsid w:val="0AD2111F"/>
    <w:rsid w:val="0B4876B9"/>
    <w:rsid w:val="0B8F4DC5"/>
    <w:rsid w:val="0BFD11DD"/>
    <w:rsid w:val="0C646998"/>
    <w:rsid w:val="0D734A14"/>
    <w:rsid w:val="0D7F44B1"/>
    <w:rsid w:val="0F284287"/>
    <w:rsid w:val="10030D95"/>
    <w:rsid w:val="106812B6"/>
    <w:rsid w:val="10735E2D"/>
    <w:rsid w:val="11BC6C93"/>
    <w:rsid w:val="13FF701E"/>
    <w:rsid w:val="144F79F7"/>
    <w:rsid w:val="170E2116"/>
    <w:rsid w:val="18236EE5"/>
    <w:rsid w:val="18A5755C"/>
    <w:rsid w:val="18D46DA9"/>
    <w:rsid w:val="18DF360C"/>
    <w:rsid w:val="19455C5D"/>
    <w:rsid w:val="195B5248"/>
    <w:rsid w:val="198F6349"/>
    <w:rsid w:val="19AA4A46"/>
    <w:rsid w:val="1A3031DB"/>
    <w:rsid w:val="1ACE627E"/>
    <w:rsid w:val="1ADA6E7D"/>
    <w:rsid w:val="1B030BF5"/>
    <w:rsid w:val="1B965A93"/>
    <w:rsid w:val="1BB416CA"/>
    <w:rsid w:val="1D9F50A9"/>
    <w:rsid w:val="1DD9540C"/>
    <w:rsid w:val="1DFB137F"/>
    <w:rsid w:val="1E00264F"/>
    <w:rsid w:val="1E5E3FBE"/>
    <w:rsid w:val="20380B5E"/>
    <w:rsid w:val="20F00970"/>
    <w:rsid w:val="21192953"/>
    <w:rsid w:val="21BD0786"/>
    <w:rsid w:val="224A11C7"/>
    <w:rsid w:val="22C93FD0"/>
    <w:rsid w:val="243320C1"/>
    <w:rsid w:val="24BE01E6"/>
    <w:rsid w:val="25474EF0"/>
    <w:rsid w:val="2568480D"/>
    <w:rsid w:val="2570102B"/>
    <w:rsid w:val="25A85500"/>
    <w:rsid w:val="265815A5"/>
    <w:rsid w:val="28803A29"/>
    <w:rsid w:val="28EF33CA"/>
    <w:rsid w:val="2AE30DF3"/>
    <w:rsid w:val="2C2D5E3D"/>
    <w:rsid w:val="2C8A0836"/>
    <w:rsid w:val="2D305B9D"/>
    <w:rsid w:val="2DBF21C6"/>
    <w:rsid w:val="2E226314"/>
    <w:rsid w:val="2E691007"/>
    <w:rsid w:val="2F575E7E"/>
    <w:rsid w:val="2FA37800"/>
    <w:rsid w:val="2FCE441A"/>
    <w:rsid w:val="303D5DA6"/>
    <w:rsid w:val="304E5DF1"/>
    <w:rsid w:val="3084473E"/>
    <w:rsid w:val="308D46D1"/>
    <w:rsid w:val="31593C57"/>
    <w:rsid w:val="31910BA3"/>
    <w:rsid w:val="323F63B6"/>
    <w:rsid w:val="32C246A9"/>
    <w:rsid w:val="32C276F2"/>
    <w:rsid w:val="334F6376"/>
    <w:rsid w:val="33B22A7B"/>
    <w:rsid w:val="340D44F4"/>
    <w:rsid w:val="34394725"/>
    <w:rsid w:val="349F76DC"/>
    <w:rsid w:val="34C31F4E"/>
    <w:rsid w:val="352B7D60"/>
    <w:rsid w:val="352E0FD0"/>
    <w:rsid w:val="36CC5359"/>
    <w:rsid w:val="371B297B"/>
    <w:rsid w:val="37EF62AE"/>
    <w:rsid w:val="38876EEA"/>
    <w:rsid w:val="395A0D23"/>
    <w:rsid w:val="39B22FA3"/>
    <w:rsid w:val="39C54796"/>
    <w:rsid w:val="39C84B9C"/>
    <w:rsid w:val="39E63A81"/>
    <w:rsid w:val="39FE5A30"/>
    <w:rsid w:val="3A1E158A"/>
    <w:rsid w:val="3C490275"/>
    <w:rsid w:val="3E0D3F22"/>
    <w:rsid w:val="3E3A697C"/>
    <w:rsid w:val="3ED34B7C"/>
    <w:rsid w:val="3EDE18BD"/>
    <w:rsid w:val="3F511BCD"/>
    <w:rsid w:val="3F66228B"/>
    <w:rsid w:val="3FCE4381"/>
    <w:rsid w:val="40911327"/>
    <w:rsid w:val="40EF6AD2"/>
    <w:rsid w:val="45057F6E"/>
    <w:rsid w:val="4612214D"/>
    <w:rsid w:val="46BB10C5"/>
    <w:rsid w:val="47096CDA"/>
    <w:rsid w:val="47F969FD"/>
    <w:rsid w:val="485C6469"/>
    <w:rsid w:val="4896020B"/>
    <w:rsid w:val="4924640A"/>
    <w:rsid w:val="493435A9"/>
    <w:rsid w:val="49511D26"/>
    <w:rsid w:val="495A5B78"/>
    <w:rsid w:val="499C40DE"/>
    <w:rsid w:val="49E30F77"/>
    <w:rsid w:val="4A3D6566"/>
    <w:rsid w:val="4AC1057F"/>
    <w:rsid w:val="4C151538"/>
    <w:rsid w:val="4C3D37CB"/>
    <w:rsid w:val="4C8D110F"/>
    <w:rsid w:val="4CC537B7"/>
    <w:rsid w:val="4D361055"/>
    <w:rsid w:val="4D515074"/>
    <w:rsid w:val="4D6E3EBE"/>
    <w:rsid w:val="4DA14A40"/>
    <w:rsid w:val="4E6276A5"/>
    <w:rsid w:val="4E677EA0"/>
    <w:rsid w:val="4EB43373"/>
    <w:rsid w:val="51D1582A"/>
    <w:rsid w:val="52BF0CC1"/>
    <w:rsid w:val="533E24CA"/>
    <w:rsid w:val="539E1618"/>
    <w:rsid w:val="54562544"/>
    <w:rsid w:val="54654FD7"/>
    <w:rsid w:val="54B46ECB"/>
    <w:rsid w:val="54D762B3"/>
    <w:rsid w:val="556C13FE"/>
    <w:rsid w:val="568B35F9"/>
    <w:rsid w:val="56A74825"/>
    <w:rsid w:val="574B4906"/>
    <w:rsid w:val="57873DFD"/>
    <w:rsid w:val="58532D5D"/>
    <w:rsid w:val="59E1571D"/>
    <w:rsid w:val="5A104FB4"/>
    <w:rsid w:val="5BC937DC"/>
    <w:rsid w:val="5CDC58D6"/>
    <w:rsid w:val="5D736584"/>
    <w:rsid w:val="5DBA49E2"/>
    <w:rsid w:val="5F192B40"/>
    <w:rsid w:val="601D1328"/>
    <w:rsid w:val="60545CE1"/>
    <w:rsid w:val="618D04C0"/>
    <w:rsid w:val="61DF216B"/>
    <w:rsid w:val="61E221A8"/>
    <w:rsid w:val="62EC1692"/>
    <w:rsid w:val="63BF6303"/>
    <w:rsid w:val="658A6F2B"/>
    <w:rsid w:val="661E785F"/>
    <w:rsid w:val="67045849"/>
    <w:rsid w:val="676110AF"/>
    <w:rsid w:val="676D1B20"/>
    <w:rsid w:val="680850EE"/>
    <w:rsid w:val="687D7A50"/>
    <w:rsid w:val="68836335"/>
    <w:rsid w:val="692E24C5"/>
    <w:rsid w:val="69B836D2"/>
    <w:rsid w:val="6A74424F"/>
    <w:rsid w:val="6AFA2CFE"/>
    <w:rsid w:val="6B116957"/>
    <w:rsid w:val="6C8D1B3F"/>
    <w:rsid w:val="6CB6497B"/>
    <w:rsid w:val="6F2562CB"/>
    <w:rsid w:val="6F835102"/>
    <w:rsid w:val="6F986CCF"/>
    <w:rsid w:val="6FE51A7F"/>
    <w:rsid w:val="700668AD"/>
    <w:rsid w:val="70E219F3"/>
    <w:rsid w:val="7229400C"/>
    <w:rsid w:val="739E5EB6"/>
    <w:rsid w:val="73C122C3"/>
    <w:rsid w:val="740157E2"/>
    <w:rsid w:val="74931C9E"/>
    <w:rsid w:val="760E0D0D"/>
    <w:rsid w:val="76F179F6"/>
    <w:rsid w:val="77A57B27"/>
    <w:rsid w:val="781652D5"/>
    <w:rsid w:val="781C6E18"/>
    <w:rsid w:val="783F2851"/>
    <w:rsid w:val="79661A07"/>
    <w:rsid w:val="7A4120D5"/>
    <w:rsid w:val="7A780713"/>
    <w:rsid w:val="7A9E07EF"/>
    <w:rsid w:val="7B977B47"/>
    <w:rsid w:val="7C1629F4"/>
    <w:rsid w:val="7CB22E7C"/>
    <w:rsid w:val="7E88215D"/>
    <w:rsid w:val="7ED34614"/>
    <w:rsid w:val="7F777BD7"/>
    <w:rsid w:val="7F806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E1117-E8D7-43B2-AC5D-0E7AEC6BDCCE}">
  <ds:schemaRefs/>
</ds:datastoreItem>
</file>

<file path=docProps/app.xml><?xml version="1.0" encoding="utf-8"?>
<Properties xmlns="http://schemas.openxmlformats.org/officeDocument/2006/extended-properties" xmlns:vt="http://schemas.openxmlformats.org/officeDocument/2006/docPropsVTypes">
  <Template>Normal</Template>
  <Pages>23</Pages>
  <Words>1674</Words>
  <Characters>9542</Characters>
  <Lines>79</Lines>
  <Paragraphs>22</Paragraphs>
  <TotalTime>24</TotalTime>
  <ScaleCrop>false</ScaleCrop>
  <LinksUpToDate>false</LinksUpToDate>
  <CharactersWithSpaces>11194</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☞拿什麽等待你☜</cp:lastModifiedBy>
  <cp:lastPrinted>2020-11-23T04:33:00Z</cp:lastPrinted>
  <dcterms:modified xsi:type="dcterms:W3CDTF">2020-11-23T11:57:53Z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