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sz w:val="44"/>
          <w:szCs w:val="44"/>
          <w:lang w:val="en-US" w:eastAsia="zh-CN"/>
        </w:rPr>
      </w:pPr>
      <w:r>
        <w:rPr>
          <w:rFonts w:hint="eastAsia" w:ascii="黑体" w:hAnsi="黑体" w:eastAsia="黑体" w:cs="黑体"/>
          <w:b w:val="0"/>
          <w:sz w:val="32"/>
          <w:szCs w:val="32"/>
          <w:lang w:val="en-US" w:eastAsia="zh-CN"/>
        </w:rPr>
        <w:t>附件4</w:t>
      </w:r>
    </w:p>
    <w:p>
      <w:pPr>
        <w:jc w:val="center"/>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2023年自治区安全生产执法检查重点事项指导目录（非煤矿山企业）</w:t>
      </w:r>
    </w:p>
    <w:tbl>
      <w:tblPr>
        <w:tblStyle w:val="5"/>
        <w:tblW w:w="13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5"/>
        <w:gridCol w:w="3"/>
        <w:gridCol w:w="910"/>
        <w:gridCol w:w="394"/>
        <w:gridCol w:w="595"/>
        <w:gridCol w:w="3449"/>
        <w:gridCol w:w="3234"/>
        <w:gridCol w:w="22"/>
        <w:gridCol w:w="2932"/>
        <w:gridCol w:w="1724"/>
        <w:gridCol w:w="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93" w:hRule="atLeast"/>
          <w:tblHeader/>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执法检查重点事项内容</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检查依据</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有关规范性文件及标准要求</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处罚依据</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585" w:hRule="atLeast"/>
        </w:trPr>
        <w:tc>
          <w:tcPr>
            <w:tcW w:w="13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金属非金属地下矿山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w:t>
            </w:r>
          </w:p>
        </w:tc>
        <w:tc>
          <w:tcPr>
            <w:tcW w:w="189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1.1安全生产许可证取得</w:t>
            </w:r>
          </w:p>
        </w:tc>
        <w:tc>
          <w:tcPr>
            <w:tcW w:w="344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《安全生产许可证条例》第二条  国家对矿山企业、建筑施工企业和危险化学品、烟花爆竹、民用爆炸物品生产企业（以下统称企业）实行安全生产许可制度。</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企业未取得安全生产许可证的，不得从事生产活动。</w:t>
            </w:r>
          </w:p>
        </w:tc>
        <w:tc>
          <w:tcPr>
            <w:tcW w:w="325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《安全生产许可证条例》第十九条  违反本条例规定，未取得安全生产许可证擅自进行生产的，责令停止生产，没收违法所得，并处10万元以上50万元以下的罚款；造成重大事故或者其他严重后果，构成犯罪的，依法追究刑事责任。</w:t>
            </w:r>
          </w:p>
        </w:tc>
        <w:tc>
          <w:tcPr>
            <w:tcW w:w="172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144" w:hRule="atLeast"/>
        </w:trPr>
        <w:tc>
          <w:tcPr>
            <w:tcW w:w="68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16"/>
                <w:szCs w:val="16"/>
                <w:u w:val="none"/>
                <w:lang w:val="en-US" w:eastAsia="zh-CN" w:bidi="ar"/>
              </w:rPr>
            </w:pP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1.2 安全生产许可证延期</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《安全生产许可证条例》第九条  安全生产许可证的有效期为3年。安全生产许可证有效期满需要延期的，企业应当于期满前3个月向原安全生产许可证颁发管理机关办理延期手续。</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979" w:hRule="atLeast"/>
        </w:trPr>
        <w:tc>
          <w:tcPr>
            <w:tcW w:w="68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1.3 安全生产许可证变更</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《非煤矿矿山企业安全生产许可证实施办法》(国家安全生产监督管理总局令第20号)第二十一条  非煤矿矿山企业在安全生产许可证有效期内有下列情形之一的，应当自工商营业执照变更之日起30个工作日内向原安全生产许可证颁发管理机关申请变更安全生产许可证：</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（一）变更单位名称的；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（二）变更主要负责人的；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（三）变更单位地址的；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（四）变更经济类型的；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（五）变更许可范围的。</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《非煤矿矿山企业安全生产许可证实施办法》(国家安全生产监督管理总局令第20号)第四十四条  非煤矿矿山企业在安全生产许可证有效期内，出现需要变更安全生产许可证的情形，未按本实施办法第二十一条的规定申请、办理变更手续的，责令限期办理变更手续，并处1万元以上3万元以下罚款。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745" w:hRule="atLeast"/>
        </w:trPr>
        <w:tc>
          <w:tcPr>
            <w:tcW w:w="68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1.4因采矿许可证到期及被暂扣、撤销、吊销和注销等交回安全生产许可证</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《非煤矿矿山企业安全生产许可证条例实施办法》(国家安全生产监督管理总局令第20号)第二十八条  非煤矿矿山企业发现在安全生产许可证有效期内采矿许可证到期失效的，应当在采矿许可证到期前15日内向原安全生产许可证颁发管理机关报告，并交回安全生产许可证正本和副本。</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采矿许可证被暂扣、撤销、吊销和注销的，非煤矿矿山企业应当在暂扣、撤销、吊销和注销后5日内向原安全生产许可证颁发管理机关报告，并交回安全生产许可证正本和副本。</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《非煤矿矿山企业安全生产许可证条例实施办法》(国家安全生产监督管理总局令第20号)第四十三条  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169" w:hRule="atLeast"/>
        </w:trPr>
        <w:tc>
          <w:tcPr>
            <w:tcW w:w="688"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1.5 转让、冒用安全生产许可证或者使用伪造的安全生产许可证</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《安全生产许可证条例》第十三条  企业不得转让、冒用安全生产许可证或者使用伪造的安全生产许可证。</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《安全生产许可证条例》第二十一条  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冒用安全生产许可证或者使用伪造的安全生产许可证的，依照本条例第十九条的规定处罚。</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8185"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基本图纸及与实际符合情况</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未保存基本图纸或图实不符</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    ……</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《金属非金属矿山安全规程》（GB16423-2020）4.1.10地下矿山应保存下列图纸，并根据实际情况的变化及时更新：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———矿区地形地质图、水文地质图（含平面和剖面）；</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———开拓系统图；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———中段平面图；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———通风系统图；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———井上、井下对排照图；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———压风、供水、排水系统图；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———通信系统图；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———供配电系统图；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———井下避灾路线图；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———相邻采区或矿山本矿山空间位置关系图。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图中应正确标记：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———已掘进巷道和计划掘进巷道的位置、名称、规格；</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———采空区和已充填采空区、废弃井巷和设计开采的采位的位置、名称与尺寸；</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———通风、防尘、防火、防水、排水等主要设备和设施的位置；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———风流方向，人员安全撤离的路线和安全出口；</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———井下通信设备位置；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———采空区及废弃井巷的处理方式、进度、现状及地表塌陷区的位置。</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按设计执行。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采掘系统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3.1 矿井的安全出口</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《金属非金属矿山安全规程》（GB16423-2020）6.1.1.1矿井的安全出口应符合下列规定：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———每个矿井至少应有两个相互独立、间距不小于30ｍ、直达地面的安全出口；矿体一翼走向长度超过1000ｍ时，此翼应有安全出口；</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———每个生产水平或中段至少应有两个便于行人的安全出口，并应同通往地面的安全出口相通；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———井巷的分道口应有路标，注明其所在地点及通往地面出口的方向；</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———安全出口应定期检查，保证其处于良好状态。</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169"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3.2 出入井管理</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《金属非金属矿山安全规程》（GB16423-2020）4.7.8地下矿山企业应建立健全下井人员出入矿井登记和检查制度。入井人员应随身携带符合安全要求的照明灯具和自救器。</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《安全生产违法行为行政处罚办法》第四十五条  生产经营单位及其主要负责人或者其他人员有下列行为之一的，给予警告，并可以对生产经营单位处1万元以上3万元以下罚款，对其主要负责人、其他有关人员处1千元以上1万元以下的罚款：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（一）违法操作规程或者安全管理规定作业的；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25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3.3 顶板分级管理制度或管控措施</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《金属非金属矿山安全规程》（GB16423-2020）6.3.1.12应建立采场顶板分级管理制度。对顶板不稳固的采场，应有监控手段和处理措施。</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456"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3.4 按设计要求对不稳固岩层采掘支护</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《金属非金属矿山安全规程》（GB16423-2020）6.3.1.12  人员需要进入的采场作业面的顶板和侧面应保持稳定，矿岩不稳固时应采取支护措施。因爆破或其他原因而破坏的支护应及时修复，确认安全后方准作业。</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5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3.5 地压管理</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《金属非金属矿山安全规程》（GB16423-2020）6.3.1.14工程地质复杂、有严重地压活动的矿山，应遵守下列规定：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———设立专门机构或专职人员负责地压管理工作，做好现场监测和预测、预报工作；</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216"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3.6生产作业区采空区处理</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《金属非金属矿山安全规程》（GB16423-2020）6.3.1.15采用空场法采矿的矿山，应采取充填、隔离或强制崩落围岩的措施，及时处理采空区。</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3.7保安矿柱</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《金属非金属矿山安全规程》（GB16423-2020）6.3.1.6应严格保持矿柱（含顶柱、底柱和间柱等）的尺寸、形状和直立度；应有专人检查和管理，确保矿柱的稳定性。</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576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3.8禁止使用空场法采矿（无底柱采矿法）采场内人工装运作业、横撑支柱采矿法</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《国家安全监管总局关于发布金属非金属矿山禁止使用的设备及工艺目录（第一批）的通知》（安监总管一〔2013〕101号）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新建、改建、扩建的金属非金属地下矿山一律禁止使用下列设备及工艺，现有生产地下矿山在用的下列设备及工艺，按照规定时限予以强制淘汰。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18．空场法采矿（无底柱采矿法）采场内人工装运作业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19．横撑支柱采矿法</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968"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3.9禁止使用集中铲装作业时人工装卸矿岩、未安装捕尘装置的干式凿岩作业、主要无轨运输巷道采用人力或畜力运输矿岩</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《国家安全监管总局关于发布金属非金属矿山禁止使用的设备及工艺目录（第二批）的通知》（安监总管一〔2015〕13号）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新建、改建、扩建的矿山从本目录发布之日起，一律禁止使用下列设备及工艺。现有生产矿山在用下列设备及工艺的，按照本目录规定的时限予以强制淘汰。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5. 集中铲装作业时人工装卸矿岩；</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6．未安装捕尘装置的干式凿岩作业；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7．主要无轨运输巷道及露天采场采用人力或畜力运输矿岩</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74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3.10发包单位与外包单位安全生产管理协议</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《中华人民共和国安全生产法》第四十九条　生产经营单位不得将生产经营项目、场所、设备发包或者出租给不具备安全生产条件或者相应资质的单位或者个人。</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1101"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提升系统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4.1过卷保护装置及防坠装置</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《中华人民共和国安全生产法》第三十六条  安全设备的设计、制造、安装、使用、检测、维修、改造和报废，应当符合国家标准或者行业标准。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《金属非金属矿山安全规程》（GB16423-2020）6.4.4.16竖井提升系统应符合下列规定：</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———过卷段应设过卷缓冲装置或者楔形罐道，使过卷容器能够平稳地在过卷段内停住；</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深度大于800ｍ的竖井应设过卷缓冲装置，使过卷容器在缓冲装置内平稳停住，并不再反向下滑或反弹；</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———楔形罐道的楔形部分的斜度为1％；包括较宽部分的直线段在内的长度不小于过卷段高度的2/3；摩擦式提升系统的下行容器应比上行容器提前接触楔形罐道，提前距离不小于1ｍ。</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1"/>
                <w:szCs w:val="21"/>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（二）安全设备的安装、使用、检测、改造和报废不符合国家标准或者行业标准的；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95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4.2提升系统的保护和闭锁连锁装置</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《中华人民共和国安全生产法》第三十六条  安全设备的设计、制造、安装、使用、检测、改造和报废，应当符合国家标准或者行业标准。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《金属非金属矿山安全规程》（GB16423-2020）6.4.4.20主要提升矿、废石的罐笼提升系统应符合下列规定：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———井口和井下各中段马头门应设自动安全门，并与提升机连锁；</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———井口和井下各中段马头门应设摇台；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———采用钢丝绳罐道时，井下各中段应设稳罐装置；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———摇台和稳罐装置应与提升机闭锁。</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352"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4.3提升设备定期维保及检测</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《中华人民共和国安全生产法》第三十六条  安全设备的设计、制造、安装、使用、检测、改造和报废，应当符合国家标准或者行业标准。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《金属非金属矿山安全规程》（GB16423-2020）6.4.4.29竖井提升系统应按照下列要求进行检查，发现问题立即处理，并将检查和处理结果记录存档：</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———提升系统的钢丝绳、悬挂装置、提升容器、防坠器等，每天由专人检查1次，每月由矿机电部门组织检查1次；</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———提升机的卷筒或摩擦轮、制动装置、调绳装置、传动装置、电动机和控制设备以及各种保护装置和闭锁装置等，每天由专人检查1次，每月由矿机电部门组织检查1次；</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———提升容器的防坠器、连接装置、保险链、罐门、导向槽、罐体、罐内阻车器等，每天由专人检查1次，每月由矿机电部门组织检查1次；</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———天轮、导向轮、过卷缓冲装置、罐道、尾绳隔离装置、安全门、摇台、阻车器、装卸矿设施等，每月由专人检查1次；</w:t>
            </w:r>
            <w:r>
              <w:rPr>
                <w:rFonts w:hint="eastAsia" w:ascii="仿宋_GB2312" w:hAnsi="等线" w:eastAsia="仿宋_GB2312" w:cs="仿宋_GB2312"/>
                <w:i w:val="0"/>
                <w:color w:val="000000"/>
                <w:kern w:val="0"/>
                <w:sz w:val="20"/>
                <w:szCs w:val="20"/>
                <w:u w:val="none"/>
                <w:lang w:val="en-US" w:eastAsia="zh-CN" w:bidi="ar"/>
              </w:rPr>
              <w:br w:type="textWrapping"/>
            </w:r>
            <w:r>
              <w:rPr>
                <w:rFonts w:hint="eastAsia" w:ascii="仿宋_GB2312" w:hAnsi="等线" w:eastAsia="仿宋_GB2312" w:cs="仿宋_GB2312"/>
                <w:i w:val="0"/>
                <w:color w:val="000000"/>
                <w:kern w:val="0"/>
                <w:sz w:val="20"/>
                <w:szCs w:val="20"/>
                <w:u w:val="none"/>
                <w:lang w:val="en-US" w:eastAsia="zh-CN" w:bidi="ar"/>
              </w:rPr>
              <w:t>———新安装或大修后的单绳罐笼防坠器应进行脱钩试验，合格后方可使用；在用防坠器每半年进行1次不脱钩试验；每年进行1次脱钩试验；防坠器的抓捕器断面减少20％或者导向套衬瓦一侧磨损超过3ｍｍ时应更换。</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81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4.4禁止使用非定型竖井罐笼、Φ1.2米以下（不含Φ1.2米）用于升降人员的提升绞车、KJ型矿井提升机、JKA型矿井提升机、XKT型矿井提升机、带式制动矿用提升绞车、TKD型提升机电控装置及使用继电器结构原理的提升机电控装置</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《国家安全监管总局关于发布金属非金属矿山禁止使用的设备及工艺目录（第一批）的通知》（安监总管一〔2013〕101号）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新建、改建、扩建的金属非金属地下矿山一律禁止使用下列设备及工艺，现有生产地下矿山在用的下列设备及工艺，按照规定时限予以强制淘汰。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1．非定型竖井罐笼（自发布之日起一年后禁止使用）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2．Φ1.2米以下（不含Φ1.2米）用于升降人员的提升绞车（自发布之日起一年后禁止使用）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3．KJ型矿井提升机（自发布之日起一年后禁止使用）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4．JKA型矿井提升机（自发布之日起一年后禁止使用）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5．XKT型矿井提升机（自发布之日起一年后禁止使用）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6．JTK型矿用提升绞车（自发布之日起一年半后禁止用于主提升）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7．带式制动矿用提升绞车（自发布之日起立即禁止用于主提升）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国家安全监管总局关于发布金属非金属矿山禁止使用的设备及工艺目录（第二批）的通知（安监总管一〔2015〕13号）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新建、改建、扩建的矿山从本目录发布之日起，一律禁止使用下列设备及工艺。现有生产矿山在用下列设备及工艺的，按照本目录规定的时限予以强制淘汰。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9．TKD型提升机电控装置及使用继电器结构原理的提升机电控装置（金属非金属地下矿山自发布之日起一年后禁止使用）。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3205"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通风系统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5.1 机械通风系统</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w:t>
            </w:r>
            <w:bookmarkStart w:id="0" w:name="_GoBack"/>
            <w:bookmarkEnd w:id="0"/>
            <w:r>
              <w:rPr>
                <w:rFonts w:hint="eastAsia" w:ascii="仿宋_GB2312" w:hAnsi="等线" w:eastAsia="仿宋_GB2312" w:cs="仿宋_GB2312"/>
                <w:i w:val="0"/>
                <w:color w:val="000000"/>
                <w:kern w:val="0"/>
                <w:sz w:val="22"/>
                <w:szCs w:val="22"/>
                <w:u w:val="none"/>
                <w:lang w:val="en-US" w:eastAsia="zh-CN" w:bidi="ar"/>
              </w:rPr>
              <w:t xml:space="preserve">  生产经营单位应当建立健全生产安全事故隐患排查治理制度，采取技术、管理措施，及时发现并消除事故隐患。事故隐患排查治理情况应当如实记录，并向从业人员通报。</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6.6.2.1地下矿山应采用机械通风。设有在线监测系统的矿山应根据监测结果及时调整通风系统；未设置在线监测系统的矿山每年应对通风系统进行1次检测，并根据检测结果及时调整通风系统。矿山应及时更新通风系统图。通风系统图应标明通风设备、风量、风流方向、通风构筑物、与通风系统隔离的区域等。</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5.2 主通风机及运行</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《中华人民共和国安全生产法》第三十三条  安全设备的设计、制造、安装、使用、检测、改造和报废，应当符合国家标准或者行业标准。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6.6.3.1正常生产情况下主通风机应连续运转，满足井下生产所需风量。当主通风机发生故障或需要停机检查时，应立即向调度室和矿山企业主要负责人报告，并采取必要措施。</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5.3 局部通风设备</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《中华人民共和国安全生产法》第三十三条  安全设备的设计、制造、安装、使用、检测、改造和报废，应当符合国家标准或者行业标准。 </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《金属非金属矿山安全规程》（GB16423-2020）6.4.4.1掘进工作面和通风不良的采场，应安装局部通风设备。局扇应有完善的保护装置。</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9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5.4 主通风机房的监控仪表设置</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《中华人民共和国安全生产法》第三十六条　安全设备的设计、制造、安装、使用、检测、维修、改造和报废，应当符合国家标准或者行业标准。</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6.6.3.4主通风机房应设有测量风压、风量、电流、电压和轴承温度等的仪表。每班都应对通风机运转情况进行检查，并有运转记录。采用自动控制的主通风机，每两周应进行1次自控系统的检查。</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53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5.5 便携式气体检测报警仪和自救器配备</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《中华人民共和国安全生产法》第三十六条　安全设备的设计、制造、安装、使用、检测、维修、改造和报废，应当符合国家标准或者行业标准。</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《金属非金属地下矿山监测监控系统建设规范》（AQ2031-2011）5.1  地下矿山应配置足够的便携式气体检测报警仪。便携式气体检测报警仪应能测量一氧化碳、氧气、二氧化氮浓度，并具有报警参数设置和声光报警功能。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《金属非金属地下矿山紧急避险系统建设规范》（AQ2033-2011）4.4  应为入井人员配备额定防护时间不少于30min的自救器，并按入井总人数的10%配备备用自救器。</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（二）安全设备的安装、使用、检测、改造和报废不符合国家标准或者行业标准的；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92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5.6 禁止使用ZH15隔绝式化学氧自救器和一氧化碳过滤式自救器</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《国家安全监管总局关于发布金属非金属矿山禁止使用的设备及工艺目录（第一批）的通知》（安监总管一〔2013〕101号）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新建、改建、扩建的金属非金属地下矿山一律禁止使用下列设备及工艺，现有生产地下矿山在用的下列设备及工艺，按照规定时限予以强制淘汰。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16．ZH15隔绝式化学氧自救器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17．一氧化碳过滤式自救器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94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5.7 禁止使用非矿用局部通风机</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《国家安全监管总局关于发布金属非金属矿山禁止使用的设备及工艺目录（第一批）的通知》（安监总管一〔2013〕101号）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新建、改建、扩建的金属非金属地下矿山一律禁止使用下列设备及工艺，现有生产地下矿山在用的下列设备及工艺，按照规定时限予以强制淘汰。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13．非矿用局部通风机</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089"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6</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防灭火系统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6.1 动火作业管理</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国家矿山安全监察局关于印发《金属非金属矿山重大事故隐患判定标准》的通知（矿安〔2022〕88号）（二十九）井下或者井口动火作业未按国家规定落实审批制度或者安全措施。</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第6.9.1.19矿山应建立动火制度，在井下和井口建筑物内进行焊接等明火作业，应制定防火措施，经矿山企业主要负责人批准后方可动火。在井筒内进行焊接时应派专人监护；在作业部位的下方应设置收集焊渣的设施；焊接完毕应严格检查清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（一）违反操作规程或者安全管理规定作业的；</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    ……</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81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6.2禁止使用油断路器、非阻燃电缆（含强、弱电）、非阻燃风筒、非阻燃输送带、主要井巷木支护、火雷管、导火索</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《国家安全监管总局关于发布金属非金属矿山禁止使用的设备及工艺目录（第一批）的通知》（安监总管一〔2013〕101号）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新建、改建、扩建的金属非金属地下矿山一律禁止使用下列设备及工艺，现有生产地下矿山在用的下列设备及工艺，按照规定时限予以强制淘汰。……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9．油断路器（自发布之日起立即禁止使用）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10．非阻燃电缆（含强、弱电）（自发布之日起一年后禁止使用）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11．非阻燃风筒（自发布之日起半年后禁止使用）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12．非阻燃输送带（自发布之日起一年后禁止使用）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14．主要井巷木支护（新掘、维修井巷自发布之日起立即禁止使用）</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15．火雷管、导火索（自发布之日起立即禁止使用）</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5292"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防排水系统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探放水作业管理及水文地质类型为中等及复杂的矿井没有设立专门防治水机构、配备探放水作业队伍或配齐专用探放水设备</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《金属非金属矿山安全规程》（GB16423-2020）6.8.3.5对接近水体的地带或与水体有联系的可疑地段，应坚持“有疑必探，先探后掘”的原则，编制探水设计。</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4801"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供配电系统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双回路供电</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 5.6.1.4采矿场采用双回路供电时，每回路供电能力应均能供全负荷；采用三回路供电时，每个回路的供电能力不应小于全部负荷的50％。</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336"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地表错动区域管理</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相邻矿山开采错动线重叠，未按照设计要求采取相应措施</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 (矿安〔2022〕88号):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（十四）相邻矿山开采岩体移动范围存在交叉重叠等相互影响时，未按设计留设保安矿（岩）柱或者采取其他措施。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《金属非金属矿山安全规程》（GB16423-2020）6.3.1.2地下开采时，应圈定岩体移动范围或岩体移动监测范围；地表主要建构筑物、主要井筒应布置在地表岩体移动范围之外，或者留保安矿柱消除其影响。</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384"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相邻矿山管理</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相邻矿山井巷互联互通</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 (矿安〔2022〕88号):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（三）不同矿权主体的相邻矿山井巷相互贯通，或者同一矿权主体相邻独立生产系统的井巷擅自贯通。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452" w:hRule="atLeast"/>
        </w:trPr>
        <w:tc>
          <w:tcPr>
            <w:tcW w:w="1394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color w:val="000000"/>
                <w:sz w:val="24"/>
                <w:szCs w:val="24"/>
                <w:u w:val="none"/>
                <w:lang w:eastAsia="zh-CN"/>
              </w:rPr>
            </w:pPr>
            <w:r>
              <w:rPr>
                <w:rFonts w:hint="eastAsia" w:ascii="黑体" w:hAnsi="黑体" w:eastAsia="黑体" w:cs="黑体"/>
                <w:i w:val="0"/>
                <w:color w:val="000000"/>
                <w:sz w:val="24"/>
                <w:szCs w:val="24"/>
                <w:u w:val="none"/>
                <w:lang w:eastAsia="zh-CN"/>
              </w:rPr>
              <w:t>金属非金属露天矿山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297"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开采方式情况</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分台阶开采</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《金属非金属矿山安全规程》（GB16423-2020）5.2.1.1露天开采应遵循自上而下的开采顺序，分台阶开采。</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8172"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采掘作业管理情况</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 禁止使用扩壶爆破、掏底崩落、掏挖开采、不分层的“一面墙”开采、爆破方式对大块矿岩进行二次破碎、无稳压装置的中深孔凿岩设备、集中铲装作业时人工装卸矿岩、未安装捕尘装置的干式凿岩作业</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《国家安全监管总局关于发布金属非金属矿山禁止使用的设备及工艺目录（第二批）的通知》（安监总管一〔2015〕13号）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新建、改建、扩建的矿山从本目录发布之日起，一律禁止使用下列设备及工艺。现有生产矿山在用下列设备及工艺的，按照本目录规定的时限予以强制淘汰。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1．扩壶爆破；</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2．掏底崩落、掏挖开采、不分层的“一面墙”开采；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3．使用爆破方式对大块矿岩进行二次破碎；</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4. 无稳压装置的中深孔凿岩设备；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5. 集中铲装作业时人工装卸矿岩；</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6．未安装捕尘装置的干式凿岩作业；</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716"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运输系统</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3.1 带式输送机运输</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《中华人民共和国安全生产法》第三十六条　安全设备的设计、制造、安装、使用、检测、维修、改造和报废，应当符合国家标准或者行业标准。</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《金属非金属矿山安全规程》（GB16423-2020）6.4.3.5带式输送机应有下列安全保护装置：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———装料点和卸料点设空仓、满仓等保护和报警装置，并与输送机联锁；</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———输送带清扫装置以及防大块冲击、防输送带跑偏等的保护装置；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———紧急停车装置；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———制动装置。</w:t>
            </w:r>
            <w:r>
              <w:rPr>
                <w:rFonts w:hint="eastAsia" w:ascii="仿宋_GB2312" w:hAnsi="等线" w:eastAsia="仿宋_GB2312" w:cs="仿宋_GB2312"/>
                <w:i w:val="0"/>
                <w:color w:val="000000"/>
                <w:kern w:val="0"/>
                <w:sz w:val="22"/>
                <w:szCs w:val="22"/>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6.4.3.6  长度超过400ｍ的带式输送机应设下列保护装置：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———防输送带撕裂、断带等保护装置；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———防止过速、过载、打滑等的保护装置；</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———线路上的信号、电气联锁和紧急停车装置。</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1"/>
                <w:szCs w:val="21"/>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w:t>
            </w:r>
            <w:r>
              <w:rPr>
                <w:rFonts w:hint="eastAsia" w:ascii="仿宋_GB2312" w:hAnsi="等线" w:eastAsia="仿宋_GB2312" w:cs="仿宋_GB2312"/>
                <w:i w:val="0"/>
                <w:color w:val="000000"/>
                <w:kern w:val="0"/>
                <w:sz w:val="21"/>
                <w:szCs w:val="21"/>
                <w:u w:val="none"/>
                <w:lang w:val="en-US" w:eastAsia="zh-CN" w:bidi="ar"/>
              </w:rPr>
              <w:br w:type="textWrapping"/>
            </w:r>
            <w:r>
              <w:rPr>
                <w:rFonts w:hint="eastAsia" w:ascii="仿宋_GB2312" w:hAnsi="等线" w:eastAsia="仿宋_GB2312" w:cs="仿宋_GB2312"/>
                <w:i w:val="0"/>
                <w:color w:val="000000"/>
                <w:kern w:val="0"/>
                <w:sz w:val="21"/>
                <w:szCs w:val="21"/>
                <w:u w:val="none"/>
                <w:lang w:val="en-US" w:eastAsia="zh-CN" w:bidi="ar"/>
              </w:rPr>
              <w:t>（二）安全设备的安装、使用、检测、改造和报废不符合国家标准或者行业标准的；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7076"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3.2主要无轨运输巷道及露天采场禁止采用人力或畜力运输矿岩</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《中华人民共和国安全生产法》第三十八条　国家对严重危及生产安全的工艺、设备实行淘汰制度，具体目录由国务院应急管理部门会同国务院有关部门制定并公布。法律、行政法规对目录的制定另有规定的，适用其规定。</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生产经营单位不得使用应当淘汰的危及生产安全的工艺、设备。</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《国家安全监管总局关于发布金属非金属矿山禁止使用的设备及工艺目录（第二批）的通知》（安监总管一〔2015〕13号）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新建、改建、扩建的矿山从本目录发布之日起，一律禁止使用下列设备及工艺。现有生产矿山在用下列设备及工艺的，按照本目录规定的时限予以强制淘汰。</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7．主要无轨运输巷道及露天采场采用人力或畜力运输矿岩；</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（七）使用应当淘汰的危及生产安全的工艺、设备的；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24" w:type="dxa"/>
          <w:trHeight w:val="6724" w:hRule="atLeast"/>
        </w:trPr>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边坡现场管理情况</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地下开采改为露天开采形成的采空区</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非金属矿山安全规程》（GB16423-2020）5.1.3地下开采转为露天开采时，应确定全部地下工程和矿柱的位置并绘制在矿山平、剖面对照图上；开采前应处理对露天开采安全有威胁的地下工程和采空区，不能处理的，应采取安全措施并在开采过程中处理。</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6" w:hRule="atLeast"/>
        </w:trPr>
        <w:tc>
          <w:tcPr>
            <w:tcW w:w="139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黑体" w:hAnsi="黑体" w:eastAsia="黑体" w:cs="黑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尾矿库</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9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w:t>
            </w:r>
          </w:p>
        </w:tc>
        <w:tc>
          <w:tcPr>
            <w:tcW w:w="13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坝体管理</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1.1坝面维护</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 xml:space="preserve">《尾矿库安全技术规程》(GB 39496—2020）6.3.11坝外坡面维护工作应按设计要求进行，尾矿坝下游坡面上不得有积水坑。坝体出现冲沟、裂 缝、塌坑等现象时,应及时处理。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5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3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1.2坝肩截水沟</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39496—2020)《尾矿库安全技术规程》5.3.20尾矿堆积坝平均堆积外坡比不得陡于1 ： 3。尾矿坝最终下游坡面应设置维护设施，维护设施 应满足下列要求：</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—设置排水系统，下游坡与两岸山坡结合处应设置坝肩截水沟;尾矿堆积坝的每级马道内侧或上 游式尾矿筑坝的每级子坝下游坡脚处均应设置纵向排水沟，并应在坡面上设置人字沟或竖向 排水沟；</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9.3.6检查坝面维护设施时，应检查坝肩截水沟和坝坡排水沟断面尺寸，衬砌变形、破损、断裂和磨蚀， 沟内淤堵,沿线山坡稳定性等;应检査坝坡土石覆盖等护坡实施情况。</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1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3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1.3堆积坝坡比</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 5.3.20尾矿堆积坝平均堆积外坡比不得陡于1 ： 3。</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1"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3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1.4子坝堆筑上升速度</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国家矿山安全监察局关于印发《金属非金属矿山重大事故隐患判定标准》的通知(矿安〔2022〕88号)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（五）尾矿堆积坝上升速率大于设计堆积上升速率。</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39496—2020)6.9.2尾矿库存在下列重大生产安全事故隐患之一时，应立即停产，生产经营单位应制定并实施重大事故隐患治理方案，消除事故隐患：</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——尾矿堆积坝上升速率大于设计堆积上升速率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2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2</w:t>
            </w:r>
          </w:p>
        </w:tc>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防排洪情况</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排洪设施运行</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 6.4.5尾矿库内应设置清晰醒目的水位观测标尺。汛期应加强对排洪设施检查，确保排洪设施畅通。</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13"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w:t>
            </w:r>
          </w:p>
        </w:tc>
        <w:tc>
          <w:tcPr>
            <w:tcW w:w="13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安全监测</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3.1人工安全监测设施</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《尾矿设施设计规范》（GB50863-2013）（GB50863-2013）3.4.1 三等及三等以上尾矿库应设置人工监测与自动监测相结合的安全监测设施。</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85"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3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3.2在线监测系统安装</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《尾矿库安全监督管理规定》(原国家安全监管总局令第38号)第八条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一等、二等、三等尾矿库应当安装在线监测系统。</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《尾矿库安全技术规程》(GB 39496—2020)9.6.3监测设施维护安全检查应检查监测设施是否定期检查和维护，监测设施的可靠性和完整性，人工监测设施与在线监测设施是否定期比对和校正。</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《尾矿库安全监督管理规定》(原国家安全监管总局令第38号)第三十九条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53"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w:t>
            </w:r>
          </w:p>
        </w:tc>
        <w:tc>
          <w:tcPr>
            <w:tcW w:w="13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放矿管理</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4.1多种矿石性质不同的尾砂混合排放</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国家矿山安全监察局关于印发《金属非金属矿山重大事故隐患判定标准》的通知(矿安〔2022〕88号)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（十一）多种矿石性质不同的尾砂混合排放时，未按设计进行排放。</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《尾矿库安全监督管理规定》(原国家安全监管总局令第38号)第十八条对生产运行的尾矿库，未经技术论证和安全生产监督管理部门的批准，任何单位和个人不得对下列事项进行变更：</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(三)尾矿物化特性；</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39496—2020)6.9.2尾矿库存在下列重大生产安全事故隐患之一时，应立即停产，生产经营单位应制定并实施重大事故隐患治理方案，消除事故隐患：</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——多种矿石性质不同的尾砂混合排放时，未按设计要求进行排放</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5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13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4.2冰下放矿作业</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《中华人民共和国安全生产法》第四十一条　生产经营单位应当建立安全风险分级管控制度，按照安全风险分级采取相应的管控措施。</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 xml:space="preserve">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  </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国家矿山安全监察局关于印发《金属非金属矿山重大事故隐患判定标准》的通知(矿安〔2022〕88号)</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（十二）冬季未按设计要求的冰下放矿方式进行放矿作业。</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《尾矿库安全技术规程》(GB 39496—2020)6.9.2尾矿库存在下列重大生产安全事故隐患之一时，应立即停产，生产经营单位应制定并实施重大事故隐患治理方案，消除事故隐患：</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——冬季未按照设计要求采用冰下放矿作业；</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仿宋_GB2312" w:hAnsi="等线" w:eastAsia="仿宋_GB2312" w:cs="仿宋_GB2312"/>
                <w:i w:val="0"/>
                <w:color w:val="000000"/>
                <w:kern w:val="0"/>
                <w:sz w:val="22"/>
                <w:szCs w:val="22"/>
                <w:u w:val="none"/>
                <w:lang w:val="en-US" w:eastAsia="zh-CN" w:bidi="ar"/>
              </w:rPr>
            </w:pPr>
          </w:p>
        </w:tc>
      </w:tr>
    </w:tbl>
    <w:p>
      <w:pPr>
        <w:jc w:val="both"/>
        <w:rPr>
          <w:rFonts w:hint="eastAsia" w:ascii="方正小标宋简体" w:hAnsi="方正小标宋简体" w:eastAsia="方正小标宋简体" w:cs="方正小标宋简体"/>
          <w:b w:val="0"/>
          <w:sz w:val="44"/>
          <w:szCs w:val="44"/>
          <w:lang w:val="en-US" w:eastAsia="zh-CN"/>
        </w:rPr>
      </w:pPr>
    </w:p>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方正仿宋_GB18030">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H-SS9-PK74820001d03">
    <w:altName w:val="Times New Roman"/>
    <w:panose1 w:val="00000000000000000000"/>
    <w:charset w:val="00"/>
    <w:family w:val="roman"/>
    <w:pitch w:val="default"/>
    <w:sig w:usb0="00000000" w:usb1="00000000" w:usb2="00000000" w:usb3="00000000" w:csb0="00040001" w:csb1="00000000"/>
  </w:font>
  <w:font w:name="长城楷体">
    <w:altName w:val="宋体"/>
    <w:panose1 w:val="0201060900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2744D"/>
    <w:rsid w:val="064840E5"/>
    <w:rsid w:val="4CCF7BDF"/>
    <w:rsid w:val="51C2744D"/>
    <w:rsid w:val="56195A70"/>
    <w:rsid w:val="61556883"/>
    <w:rsid w:val="6E033BF8"/>
    <w:rsid w:val="7ACD3971"/>
    <w:rsid w:val="7BA3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4"/>
    <w:qFormat/>
    <w:uiPriority w:val="0"/>
    <w:rPr>
      <w:rFonts w:hint="eastAsia" w:ascii="仿宋_GB2312" w:eastAsia="仿宋_GB2312" w:cs="仿宋_GB2312"/>
      <w:color w:val="000000"/>
      <w:sz w:val="22"/>
      <w:szCs w:val="22"/>
      <w:u w:val="none"/>
    </w:rPr>
  </w:style>
  <w:style w:type="character" w:customStyle="1" w:styleId="7">
    <w:name w:val="font11"/>
    <w:basedOn w:val="4"/>
    <w:qFormat/>
    <w:uiPriority w:val="0"/>
    <w:rPr>
      <w:rFonts w:ascii="Calibri" w:hAnsi="Calibri" w:cs="Calibri"/>
      <w:color w:val="000000"/>
      <w:sz w:val="22"/>
      <w:szCs w:val="22"/>
      <w:u w:val="none"/>
    </w:rPr>
  </w:style>
  <w:style w:type="character" w:customStyle="1" w:styleId="8">
    <w:name w:val="font21"/>
    <w:basedOn w:val="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2023-05-29T10:32:00Z</dcterms:created>
  <dc:creator>仙贝</dc:creator>
  <cp:lastModifiedBy>仙贝</cp:lastModifiedBy>
  <cp:lastPrinted>2023-05-29T11:14:00Z</cp:lastPrinted>
  <dcterms:modified xsi:type="dcterms:W3CDTF">2023-05-31T11:07:17Z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