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2023年自治区安全生产执法检查重点事项指导目录（工贸行业）</w:t>
      </w:r>
    </w:p>
    <w:p>
      <w:pPr>
        <w:pStyle w:val="2"/>
        <w:rPr>
          <w:rFonts w:hint="eastAsia"/>
          <w:lang w:val="en-US" w:eastAsia="zh-CN"/>
        </w:rPr>
      </w:pPr>
    </w:p>
    <w:tbl>
      <w:tblPr>
        <w:tblStyle w:val="6"/>
        <w:tblW w:w="138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862"/>
        <w:gridCol w:w="1976"/>
        <w:gridCol w:w="3683"/>
        <w:gridCol w:w="3224"/>
        <w:gridCol w:w="3315"/>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tblHeader/>
          <w:jc w:val="center"/>
        </w:trPr>
        <w:tc>
          <w:tcPr>
            <w:tcW w:w="862" w:type="dxa"/>
            <w:vAlign w:val="center"/>
          </w:tcPr>
          <w:p>
            <w:pPr>
              <w:widowControl/>
              <w:adjustRightInd w:val="0"/>
              <w:snapToGrid w:val="0"/>
              <w:jc w:val="center"/>
              <w:rPr>
                <w:rFonts w:hint="eastAsia" w:ascii="黑体" w:hAnsi="黑体" w:eastAsia="黑体" w:cs="黑体"/>
                <w:b w:val="0"/>
                <w:bCs/>
                <w:color w:val="auto"/>
                <w:kern w:val="0"/>
                <w:sz w:val="24"/>
                <w:szCs w:val="24"/>
              </w:rPr>
            </w:pPr>
            <w:r>
              <w:rPr>
                <w:rFonts w:hint="eastAsia" w:ascii="黑体" w:hAnsi="黑体" w:eastAsia="黑体" w:cs="黑体"/>
                <w:b w:val="0"/>
                <w:bCs/>
                <w:color w:val="auto"/>
                <w:kern w:val="0"/>
                <w:sz w:val="24"/>
                <w:szCs w:val="24"/>
              </w:rPr>
              <w:t>序号</w:t>
            </w:r>
          </w:p>
        </w:tc>
        <w:tc>
          <w:tcPr>
            <w:tcW w:w="1976" w:type="dxa"/>
            <w:vAlign w:val="center"/>
          </w:tcPr>
          <w:p>
            <w:pPr>
              <w:widowControl/>
              <w:adjustRightInd w:val="0"/>
              <w:snapToGrid w:val="0"/>
              <w:jc w:val="center"/>
              <w:rPr>
                <w:rFonts w:hint="eastAsia" w:ascii="黑体" w:hAnsi="黑体" w:eastAsia="黑体" w:cs="黑体"/>
                <w:b/>
                <w:color w:val="auto"/>
                <w:kern w:val="0"/>
                <w:sz w:val="24"/>
                <w:szCs w:val="24"/>
                <w:lang w:val="en-US" w:eastAsia="zh-CN"/>
              </w:rPr>
            </w:pPr>
            <w:r>
              <w:rPr>
                <w:rFonts w:hint="eastAsia" w:ascii="黑体" w:hAnsi="黑体" w:eastAsia="黑体" w:cs="黑体"/>
                <w:b/>
                <w:color w:val="auto"/>
                <w:kern w:val="0"/>
                <w:sz w:val="24"/>
                <w:szCs w:val="24"/>
                <w:lang w:val="en-US" w:eastAsia="zh-CN"/>
              </w:rPr>
              <w:t>执法检查重点事项内容</w:t>
            </w:r>
          </w:p>
        </w:tc>
        <w:tc>
          <w:tcPr>
            <w:tcW w:w="3683" w:type="dxa"/>
            <w:vAlign w:val="center"/>
          </w:tcPr>
          <w:p>
            <w:pPr>
              <w:widowControl/>
              <w:adjustRightInd w:val="0"/>
              <w:snapToGrid w:val="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lang w:val="en-US" w:eastAsia="zh-CN"/>
              </w:rPr>
              <w:t>执法检查依据</w:t>
            </w:r>
          </w:p>
        </w:tc>
        <w:tc>
          <w:tcPr>
            <w:tcW w:w="3224" w:type="dxa"/>
            <w:vAlign w:val="center"/>
          </w:tcPr>
          <w:p>
            <w:pPr>
              <w:widowControl/>
              <w:adjustRightInd w:val="0"/>
              <w:snapToGrid w:val="0"/>
              <w:jc w:val="center"/>
              <w:rPr>
                <w:rFonts w:hint="eastAsia" w:ascii="黑体" w:hAnsi="黑体" w:eastAsia="黑体" w:cs="黑体"/>
                <w:b/>
                <w:color w:val="auto"/>
                <w:kern w:val="0"/>
                <w:sz w:val="24"/>
                <w:szCs w:val="24"/>
                <w:lang w:val="en-US" w:eastAsia="zh-CN"/>
              </w:rPr>
            </w:pPr>
            <w:r>
              <w:rPr>
                <w:rFonts w:hint="eastAsia" w:ascii="黑体" w:hAnsi="黑体" w:eastAsia="黑体" w:cs="黑体"/>
                <w:b/>
                <w:color w:val="auto"/>
                <w:kern w:val="0"/>
                <w:sz w:val="24"/>
                <w:szCs w:val="24"/>
                <w:lang w:val="en-US" w:eastAsia="zh-CN"/>
              </w:rPr>
              <w:t>有关规范性文件及标准要求</w:t>
            </w:r>
          </w:p>
        </w:tc>
        <w:tc>
          <w:tcPr>
            <w:tcW w:w="3315" w:type="dxa"/>
            <w:vAlign w:val="center"/>
          </w:tcPr>
          <w:p>
            <w:pPr>
              <w:widowControl/>
              <w:adjustRightInd w:val="0"/>
              <w:snapToGrid w:val="0"/>
              <w:jc w:val="center"/>
              <w:rPr>
                <w:rFonts w:hint="eastAsia" w:ascii="黑体" w:hAnsi="黑体" w:eastAsia="黑体" w:cs="黑体"/>
                <w:b/>
                <w:color w:val="auto"/>
                <w:kern w:val="0"/>
                <w:sz w:val="24"/>
                <w:szCs w:val="24"/>
                <w:lang w:eastAsia="zh-CN"/>
              </w:rPr>
            </w:pPr>
            <w:r>
              <w:rPr>
                <w:rFonts w:hint="eastAsia" w:ascii="黑体" w:hAnsi="黑体" w:eastAsia="黑体" w:cs="黑体"/>
                <w:b/>
                <w:color w:val="auto"/>
                <w:kern w:val="0"/>
                <w:sz w:val="24"/>
                <w:szCs w:val="24"/>
                <w:lang w:val="en-US" w:eastAsia="zh-CN"/>
              </w:rPr>
              <w:t>处罚依据</w:t>
            </w:r>
          </w:p>
        </w:tc>
        <w:tc>
          <w:tcPr>
            <w:tcW w:w="819" w:type="dxa"/>
            <w:vAlign w:val="center"/>
          </w:tcPr>
          <w:p>
            <w:pPr>
              <w:widowControl/>
              <w:adjustRightInd w:val="0"/>
              <w:snapToGrid w:val="0"/>
              <w:jc w:val="center"/>
              <w:rPr>
                <w:rFonts w:hint="eastAsia" w:ascii="黑体" w:hAnsi="黑体" w:eastAsia="黑体" w:cs="黑体"/>
                <w:b/>
                <w:color w:val="auto"/>
                <w:kern w:val="0"/>
                <w:sz w:val="24"/>
                <w:szCs w:val="24"/>
              </w:rPr>
            </w:pPr>
            <w:r>
              <w:rPr>
                <w:rFonts w:hint="eastAsia" w:ascii="黑体" w:hAnsi="黑体" w:eastAsia="黑体" w:cs="黑体"/>
                <w:b/>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ind w:firstLine="240" w:firstLineChars="100"/>
              <w:jc w:val="left"/>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企业应与承包单位、承租单位签订专门的安全生产管理协议或者未在承包合同、租赁合同中明确各自的安全生产管理职责；并对承包单位、承租单位的安全生产工作统一协调、管理，并定期进行安全检查</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1.《中华人民共和国安全生产法》第四十九条 生产经营单位不得将生产经营项目、场所、设备发包或者出租给不具备安全生产条件或者相应资质的单位或者个人。  </w:t>
            </w:r>
            <w:bookmarkStart w:id="0" w:name="_GoBack"/>
            <w:bookmarkEnd w:id="0"/>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第三条：工贸企业有下列情形之一的，应当判定为重大事故隐患：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（一）未对承包单位、承租单位的安全生产工作统一协调、管理，或者未定期进行安全检查的。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3.《冶金企业和有色金属企业安全生产规定》（安监总局令第91号）第二十条 企业应当加强对施工、检修等重点工程和生产经营项目、场所的承包单位的安全管理，不得将有关工程、项目、场所发包给不具备安全生产条件或者相应资质的单位。企业和承包单位的承包协议应当明确约定双方的安全生产责任和义务。</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企业应当对承包单位的安全生产进行统一协调、管理，对从事检修工程的承包单位检修方案中的安全措施和应急处置措施进行审核，监督承包单位落实。</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《中华人民共和国安全生产法》第一百零三条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819"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从事特种作业人员未按国家有关规定经专门的安全作业培训，取得相应资格便开展特殊作业的</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1.《中华人民共和国安全生产法》第三十条 生产经营单位的特种作业人员必须按照国家有关规定经专门的安全作业培训，取得相应资格，方可上岗作业。</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第三条：工贸企业有下列情形之一的，应当判定为重大事故隐患：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（二）特种作业人员未按照规定经专门的安全作业培训并取得相应资格，上岗作业的。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3.《冶金企业和有色金属企业安全生产规定》（安监总局令第91号）《特种作业人员安全技术培训考核管理规定》第五条 特种作业人员必须经专门的安全技术培训并考核合格，取得《中华人民共和国特种作业操作证》后，方可上岗作业。没有取得特种作业相应资格的，不得上岗从事特种作业。</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特种作业人员未按照规定经专门的安全作业培训并取得相应资格，上岗作业的。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c>
          <w:tcPr>
            <w:tcW w:w="819" w:type="dxa"/>
            <w:vAlign w:val="center"/>
          </w:tcPr>
          <w:p>
            <w:pPr>
              <w:rPr>
                <w:rFonts w:hint="eastAsia" w:ascii="宋体" w:hAnsi="宋体" w:eastAsia="宋体" w:cs="宋体"/>
                <w:b/>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3</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★金属冶炼企业主要负责人、安全生产管理人员应该按照规定考核合格</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1.《中华人民共和国安全生产法》第二十七条 危险物品的生产、经营、储存、装卸单位及矿山、金属冶炼、建筑施工、运输单位的主要负责人和安全生产管理人员，应当由主管对负有安全生产监督管理职责的部门对其安全生产知识和管理能力考核合格。</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2.《冶金企业和有色金属企业安全生产规定》第十一条　企业主要负责人、安全生产管理人员应当接受安全生产教育和培训，具备与本企业生产经营活动相适应的安全生产知识和管理能力。其中，存在金属冶炼工艺的企业的主要负责人、安全生产管理人员自任职之日起6个月内，必须接受负有冶金有色安全生产监管职责的部门对其进行安全生产知识和管理能力考核，并考核合格。2..《工贸企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第三条 工贸企业有下列情形之一的，应当判定为重大隐患（三）金属冶炼企业主要负责人、安全生产管理人员未按照规定考核合格。</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3.《冶金企业和有色金属企业安全生产规定》（安监总局令第91号）第十一条 企业主要负责人、安全生产管理人员应当接受安全生产教育和培训，具备与本企业生产经营活动相适应的安全生产知识和管理能力。其中，存在金属冶炼工艺的企业的主要负责人、安全生产管理人员自任职之日起六个月内，必须接受负有冶金有色安全生产监管职责的部门对其进行安全生产知识和管理能力考核，并考核合格。</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《中华人民共和国安全生产法》第九十七条 生产经营单位有下列行为之一的，责令限期整改，处十万元以下的罚款；逾期未改正的，责令停产停业整顿，并处十万元以上二十万元以下的罚款，对其直接负责的主管人员和其他直接责任人员处二万元以上五万元以下的罚款：</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 危险物品的生产、经营、储存、装卸单位及矿山、金属冶炼、建筑施工、运输单位的主要负责人和安全生产管理人员，未按照规定经考核合格的。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819" w:type="dxa"/>
            <w:vAlign w:val="center"/>
          </w:tcPr>
          <w:p>
            <w:pPr>
              <w:widowControl/>
              <w:adjustRightInd w:val="0"/>
              <w:snapToGrid w:val="0"/>
              <w:jc w:val="center"/>
              <w:rPr>
                <w:rFonts w:hint="eastAsia" w:ascii="宋体" w:hAnsi="宋体" w:eastAsia="宋体" w:cs="宋体"/>
                <w:b/>
                <w:color w:val="FF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4</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★冶金企业、有色企业会议室、活动室、休息室、操作室、交接班室、更衣室（含澡堂）等6类人员聚集场所,以及钢铁水罐冷（热）修工位不应设置在铁水、钢水、液渣吊运跨的地坪区域内；</w:t>
            </w:r>
          </w:p>
        </w:tc>
        <w:tc>
          <w:tcPr>
            <w:tcW w:w="3683" w:type="dxa"/>
            <w:vAlign w:val="top"/>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《冶金企业和有色金属企业安全生产规定》第二十七条： 企业的操作室、会议室、活动室、休息室、更衣室等场所不得设置在高温熔融金属吊运的影响范围内。</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第四条：冶金企业有下列情形之一的，应当判定为重大事故隐患：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（一）会议室、活动室、休息室、操作室、交接班室、更衣室（含澡堂）等6类人员聚集场所,以及钢铁水罐冷（热）修工位设置在铁水、钢水、液渣吊运跨的地坪区域内的。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第五条 有色企业有下列情形之一的，应当判定为重大事故隐患: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（一）会议室、活动室、休息室、操作室、交接班室、更衣室（含澡堂）等6类人员聚集场所设置在熔融金属吊运跨的地坪区域内的；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1.《高温熔融金属吊运安全规程》（AQ7011-2018）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  高温熔融金属和熔渣吊运行走区域禁止设置操作室、会议室、交接班室、活动室、休息室、更衣室、澡堂等人员集聚场所；危险区域附近的上述建筑物的门、窗应背对吊运区域。</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5.17  熔融金属罐冷热修区不应设在吊运路线上，应设置通风降温设施，地面应有安全通道。</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2.《有色金属工程设计防火规范》（GB 50630-2010）</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  冶炼生产厂房内具有熔融体作业区的防火设计应符合下列规定：</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1）.作业范围内（含地下、上空）严禁设置车间生活间。</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6.2.2  受炽热烘烤、熔体喷溅、明火作用的区域，不应设置控制（操作、值班）室。当必须设置时，其构件应采用不燃烧体，并应对门、窗和结构构件采取防火保护措施；当具有爆炸危险时，尚应设置有效地防爆设施。</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2.《铜及铜合金熔铸安全设计规范》（GB 30187-2013）</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  起吊高温铜液的起重机，其行走路线应尽量短，并禁止通过操作室、人行通道等有人区域。</w:t>
            </w:r>
          </w:p>
        </w:tc>
        <w:tc>
          <w:tcPr>
            <w:tcW w:w="3315" w:type="dxa"/>
            <w:vAlign w:val="top"/>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2.《冶金企业和有色金属企业安全生产规定》</w:t>
            </w:r>
            <w:r>
              <w:rPr>
                <w:rFonts w:hint="default" w:ascii="宋体" w:hAnsi="宋体" w:eastAsia="宋体" w:cs="宋体"/>
                <w:i w:val="0"/>
                <w:iCs w:val="0"/>
                <w:color w:val="000000"/>
                <w:kern w:val="0"/>
                <w:sz w:val="22"/>
                <w:szCs w:val="22"/>
                <w:u w:val="none"/>
                <w:lang w:val="en-US" w:eastAsia="zh-CN" w:bidi="ar"/>
              </w:rPr>
              <w:t>第四十六条</w:t>
            </w:r>
            <w:r>
              <w:rPr>
                <w:rFonts w:hint="eastAsia" w:ascii="宋体" w:hAnsi="宋体" w:eastAsia="宋体" w:cs="宋体"/>
                <w:i w:val="0"/>
                <w:iCs w:val="0"/>
                <w:color w:val="000000"/>
                <w:kern w:val="0"/>
                <w:sz w:val="22"/>
                <w:szCs w:val="22"/>
                <w:u w:val="none"/>
                <w:lang w:val="en-US" w:eastAsia="zh-CN" w:bidi="ar"/>
              </w:rPr>
              <w:t xml:space="preserve">  </w:t>
            </w:r>
            <w:r>
              <w:rPr>
                <w:rFonts w:hint="default" w:ascii="宋体" w:hAnsi="宋体" w:eastAsia="宋体" w:cs="宋体"/>
                <w:i w:val="0"/>
                <w:iCs w:val="0"/>
                <w:color w:val="000000"/>
                <w:kern w:val="0"/>
                <w:sz w:val="22"/>
                <w:szCs w:val="22"/>
                <w:u w:val="none"/>
                <w:lang w:val="en-US" w:eastAsia="zh-CN" w:bidi="ar"/>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819" w:type="dxa"/>
            <w:vAlign w:val="center"/>
          </w:tcPr>
          <w:p>
            <w:pPr>
              <w:widowControl/>
              <w:adjustRightInd w:val="0"/>
              <w:snapToGrid w:val="0"/>
              <w:jc w:val="left"/>
              <w:rPr>
                <w:rFonts w:hint="eastAsia" w:ascii="宋体" w:hAnsi="宋体" w:eastAsia="宋体" w:cs="宋体"/>
                <w:b/>
                <w:color w:val="auto"/>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5</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冶金企业、有色企业生产期间冶炼、精炼和铸造生产区域的事故坑、炉下渣坑，以及熔融金属泄漏和喷溅影响范围内的炉前平台、炉基区域、厂房内吊运和地面运输通道等6类区域，机械企业生产期间铸造用熔炼炉、精炼炉、保温炉的炉底、炉坑和 事故坑，以及熔融金属泄漏、喷溅影响范围内的炉前平台、炉基区 域、造型地坑、浇注作业坑和熔融金属转运通道等8类区域严禁存在积水。</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2.《冶金企业和有色金属企业安全生产规定》第二十八条  企业在进行高温熔融金属冶炼、保温、运输、吊运过程中，应当采取防止泄漏、喷溅、爆炸伤人的安全措施，其影响区域不得有非生产性积水。</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第二十九条 ：企业对电炉、电解车间应当采取防雨措施和有效的排水设施，防止雨水进入槽下地坪，确保电炉、电解槽下没有积水。                               3.《工贸行业重大事故隐患判定标准》（应急管理部令第10号）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第四条冶金企业有下列情形之一的，应当判定为重大事故隐患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（二）生产期间冶炼、精炼和铸造生产区域的事故坑、炉下渣坑，以及熔融金属泄漏和喷溅影响范围内的炉前平台、炉基区域、厂房内吊运和地面运输通道等6类区域存在积水的；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第五条 有色企业有下列情形之一的，应当判定为重大事故隐患: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（二）生产期间冶炼、精炼、铸造生产区域的事故坑、炉下渣坑，以及熔融金属泄漏、喷溅影响范围内的炉前平台、炉基区域、厂房内吊运和地面运输通道等6类区域存在非生产性积水的；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第七条 机械企业有下列情形之一的，应当判定为重大事故隐患：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（三）生产期间铸造用熔炼炉、精炼炉、保温炉的炉底、炉坑和 事故坑，以及熔融金属泄漏、喷溅影响范围内的炉前平台、炉基区 域、造型地坑、浇注作业坑和熔融金属转运通道等8类区域存在积水的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1.《炼钢安全规程》（AQ2001-2018）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6.2.7铁水预处理、转炉、AOD炉、电炉、精炼炉的炉下区域，应采取防止积水的措施；炉下漏钢坑应按防水要求设计施工，其内表应砌相应防护材料保护，且干燥后方可使用；炉下钢水罐车、渣罐车运行区域，地面应保持干燥；炉下热泼渣区，周围应设隔热防护结构，其他坪应防止积水；炉渣冲击与挖掘机铲渣地点，应在耐热混凝土基础上铺砌厚铸铁板或采取其他措施保护。</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6.2.8不允许渗水的坑、槽、沟，应按防水要求设计施工。</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7.3.4混铁炉与倒罐站作业区地坪及受铁坑内，不应有水。凡受铁水辐射热及喷溅影响的建、构筑物，均应采取防护措施。</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9.1.3炉基周围应保持清洁干燥，不应积水和堆积废料。炉基水槽应保持畅通。</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2.《有色金属工程设计防火规范》（GB 50630-2010）</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4.5.6  冶炼生产厂房内具有熔融体作业区的防火设计应符合下列规定：2.应采取防止雨雪飘淋室内的措施，严禁地面积水；不应在场地内设置水沟和给、排水管道，当必需设置时，应有避免水沟中积水和渗漏可靠构造措施。</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3.《铜及铜合金熔铸安全设计规范》（GB 30187-2013）</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8.10.8  具有熔融铜液（熔渣）的作业、吊运及浇铸场所，不宜设置地沟，不应敷设上、下管道；屋面防水等级不应低于二级，并应有放置雨水渗漏的可靠措施。生产确需设置地沟或地坑时，应有严密的防水设施。</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4.《高温熔融金属吊运安全规程》（AQ 7011-2018）：5.10存放、运输高温熔融金属和熔渣的场所，应设有防雨设施，不应设有积水的沟、坑等。如生产确需设置地面沟或坑等时，必须有严密的防水措施：易积水的沟、槽、坑，应有排水措施，不得积水。5.11熔融金属治炼（熔炼）炉的炉下及周围、熔融金属罐、渣罐和浇包吊运区域、熔融金属桶车和渣罐车运行区域，地面不得有积水，不应堆放潮湿物品和其他易燃、易爆物品。《冶金企业和有色金属企业安全生产规定》第二十八条 企业在进行高温熔融金属冶炼、保温、运输、吊运过程中，应当采取防止泄漏、喷溅、爆炸伤人的安全措施，其影响区域不得有非生产性积水。</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2.《冶金企业和有色金属企业安全生产规定》</w:t>
            </w:r>
            <w:r>
              <w:rPr>
                <w:rFonts w:hint="default" w:ascii="宋体" w:hAnsi="宋体" w:eastAsia="宋体" w:cs="宋体"/>
                <w:i w:val="0"/>
                <w:iCs w:val="0"/>
                <w:color w:val="000000"/>
                <w:kern w:val="0"/>
                <w:sz w:val="22"/>
                <w:szCs w:val="22"/>
                <w:u w:val="none"/>
                <w:lang w:val="en-US" w:eastAsia="zh-CN" w:bidi="ar"/>
              </w:rPr>
              <w:t>第四十六条</w:t>
            </w:r>
            <w:r>
              <w:rPr>
                <w:rFonts w:hint="eastAsia" w:ascii="宋体" w:hAnsi="宋体" w:eastAsia="宋体" w:cs="宋体"/>
                <w:i w:val="0"/>
                <w:iCs w:val="0"/>
                <w:color w:val="000000"/>
                <w:kern w:val="0"/>
                <w:sz w:val="22"/>
                <w:szCs w:val="22"/>
                <w:u w:val="none"/>
                <w:lang w:val="en-US" w:eastAsia="zh-CN" w:bidi="ar"/>
              </w:rPr>
              <w:t xml:space="preserve">  </w:t>
            </w:r>
            <w:r>
              <w:rPr>
                <w:rFonts w:hint="default" w:ascii="宋体" w:hAnsi="宋体" w:eastAsia="宋体" w:cs="宋体"/>
                <w:i w:val="0"/>
                <w:iCs w:val="0"/>
                <w:color w:val="000000"/>
                <w:kern w:val="0"/>
                <w:sz w:val="22"/>
                <w:szCs w:val="22"/>
                <w:u w:val="none"/>
                <w:lang w:val="en-US" w:eastAsia="zh-CN" w:bidi="ar"/>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6</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★冶金企业炼钢连铸流程应设置事故钢水罐、中间罐漏钢坑（槽）、中间罐溢流坑（槽）、漏钢回转溜槽，模铸流程应设置事故钢水罐（坑、槽）</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2.《冶金企业和有色金属企业安全生产规定》第二十九条 ： 企业对电炉、铸造熔炼炉、保温炉、倾翻炉、铸机、流液槽、熔盐电解槽等设备，应当设置熔融金属紧急排放和储存的设施，并在设备周围设置拦挡围堰，防止熔融金属外流。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第四条冶金企业有下列情形之一的，应当判定为重大事故隐患: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(三）炼钢连铸流程应设置事故钢水罐、中间罐漏钢坑（槽）、中间罐溢流坑（槽）、漏钢回转溜槽，或者模铸流程未设置事故钢水罐（坑、槽）的；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1.《炼钢安全规程》（AQ2001-2018）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12.3.3  连铸浇注区，应设事故钢水罐、溢流槽、中间溢流罐、钢水罐漏钢回转溜槽、中间罐漏钢坑及钢水罐滑板事故关闭系统。应保持以上应急设施干燥，不得存放其它物品，以保证流通或容量。</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2.《高温熔融金属吊运安全规程》（AQ7011-2018）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  吊运高温熔融金属和熔渣的区域应设置事故罐，事故罐放置应在专用位置或专用支架上，并设置明显安全警示标识。</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2.《冶金企业和有色金属企业安全生产规定》</w:t>
            </w:r>
            <w:r>
              <w:rPr>
                <w:rFonts w:hint="default" w:ascii="宋体" w:hAnsi="宋体" w:eastAsia="宋体" w:cs="宋体"/>
                <w:i w:val="0"/>
                <w:iCs w:val="0"/>
                <w:color w:val="000000"/>
                <w:kern w:val="0"/>
                <w:sz w:val="22"/>
                <w:szCs w:val="22"/>
                <w:u w:val="none"/>
                <w:lang w:val="en-US" w:eastAsia="zh-CN" w:bidi="ar"/>
              </w:rPr>
              <w:t>第四十六条</w:t>
            </w:r>
            <w:r>
              <w:rPr>
                <w:rFonts w:hint="eastAsia" w:ascii="宋体" w:hAnsi="宋体" w:eastAsia="宋体" w:cs="宋体"/>
                <w:i w:val="0"/>
                <w:iCs w:val="0"/>
                <w:color w:val="000000"/>
                <w:kern w:val="0"/>
                <w:sz w:val="22"/>
                <w:szCs w:val="22"/>
                <w:u w:val="none"/>
                <w:lang w:val="en-US" w:eastAsia="zh-CN" w:bidi="ar"/>
              </w:rPr>
              <w:t xml:space="preserve">  </w:t>
            </w:r>
            <w:r>
              <w:rPr>
                <w:rFonts w:hint="default" w:ascii="宋体" w:hAnsi="宋体" w:eastAsia="宋体" w:cs="宋体"/>
                <w:i w:val="0"/>
                <w:iCs w:val="0"/>
                <w:color w:val="000000"/>
                <w:kern w:val="0"/>
                <w:sz w:val="22"/>
                <w:szCs w:val="22"/>
                <w:u w:val="none"/>
                <w:lang w:val="en-US" w:eastAsia="zh-CN" w:bidi="ar"/>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7</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冶金企业转炉、电弧炉、AOD炉、LF炉、RH炉、VOD炉等炼钢炉的水冷元件应设置出水温度、进出水流量差等监测报警装置，监测报警装置应与炉体倾动、氧（副）枪自动提升、电极自动断电和升起装置联锁；机械企业铸造用熔炼炉、精炼炉、压铸机、氧枪的冷却水系统应设置出水温度、进出水流量差监测报警装置，或者监测报警装置应与熔融金属加热、输送控制系统联锁</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第四条 冶金企业有下列情形之一的，应当判定为重大事故隐患: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（四）转炉、电弧炉、AOD炉、LF炉、RH炉、VOD炉等炼钢炉的水冷元件未设置出水温度、进出水流量差等监测报警装置，或者监测报警装置未与炉体倾动、氧（副）枪自动提升、电极自动断电和升起装置联锁的；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第七条 机械企业有下列情形之一的，应当判定为重大事故隐患：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铸造用熔炼炉、精炼炉、压铸机、氧枪的冷却水系统未设置出水温度、进出水流量差监测报警装置，或者监测报警装置未与熔融金属加热、输送控制系统联锁的。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1.《炼钢安全规程》（AQ2001-2018）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9.1.4 转炉氧枪升降装置，应配备钢绳张力测定、钢绳断裂防坠、事故驱动等安全装置；各枪位停靠点，应与转炉倾动、氧气开闭、冷却水流量和温度等联锁；当氧气压力小于规定值、冷却水流量低于规定值、出水温度超过规定值、进出水流量差大于规定值时，氧枪应自动升起，停止吹氧。转炉氧枪供水，应设置电动或气动快速切断阀。转炉副枪升降装置，应配备钢绳张力测定、钢绳断裂防坠、事故驱动等安全装置；各枪位停靠点，应与转炉倾动、冷却水流量和温度等联锁；当冷却水流量低于规定值、出水温度超过规定值、进出水流量差大于规定值时，副枪应自动升起，停止测量。转炉副枪供水，应设置电动或气动快速切断阀。……</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9.2.6 转炉吹氧期间发生以下情况，应及时提枪停吹：氧枪冷却水流量、氧压低于规定值，出水温度高于规定值，氧枪漏水，水冷炉口、烟罩和加料溜槽口等水冷件漏水，停电。11.1.4 受钢液高温影响的水冷元件，应采取必要的安全措施，确保在断电期间保护设备免遭损坏； 可能因冷却水泄漏酿成爆炸事故的水冷元件，如VOD、CAS-OB、IR-UT、RH-KTB中的水冷氧枪, 应配备进出水流量差报警装置；报警信号发出后，氧枪应自动提升并停止供氧，停止精炼作业。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10.1.8 水冷炉壁与炉盖的水冷板、Consteel炉连接小车水套、竖井水冷件等，应配置出水温度与进出水流量差检测、报警装置。出水温度超过规定值、进出水流量差报警时，应自动断电并升起电极停止冶炼，操作人员应迅速查明原因，排除故障，然后恢复供电。</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11.1.4 受钢液高温影响的水冷元件，应采取必要的安全措施，确保在断电期间保护设备免遭损坏；可能因冷却水泄漏酿成爆炸事故的水冷元件，如VOD、CAS-OB、IR-UT、RH-KTB中的水冷氧枪，应配备进出水流量差报警装置；报警信号发出后，氧枪应自动提升并停止供氧，停止精炼作业。</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2.《冲天炉与冲天炉加料机安全要求》（GB 21501-2008）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5.4.7  水冷炉的炉壳应严密，冷却水不应向炉内渗漏”；</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3.《电热装置的安全 第3部分：对感应和导电加热装置以及感应熔炼装置的特殊要求》（GB 5959.3-2008）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  如果加热感应器的冷却效果不足而对工作人员造成危险或对设备的主要部件有损害时，应发出报警信号并自动切断加热电源。</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8</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冶金企业高炉生产期间炉顶工作压力设定值不应超过设计文件规定的最高工作压力，炉顶工作压力监测装置应与炉顶放散阀联锁，炉顶放散阀的联锁放散压力设定值不应超过设备设计压力值</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第四条 冶金企业有下列情形之一的，应当判定为重大事故隐患: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（五）高炉生产期间炉顶工作压力设定值不应超过设计文件规定的最高工作压力，炉顶工作压力监测装置应与炉顶放散阀联锁，炉顶放散阀的联锁放散压力设定值不应超过设备设计压力值的；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《炼铁安全规程》AQ2002-2018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8.1.1 炉顶工作压力不应超过设计值。</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8.3.8 炉顶系统主要设备安全联锁。</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《高炉炼铁安全生产操作技术要求》YB∕T 4591-2017</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 3：炉顶放散阀应选择自动操作模式,炉顶操作的最高峰值压力不应超过设计文件规定的最高工作压 力。当炉顶压力超过设计文件规定的最高工作压力时，应及时开启炉顶放散阀泄放炉顶压力。 3《高炉炼铁工程设计规范》.GB50427-2015</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7.0.11正常操作时，炉顶放散阀应选择自动模式，在炉顶压力超过设备压力时控制，系统应自动开启放散阀泄，压当恢复到正常压力水平时在关闭该放散。炉顶煤气放散阀还应设置机械超压开启功能。</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9</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冶金企业煤气生产、回收净化、加压混合、储存、使用设施附近的会议室、活动室、休息室、操作室、交接班室、更衣室等6类人员聚集场所，以及可能发生煤气泄漏、积聚的场所和部位应设置固定式一氧化碳浓度监测报警装置，监测数据应接入24小时有人值守场所</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1.《中华人民共和国安全生产法》第三十六条：安全设备的设计、制造、安装、使用、检测、维修、改造和报废，应当符合国家标准或者行业标准。</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生产经营单位必须对安全设备进行经常性维护、保养，并定期检测，保证正常运转。维护、保养、检测应当作好记录，并由有关人员签字。</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第四十一条：生产经营单位应当建立健全并落实生产安全事故隐患排查治理制度，采取技术、管理措施，及时发现并消除事故隐患。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2.《冶金企业和有色金属企业安全生产规定》第三十二条  生产、储存、使用煤气的企业应当严格执行《工业企业煤气安全规程》（GB6222），在可能发生煤气泄漏、聚集的场所，设置固定式煤气检测报警仪和安全警示标志。                             3.《工贸行业重大事故隐患判定标准》（应急管理部令第10号）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第四条 冶金企业有下列情形之一的，应当判定为重大事故隐患: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1.《工业企业煤气安全规程》（GB 6222-2005）</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4.10 煤气危险区(如地下室、加压站、热风炉及各种煤气发生设施附近)的一氧化碳浓度应定期测定，在关键部位应设置一氧化碳监测装置。作业环境一氧化碳最高允许浓度为30mg/m3（24ppm）。</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8.2.4站房内应设有一氧化碳监测装置，并把检测信号传送到管理室内。</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9.2.2.3活塞上部应备有一氧化碳检测报警装置及空气呼吸器。</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（二）安全设备的安装、使用、检测、改造和报废不符合国家标准或者行业标准的；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（三）未对安全设备进行经常性维护、保养和定期检测的；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3.《冶金企业和有色金属企业安全生产规定》</w:t>
            </w:r>
            <w:r>
              <w:rPr>
                <w:rFonts w:hint="default" w:ascii="宋体" w:hAnsi="宋体" w:eastAsia="宋体" w:cs="宋体"/>
                <w:i w:val="0"/>
                <w:iCs w:val="0"/>
                <w:color w:val="000000"/>
                <w:kern w:val="0"/>
                <w:sz w:val="22"/>
                <w:szCs w:val="22"/>
                <w:u w:val="none"/>
                <w:lang w:val="en-US" w:eastAsia="zh-CN" w:bidi="ar"/>
              </w:rPr>
              <w:t>第四十六条</w:t>
            </w:r>
            <w:r>
              <w:rPr>
                <w:rFonts w:hint="eastAsia" w:ascii="宋体" w:hAnsi="宋体" w:eastAsia="宋体" w:cs="宋体"/>
                <w:i w:val="0"/>
                <w:iCs w:val="0"/>
                <w:color w:val="000000"/>
                <w:kern w:val="0"/>
                <w:sz w:val="22"/>
                <w:szCs w:val="22"/>
                <w:u w:val="none"/>
                <w:lang w:val="en-US" w:eastAsia="zh-CN" w:bidi="ar"/>
              </w:rPr>
              <w:t xml:space="preserve">  </w:t>
            </w:r>
            <w:r>
              <w:rPr>
                <w:rFonts w:hint="default" w:ascii="宋体" w:hAnsi="宋体" w:eastAsia="宋体" w:cs="宋体"/>
                <w:i w:val="0"/>
                <w:iCs w:val="0"/>
                <w:color w:val="000000"/>
                <w:kern w:val="0"/>
                <w:sz w:val="22"/>
                <w:szCs w:val="22"/>
                <w:u w:val="none"/>
                <w:lang w:val="en-US" w:eastAsia="zh-CN" w:bidi="ar"/>
              </w:rPr>
              <w:t>企业违反本规定第二十四条至第三十七条的规定，构成生产安全事故隐患的，责令立即消除或者限期消除事</w:t>
            </w:r>
            <w:r>
              <w:rPr>
                <w:rFonts w:hint="eastAsia" w:ascii="宋体" w:hAnsi="宋体" w:eastAsia="宋体" w:cs="宋体"/>
                <w:i w:val="0"/>
                <w:iCs w:val="0"/>
                <w:color w:val="000000"/>
                <w:kern w:val="0"/>
                <w:sz w:val="22"/>
                <w:szCs w:val="22"/>
                <w:u w:val="none"/>
                <w:lang w:val="en-US" w:eastAsia="zh-CN" w:bidi="ar"/>
              </w:rPr>
              <w:t xml:space="preserve">   </w:t>
            </w:r>
            <w:r>
              <w:rPr>
                <w:rFonts w:hint="default" w:ascii="宋体" w:hAnsi="宋体" w:eastAsia="宋体" w:cs="宋体"/>
                <w:i w:val="0"/>
                <w:iCs w:val="0"/>
                <w:color w:val="000000"/>
                <w:kern w:val="0"/>
                <w:sz w:val="22"/>
                <w:szCs w:val="22"/>
                <w:u w:val="none"/>
                <w:lang w:val="en-US" w:eastAsia="zh-CN" w:bidi="ar"/>
              </w:rPr>
              <w:t>故隐患；企业拒不执行的，责令停产停业整顿，并处十万元以上五十万元以下的罚款，对其直接负责的主管人员和其他直接责任人员处二万元以上五万元以下的罚款。</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10</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★冶金企业加热炉、煤气柜、除尘器、加压机、烘烤器等设施，以及进入车间前的煤气管道应安装隔断装置</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第四条 冶金企业有下列情形之一的，应当判定为重大事故隐患: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（七）加热炉、煤气柜、除尘器、加压机、烘烤器等设施，以及进入车间前的煤气管道未安装隔断装置的；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1.《炼铁安全规程》（AQ 2002-2018）:12.1.6 热风炉煤气总管应有符合 GB6222 要求的可靠隔断装置。煤气支管应有煤气自动切断阀。</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2.《炼钢安全规程》（AQ 2001-2018）13.4.1 煤气进入车间前的管道，应装设可靠的隔断装置。</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3.《钢铁企业煤气储存和输配系统设计规范》（GB 51128-2015） 8.4.1第6款：剩余煤气放散装置应设置隔断装置，调压设施，自动点火设施，燃烧设施，防回火设施和灭火设施等。        8.4.2：煤气管道的隔断装置设计符合下列规定：1、经常检修的部位应设隔断装置；3、蝶阀、闸阀和球阀等单独使用时，不应作为隔断装置，用于U型水封，盲板阀或盲板等其中之一组合使用作为隔断装置。</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4.《工业企业煤气安全规程》（GB 6222-2005）</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6.2.1.10煤气分配主管上支管引接处（热发生炉煤气管除外），必须设置可靠的隔断装置。</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6.2.1.11　车间冷煤气管的进口设有隔断装置、流量传感元件、压力表接头、取样嘴和放散管等装置时，其操作位置应设在车间外附近的平台上。</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7.1.1当燃烧装置采用强制送风的燃烧嘴时，煤气支管上应装止回装置或自动隔断阀。</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7.2.1一般规定：凡经常检修的部位应设可靠的隔断装置。</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7.5.2为防止煤气串人蒸汽或氮气管内，只有在通蒸汽或氮气时，才能把蒸汽或氮气管与煤气管道连通，停用时应断开或堵盲板。</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10.2.1煤气设施停煤气检修时，应可靠地切断煤气来源并将内部煤气吹净。长期检修或停用的煤气设施，应打开上、下人孔、放散管等，保持设施内部的自然通风。</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11</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冶金企业正压煤气输配管线水封式排水器的最高封堵煤气压力不应小于30kPa，同一煤气管道隔断装置的两侧不允许共用一个排水器，不同煤气管道排水器上部的排水管不应连通，不同介质的煤气管道不允许共用一个排水器。</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第四条 冶金企业有下列情形之一的，应当判定为重大事故隐患: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八）正压煤气输配管线水封式排水器的最高封堵煤气压力小于30kPa，或者同一煤气管道隔断装置的两侧共用一个排水器，或者不同煤气管道排水器上部的排水管连通，或者不同介质的煤气管道共用一个排水器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1.《煤气排水器安全技术规程》(AQ 7012-2018)4.1.2 水封式排水器除了满足4.1.1的要求，还应满足以下要求：水封的有效高度应取煤气计算压力加500mmH2O与煤气计算压力1.2倍的较大值，并不得小于3m；</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2《工业企业煤气安全规程》(GB 6222-2005)7.4.3两条或两条以上的煤气管道及同一煤气管道隔断装置的两侧，宜单独设置排水器。</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3.《钢铁企业煤气储存和输配系统设计规范》(GB 51128-2015)8.4.3煤气计算压力小于或等于0.05MPa的煤气管道应采用水封式自动排水器，排水器宜为防泄漏型，煤气管道排水器的布置应符合下列规定：同一煤气管道隔断装置两侧的排水器应分别设置；两个或多个排水器上部的排水管不应连通；不同介质的煤气管道不得共用一个排水器。</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12</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★有色企业熔融金属铸造环节应设置紧急排放和应急储存设施（倾动式熔炼炉、倾动式保温炉、倾动式熔保一体炉、带保温炉的固定式熔炼炉除外）</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《冶金企业和有色金属企业安全生产规定》第二十九条  企业对电炉、电解车间应当采取防雨措施和有效的排水设施，防止雨水进入槽下地坪，确保电炉、电解槽下没有积水。企业对电炉、铸造熔炼炉、保温炉、倾翻炉、铸机、流液槽、熔盐电解槽等设备，应当设置熔融金属紧急排放和储存的设施，并在设备周围设置拦挡围堰，防止熔融金属外流。</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第五条 有色企业有下列情形之一的，应当判定为重大事故隐患: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（三）熔融金属铸造环节未设置紧急排放和应急储存设施的（倾动式熔炼炉、倾动式保温炉、倾动式熔保一体炉、带保温炉的固定式熔炼炉除外）</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1.《高温熔融金属吊运安全规程》（AQ7011-2018）5.9：吊运高温熔融金属和熔渣的区域应设置事故罐，事故罐放置应在专用位置或专用支架上，并设置明显安全警示标识。</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2.《冶金企业和有色金属企业安全生产规定》</w:t>
            </w:r>
            <w:r>
              <w:rPr>
                <w:rFonts w:hint="default" w:ascii="宋体" w:hAnsi="宋体" w:eastAsia="宋体" w:cs="宋体"/>
                <w:i w:val="0"/>
                <w:iCs w:val="0"/>
                <w:color w:val="000000"/>
                <w:kern w:val="0"/>
                <w:sz w:val="22"/>
                <w:szCs w:val="22"/>
                <w:u w:val="none"/>
                <w:lang w:val="en-US" w:eastAsia="zh-CN" w:bidi="ar"/>
              </w:rPr>
              <w:t>第四十六条</w:t>
            </w:r>
            <w:r>
              <w:rPr>
                <w:rFonts w:hint="eastAsia" w:ascii="宋体" w:hAnsi="宋体" w:eastAsia="宋体" w:cs="宋体"/>
                <w:i w:val="0"/>
                <w:iCs w:val="0"/>
                <w:color w:val="000000"/>
                <w:kern w:val="0"/>
                <w:sz w:val="22"/>
                <w:szCs w:val="22"/>
                <w:u w:val="none"/>
                <w:lang w:val="en-US" w:eastAsia="zh-CN" w:bidi="ar"/>
              </w:rPr>
              <w:t xml:space="preserve">  </w:t>
            </w:r>
            <w:r>
              <w:rPr>
                <w:rFonts w:hint="default" w:ascii="宋体" w:hAnsi="宋体" w:eastAsia="宋体" w:cs="宋体"/>
                <w:i w:val="0"/>
                <w:iCs w:val="0"/>
                <w:color w:val="000000"/>
                <w:kern w:val="0"/>
                <w:sz w:val="22"/>
                <w:szCs w:val="22"/>
                <w:u w:val="none"/>
                <w:lang w:val="en-US" w:eastAsia="zh-CN" w:bidi="ar"/>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13</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★有色企业采用水冷冷却的冶炼炉窑、铸造机（铝加工深井铸造工艺的结晶器除外）、加热炉应设置应急水源的；</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第五条 有色企业有下列情形之一的，应当判定为重大事故隐患: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（四）采用水冷冷却的冶炼炉窑、铸造机（铝加工深井铸造工艺的结晶器除外）、加热炉应设置应急水源的；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1.金属冶炼企业禁止使用的设备及工艺目录（第一批）》（安监总管四〔2017〕142号）13.深井浇铸结晶器的循环水系统未设置应急水源或循环水水泵未设置应急电源。</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2.《铸造机械安全要求》（GB 20905-2007）</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10.4  工作中不允许因停电而造成水冷和其他系统中断的机器，应另设维持水冷和其他系统正常工作的附属装置。</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3.《铜及铜合金熔铸安全设计规范》（GB 30187-2013）</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6.2.2 有芯感应炉应设置应急电源，有芯感应炉和无芯感应炉应设置应急水；铸造机的结晶器应设置应急水；</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3.《铜冶炼厂工艺设计规范》（GB 50616-2010）</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6.2.12  闪速炉冷却水必须连续供水，不得中断，水压应稳定。</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6.3.12.3  顶吹浸没熔炼安全措施必须符合下列规定：炉体冷却元件供水不得中断，水压应稳定，冷却水应使用硬度低的净化水。</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6.7.11  三菱熔炼炉冷却水必须连续供水，不得中断，水压应稳定，冷却水应为净化水。</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6.8.10  瓦纽科夫熔炼炉冷却水必须连续供水，不得中断，水压应稳定，冷却水应为净化水。GB50735-2011《铁合金工艺及设备设计规范》5.1.2：电炉冷却水系统应有30分钟的事故供水能力及供水量，不用小于正常用水量的1/3。</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4.《有色金属工程设计防火规范》（GB 50630-2010）4.5.5第6款：冶炼炉及其配套设施的密闭冷却水系统应设置温度、压力、流量的检测以及事故报警信号和联锁控制装置，并宜独立设置循环水系统和应急供水装置。5.《生产过程安全卫生要求总则》（GBT12801-2008）5.3.2：对工艺、作业和施工过程的控制、检测系统的要求：a）对事故后果严重的生产过程，应按冗余原则，设计备用装置或备用系统，并能保证在出现危险时能自动转换到备用装置或备用系统。</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14</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★有色企业熔融金属冶炼炉窑的闭路循环水冷元件应设置出水温度、进出水流量差监测报警装置，开路水冷元件应设置进水流量、压力监测报警装置，应监测开路水冷元件出水温度</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第五条 有色企业有下列情形之一的，应当判定为重大事故隐患: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（五）熔融金属冶炼炉窑的闭路循环水冷元件未设置出水温度、进出水流量差监测报警装置，或者开路水冷元件未设置进水流量、压力监测报警装置，或者未监测开路水冷元件出水温度的；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金属冶炼企业禁止使用的设备及工艺目录（第一批）》（安监总管四〔2017〕142号）14.有色金属冶炼炉、熔炼炉及炉渣处理烟化炉冷却水系统未设置温度、流量、压力检测报警装置。2.《铁合金工艺及设备设计规范》（GB50735-2011）3.1.11：供水压力应保持在0.3MPa~0.5MPa，进水总管应设有温度、压力测量装置。回水各支管课设温度流量检测，并应在每根回水管的回水槽处设置标记。</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 《有色金属工程设计防火规范》（GB 50630-2010）4.5.5第6款：冶炼炉及其配套设施的密闭冷却水系统应设置温度、压力、流量的检测以及事故报警信号和联锁控制装置。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4.《有色金属治炼厂自控设计规范》 ）GB 50891-2013）5 重有色金属火法冶炼：5.4.7 冷却水系统检测与控制应包括下列内容:1 冷却水总管、反应塔区冷却水、沉淀池区冷却水、上升烟道区冷却水流量检测。2 冷却水总管温度、压力检测。3 冷却水套出口温度检测。8 电解铝8.2.3 铝链铸造检测与控制应包括循环水压力、流量检测。8.2.4 阳极组装检测与控制应包括下列内容:1 循环水、天然气压力、流量检测。8.3.1 罐式炉锻烧检测与控制应包括下列内容4：冷却水出水温度、进水流量检测；5：连续混捏生阳极制造检测与控制应包括下列内容:压缩空气、冷却水压力、流量检测。8.3.5敞开环式阳极焙烧炉检测与控制应包括下列内容:炭块清理、编组机组的冷却水管路压力、流量检测。9.4 镁电解及镁精炼检测与控制应包括下列内容:2 头槽冷却循环水出水温度检测。4 头槽冷却循环水进水压力检测。6 头槽冷却循环水出水流量检测。</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15</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色企业可能发生一氧化碳、砷化氢、氯气、硫化氢等4种有毒气体泄漏、积聚的场所和部位应设置固定式气体浓度监测报警装置，监测数据应接入24小时有人值守场所，对可能有砷化氢气体的场所和部位应采取同等效果的检测措施；</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《冶金企业和有色金属企业安全生产规定》</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第三十二条： 生产、储存、使用煤气的企业应当严格执行《工业企业煤气安全规程》（GB6222），在可能发生煤气泄漏、聚集的场所，设置固定式煤气检测报警仪和安全警示标志。</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第三十七条：企业对生产过程中存在二氧化硫、氯气、砷化氢、氟化氢等有毒有害气体的工作场所，应当采取防止人员中毒的措施。</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第五条 有色企业有下列情形之一的，应当判定为重大事故隐患: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关于使用危险化学品单位安全监管有关问题的复函》(安监总厅管三函〔2012〕97号)：三、关于使用危险化学品的单位设置安全设施、设备有关适用标准：使用危险化学品的单位在作业场所设置相应监测、监控、防静电等安全设施、设备时，应当执行《建筑设计防火规范》（GB 50016）、《石油化工企业设计防火规范》（GB 50160）、《石油化工可燃气体和有毒气体检测报警设计规范》（GB 50493）等有关标准。</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2.《关于造纸等工贸企业配套危险化学品生产储存装置安全监管有关问题的复函》安监总厅管四〔2013〕180号：鉴于工贸企业内部配套建设的危险化学品生产装置和储存设施具有高危性，应从规划、设计、建设、使用等环节，严格按照国家有关危险化学品的法律法规、标准规范要求，做好危险化学品安全生产工作；对于涉及重点监管危险化学品、重点监管危险化工工艺和危险化学品重大危险源的生产装置，要完善自动化控制设施，建立健全监控体系，防止事故发生。</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3.《工业企业设计卫生标准》（GBZ1-2010）:                           6.1.5.2:在生产中可能突然逸出大量有害物质或易造成急性中毒或易燃易爆的化学物质的室内作业场所，应设置事故通风装置及与事故排风系统相连锁的泄漏报警装置。6.1.6.1:检测报警点应根据 GBZ/T233的要求，设在存在、生产或使用有毒气体的工作地点，包括可能释放高毒、剧毒气体的作业场所，可能大量释放或容易聚集的其他有毒气体的工作地点也应设置检测报警点。</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6.1.6.2:应设置有毒气体检测报警仪的工作地点，宜采用固定式，当不具备设置固定式的条件时，应配置便携式检测报警仪。6.1.6.3:毒物报警值应根据有毒气体毒性和现场实际情况至少设警报值和高报值。预报值为MAC或PC-STEL的1/2，无PC-STEL的化学物质，警报值可设在相应超限倍数值的1/2；警报值为MAC或PC-STEL值，无PC-STEL的化学物质，警报值可设在相应的超限倍数值；高报值应综合考虑有毒气体毒性、作业人员情况、事故后果、工艺设备等各种因素后设定。</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4.《石油化工可燃气体和有毒气体检测报警设计标准》 （GBT50493-2019）3.0.1：在生产或使用可燃气体及有毒气体的生产设施及储运设施的区域内，泄漏气体中可燃气体浓度可能达到报警设定值时，应设置可燃气体探测器；泄漏气体中有毒气体浓度可能达到报警设定值时，应设置有毒气体探测器；3.0.3 可燃气体和有毒气体检测报警信号应送至有人值守的现场控制室、中心控制室等进行显示报警；可燃气体二级报警信号、可燃气体及有毒气体检测报警系统报警控制单元的故障信号应送至消防控制室。                                                     </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2.《冶金企业和有色金属企业安全生产规定》</w:t>
            </w:r>
            <w:r>
              <w:rPr>
                <w:rFonts w:hint="default" w:ascii="宋体" w:hAnsi="宋体" w:eastAsia="宋体" w:cs="宋体"/>
                <w:i w:val="0"/>
                <w:iCs w:val="0"/>
                <w:color w:val="000000"/>
                <w:kern w:val="0"/>
                <w:sz w:val="22"/>
                <w:szCs w:val="22"/>
                <w:u w:val="none"/>
                <w:lang w:val="en-US" w:eastAsia="zh-CN" w:bidi="ar"/>
              </w:rPr>
              <w:t>第四十六条</w:t>
            </w:r>
            <w:r>
              <w:rPr>
                <w:rFonts w:hint="eastAsia" w:ascii="宋体" w:hAnsi="宋体" w:eastAsia="宋体" w:cs="宋体"/>
                <w:i w:val="0"/>
                <w:iCs w:val="0"/>
                <w:color w:val="000000"/>
                <w:kern w:val="0"/>
                <w:sz w:val="22"/>
                <w:szCs w:val="22"/>
                <w:u w:val="none"/>
                <w:lang w:val="en-US" w:eastAsia="zh-CN" w:bidi="ar"/>
              </w:rPr>
              <w:t xml:space="preserve">  </w:t>
            </w:r>
            <w:r>
              <w:rPr>
                <w:rFonts w:hint="default" w:ascii="宋体" w:hAnsi="宋体" w:eastAsia="宋体" w:cs="宋体"/>
                <w:i w:val="0"/>
                <w:iCs w:val="0"/>
                <w:color w:val="000000"/>
                <w:kern w:val="0"/>
                <w:sz w:val="22"/>
                <w:szCs w:val="22"/>
                <w:u w:val="none"/>
                <w:lang w:val="en-US" w:eastAsia="zh-CN" w:bidi="ar"/>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16</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色企业使用煤气（天然气）并强制送风的燃烧装置的或机械企业使用煤气(天然气)的燃烧装置的燃气总管应设置压力监测报警装置，监测报警装置应与紧急自动切断装置联锁；且机械企业燃烧装置应设置火焰监测和熄火保护系统</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第五条 有色企业有下列情形之一的，应当判定为重大事故隐患: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（十二）使用煤气（天然气）并强制送风的燃烧装置的燃气总管未设置压力监测报警装置，或者监测报警装置未与紧急自动切断装置联锁的；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第七条 机械企业有下列情形之一的，应当判定为重大事故隐患：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（五）使用煤气(天然气)的燃烧装置的燃气总管未设置管道压力监测报警装置，或者监测报警装置未与紧急自动切断装置联锁，或者燃烧装置未设置火焰监测和熄火保护系统的。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1.《工业企业煤气安全规程》（GB 6222-2005）</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7.1.1  当燃烧装置采用强制送风的燃烧嘴时，煤气支管上应装止回装置或自动隔断阀。</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2.《城镇燃气设计规范》（GB 50028-2006）</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10.6.6.1  工业企业生产用气设备燃烧装置的安全设施应符合下列要求：燃气管道上应安装低压和超压报警以及紧急自动切断阀。</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17</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色企业正压煤气输配管线水封式排水器的最高封堵煤气压力不应小于30kPa，同一煤气管道隔断装置的两侧不允许共用一个排水器，不同煤气管道排水器上部的排水管不应连通，不同介质的煤气管道不允许共用一个排水器。</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第五条 有色企业有下列情形之一的，应当判定为重大事故隐患:               （十三）正压煤气输配管线水封式排水器的最高封堵煤气压力小于30kPa，或者同一煤气管道隔断装置的两侧共用一个排水器，或者不同煤气管道排水器上部的排水管连通，或者不同介质的煤气管道共用一个排水器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1.《煤气排水器安全技术规程》（AQ 7012-2018)4.1.2 水封式排水器除了满足4.1.1的要求，还应满足以下要求：水封的有效高度应取煤气计算压力加500mmH2O与煤气计算压力1.2倍的较大值，并不得小于3m；</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2.《工业企业煤气安全规程》(GB 6222-2005)7.4.3两条或两条以上的煤气管道及同一煤气管道隔断装置的两侧，宜单独设置排水器。</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18</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★建材企业煤磨袋式收尘器、煤粉仓应设置温度和固定式一氧化碳浓度监测报警装置，并设置气体灭火装置的；</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第六条 建材企业有下列情形之一的，应当判定为重大事故隐患:                  （一）煤磨袋式收尘器、煤粉仓未设置温度和固定式一氧化碳浓度监测报警装置，或者未设置气体灭火装置的；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《新型干法水泥生产安全规程》（AQ7014-2018）7.1.2.3 煤磨进出口应设温度监测装置，在煤粉仓、除尘器上也应设温度和一氧化碳超限监测及报警装置，并配备气体自动灭火装置。                 </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19</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★建材企业采用预混燃烧方式的燃气窑炉（热发生炉煤气窑炉除外）的燃气总管应设置管道压力监测报警装置，监测报警装置应与紧急自动切断装置联锁</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第六条 建材企业有下列情形之一的，应当判定为重大事故隐患:               （五）采用预混燃烧方式的燃气窑炉（热发生炉煤气窑炉除外）的燃气总管未设置管道压力监测报警装置，或者监测报警装置未与紧急自动切断装置联锁的；  </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GB50028-2020《城镇燃气设计规范》10.6.6 工业企业生产用气设备燃烧装置的安全设施应符合下列要求：</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1 燃气管道上应安装低压和超压报警以及紧急自动切断阀；</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2 烟道和封闭式炉膛，均应设置泄爆装置，泄爆装置的泄压口应设在安全处；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3 鼓风机和空气管道应设静电接地装置。接地电阻不应大于100Ω；</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4 用气设备的燃气总阀门与燃烧器阀门之间，应设置放散管。                </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20</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★建材企业制氢站、氮氢保护气体配气间、燃气配气间等3类场所应设置固定式可燃气体浓度监测报警装置</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2.工贸行业重大事故隐患判定标准》（应急管理部令第10号）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第六条 建材企业有下列情形之一的，应当判定为重大事故隐患:              （六）制氢站、氮氢保护气体配气间、燃气配气间等3类场所未设置固定式可燃气体浓度监测报警装置的； </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1《玻璃工厂工业卫生与安全技术规程》（GB15081-1994 ）3.5.9有爆炸性危险气体的场所宜安装可燃气体的监测、报警装置；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2.《氢气站设计规范》（GB50177）8.0.6有爆炸危险房间内，应设氢气检漏报警装置，并应与相应的事故排风机连锁；       </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21</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★机械企业会议室、活动室、休息室、更衣室、交接班室等5类人员聚集场所严禁设置在熔融金属吊运跨或者浇注跨的地坪区域内的</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2.《工贸企业重大事故隐患判定标准》（应急管理部令第10号）。第七条 机械企业有下列情形之一 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（一）会议室、活动室、休息室、更衣室、交接班室等5类人员聚集场所设置在熔融金属吊运跨或者浇注跨的地坪区域内的。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1.《高温熔融金属吊运安全规程》AQ7011-2018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5.7：高温熔融金属和熔渣吊运行走区域禁止设置操作室、会议室、交接班室、活动室、休息室、更衣室、澡堂等人员集聚场所；危险区域附近的上述建筑物的门、窗应背对吊运区域</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22</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★机械企业铸造用熔炼炉、精炼炉、保温炉应设置紧急排放和应急储存设施</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2.《冶金企业和有色金属企业安全生产规定》（安监总局令第91号）</w:t>
            </w:r>
          </w:p>
          <w:p>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第二十九条 企业对电炉、铸造熔炼炉、保温炉、倾翻炉、铸机、流液槽、熔盐电解槽等设备，应当设置熔融金属紧急排放和储存的设施，并在设备周围设置拦挡围堰，防止熔融金属外流</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3.《工贸企业重大事故隐患判定标准》（应急管理部令第10号）。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第七条 机械企业有下列情形之一的，应当判定为重大事故隐患：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（二）铸造用熔炼炉、精炼炉、保温炉未设置紧急排放和应急储存设施的。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1.《高温熔融金属吊运安全规程》（AQ 7011-2018）：5.10存放、运输高温熔融金属和熔渣的场所，应设有防雨设施，不应设有积水的沟、坑等。如生产确需设置地面沟或坑等时，必须有严密的防水措施：易积水的沟、槽、坑，应有排水措施，不得积水。5.11熔融金属治炼（熔炼）炉的炉下及周围、熔融金属罐、渣罐和浇包吊运区域、熔融金属桶车和渣罐车运行区域，地面不得有积水，不应堆放潮湿物品和其他易燃、易爆物品。</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2.《冶金企业和有色金属企业安全生产规定》</w:t>
            </w:r>
            <w:r>
              <w:rPr>
                <w:rFonts w:hint="default" w:ascii="宋体" w:hAnsi="宋体" w:eastAsia="宋体" w:cs="宋体"/>
                <w:i w:val="0"/>
                <w:iCs w:val="0"/>
                <w:color w:val="000000"/>
                <w:kern w:val="0"/>
                <w:sz w:val="22"/>
                <w:szCs w:val="22"/>
                <w:u w:val="none"/>
                <w:lang w:val="en-US" w:eastAsia="zh-CN" w:bidi="ar"/>
              </w:rPr>
              <w:t>第四十六条</w:t>
            </w:r>
            <w:r>
              <w:rPr>
                <w:rFonts w:hint="eastAsia" w:ascii="宋体" w:hAnsi="宋体" w:eastAsia="宋体" w:cs="宋体"/>
                <w:i w:val="0"/>
                <w:iCs w:val="0"/>
                <w:color w:val="000000"/>
                <w:kern w:val="0"/>
                <w:sz w:val="22"/>
                <w:szCs w:val="22"/>
                <w:u w:val="none"/>
                <w:lang w:val="en-US" w:eastAsia="zh-CN" w:bidi="ar"/>
              </w:rPr>
              <w:t xml:space="preserve">  </w:t>
            </w:r>
            <w:r>
              <w:rPr>
                <w:rFonts w:hint="default" w:ascii="宋体" w:hAnsi="宋体" w:eastAsia="宋体" w:cs="宋体"/>
                <w:i w:val="0"/>
                <w:iCs w:val="0"/>
                <w:color w:val="000000"/>
                <w:kern w:val="0"/>
                <w:sz w:val="22"/>
                <w:szCs w:val="22"/>
                <w:u w:val="none"/>
                <w:lang w:val="en-US" w:eastAsia="zh-CN" w:bidi="ar"/>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23</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★机械企业使用非水性漆的调漆间、喷漆室应设置固定式可燃气体浓度监测报警装置或者通风设</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2.《工贸企业重大事故隐患判定标准》（应急管理部令第10号）。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第七条 机械企业有下列情形之一的，应当判定为重大事故隐患：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（七）使用非水性漆的调漆间、喷漆室未设置固定式可燃气体浓度监测报警装置或者通风设施的。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1.《涂装作业安全规程涂漆工艺安全及其通风净化》（GB 6514-2008）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5.1.4.2.2  调漆室应为不燃烧、不发火的地面；室内通风换气次数15次/h～25次/h；照明及各类电气设备应为防爆型；调漆室应安装可燃气体浓度报警装置及配置消防器材。</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24</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★轻工企业使用非水性漆的调漆间、喷漆室应设置固定式可燃气体浓度监测报警装置与通风设施。</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2.《工贸企业重大事故隐患判定标准》（应急管理部令第10号）。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第八条 轻工行业有下列情形之一的，应当判定为重大事故隐患：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（六）使用非水性漆的调漆间、喷漆室未设置固定式可燃气体浓度监测报警装置或者通风设施的。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1.《涂装作业安全规程涂漆工艺安全及其通风净化》（GB 6514-2008）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5.1.4.2.2  调漆室应为不燃烧、不发火的地面；室内通风换气次数15次/h～25次/h；照明及各类电气设备应为防爆型；调漆室应安装可燃气体浓度报警装置及配置消防器材。</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25</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★粉尘爆炸危险场所不应设置在非框架结构的多层建(构)筑物内，粉尘爆炸危险场所内不允许设有员工宿舍、会议室、办公室、休息室等人员聚集场所；</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2.《工贸企业重大事故隐患判定标准》（应急管理部令第 10 号）第十一条  存在粉尘爆炸危险的工贸企业</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（一）粉尘爆炸危险场所设置在非框架结构的多层建(构)筑物内，或者粉尘爆炸危险场所内设有员工宿舍、会议室、办公室、休息室等人员聚集场所的。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1.《粉尘防爆安全规程》（GB 15577-2018）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 存在粉尘爆炸危险的工艺设备或存在粉尘爆炸危险场所的建(构)筑物，不应设置在公共场所和居民区内，其防火间距应符合GB 50016的相关规定。存在粉尘爆炸危险场所的建筑物宜为框架结构的单层建筑，其屋顶宜用轻型结构。如为多层建应采用框架结构。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5.7粉尘爆炸危险场所应严格控制区域内作业人员数量，不得设有休息室、会议室等人员密集场所。</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26</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★不同类别的可燃性粉尘、可燃性粉尘与可燃气体等易加剧爆炸危险的介质不允许共用一套除尘系统，不同建（构）筑物、不同防火分区不允许共用一套除尘系统、除尘系统不运行互联互通。</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《工贸企业重大事故隐患判定标准》（应急管理部令第 10 号）第十一条  存在粉尘爆炸危险的工贸企业</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（二）不同类别的可燃性粉尘、可燃性粉尘与可燃气体等易加剧爆炸危险的介质共用一套除尘系统，或者不同建（构）筑物、不同防火分区共用一套除尘系统、除尘系统互联互通的。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《粉尘防爆安全规程》（GB 15577-2018）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8.1.1不同类别的可燃性粉尘不应合用同一除尘系统。</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8.1.2粉尘爆炸危险场所除尘系统不应与带有可燃气体、高温气体、或其它工业气体的风管及设备连通。</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8.1.3应按工艺分片(分区域)设置相对独立的除尘系统。</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8.1.4不同防火分区的除尘系统不应连通。</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27</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★干式除尘系统应规范采用泄爆、隔爆、惰化、抑爆、抗爆等一种或多种控爆措施</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《工贸企业重大事故隐患判定标准》（应急管理部令第 10 号）第十一条  存在粉尘爆炸危险的工贸企业</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（三）干式除尘系统未采取泄爆、惰化、抑爆等任一种爆炸防控措施的。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1《粉尘防爆安全规程》（GB 15577-2018）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7.1.3  存在粉尘爆炸危险的工艺设备，应采用泄爆、抑爆和隔爆、抗爆中的一种或多种控爆方式，但不能单独采取隔爆。</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2.《铝镁制品机械加工粉尘防爆安全技术规范》 （AQ 4273-2016）9.1.2干式除尘系统应按照粉尘爆炸特性采取预防和控制粉尘爆炸的措施，选用降低爆炸危险的以下一种或多种防爆装置：泄爆装置、惰化装置、隔爆装置、抑爆装置。</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3.《粉尘爆炸危险场所用除尘系统安全技术规范》 （AQ 4273-2016）4.2干式除尘系统应按照粉尘爆炸特性采取预防和控制粉尘爆炸的措施，选用降低爆炸危险的以下一种或多种防爆装置：泄爆装置、惰化装置、隔爆装置、抑爆装制。</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28</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★禁止采用粉尘沉降室除尘，禁止采用干式巷道式构筑物作为除尘风道</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2.《工贸企业重大事故隐患判定标准》（应急管理部令第 10 号）第十一条  存在粉尘爆炸危险的工贸企业（五）除尘系统采用重力沉降室除尘，或者采用干式巷道式构筑物作为除尘风道的。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1.《粉尘防爆安全规程》（GB 15577-2018）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8.3.2  禁止采用干式巷道式构筑物作为除尘风道。</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8.4.2  禁止采用重力沉降室除尘。</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00B05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3609"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29</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★粉尘爆炸危险场所的20区应使用防爆电气设备设施</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2.《工贸企业重大事故隐患判定标准》（应急管理部令第 10 号）第十一条  存在粉尘爆炸危险的工贸企业（七）除尘器、收尘仓等划分为20区的粉尘爆炸危险场所电气设备不符合防爆要求的。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1.《粉尘防爆安全规程》（GB 15577-2018）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  粉尘爆炸危险场所用电气设备应符合GB 12476.1、GB/T 3836.15的相关规定；应防止由电气设备或线路产生的过热及火花，防止可燃性粉尘进入产生电火花或高温部件的外壳内。</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6.3.3  粉尘爆炸危险场所电气设计、安装应按GB 50058的有关规定执行。</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30</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★粉碎、研磨、造粒等易产生机械点燃源的工艺设备前，应设置铁、石等杂物去除装置，木制品加工企业与砂光机连接的风管应设置火花探测消除装置的；</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2.《工贸企业重大事故隐患判定标准》（应急管理部令第 10 号）第十一条  存在粉尘爆炸危险的工贸企业（八）粉碎、研磨、造粒等易产生机械点燃源的工艺设备前，未设置铁、石等杂物去除装置，或者木制品加工企业与砂光机连接的风管未设置火花探测消除装置的。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1.《粉尘防爆安全规程》（GB 15577-2018）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6.4.5  粉尘输送管道中存在火花等点火源时，如与木质板材加工用砂光机连接的除尘风管、纺织梳棉（麻）设备除尘风管等，应设置火花探测与消除火花的装置。</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p>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31</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★是否落实粉尘清理制度，造成作业现场积尘严重的</w:t>
            </w:r>
          </w:p>
        </w:tc>
        <w:tc>
          <w:tcPr>
            <w:tcW w:w="3683" w:type="dxa"/>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1.《中华人民共和国安全生产法》第四十一条 ……</w:t>
            </w:r>
          </w:p>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经营单位应当建立健全并落实生产安全事故隐患排查治理制度，采取技术、管理措施，及时发现并消除事故隐患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2.《工贸企业重大事故隐患判定标准》（应急管理部令第 10 号）第十一条  存在粉尘爆炸危险的工贸企业（十）未落实粉尘清理制度，造成作业现场积尘严重的。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1.《粉尘防爆安全规程》（GB 15577-2018）</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  企业对粉尘爆炸危险场所应制定包括清扫范围、清扫方式、清扫周期等内容的粉尘清洁制度。</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  所有可能沉积粉尘的区域(包括粉料贮存间)及设备设施的所有部位应进行及时全面规范清扫。</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  应根据粉尘特性采用不产生扬尘的清扫方法，不应使用压缩空气进行吹扫，宜采用负压吸尘方式清洁。</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32</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★存在硫化氢、一氧化碳等中毒风险的有限空间作业的工贸企业应对有限空间进行辨识、建立安全管理台账，并且设置明显的安全警示标志</w:t>
            </w:r>
          </w:p>
        </w:tc>
        <w:tc>
          <w:tcPr>
            <w:tcW w:w="3683" w:type="dxa"/>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1.《中华人民共和国安全生产法》第四十一条 ……</w:t>
            </w:r>
          </w:p>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2.《工贸企业有限空间作业安全管理与监督暂行规定》</w:t>
            </w:r>
          </w:p>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第七条 工贸企业应当对本企业的有限空间进行辨识，确定有限空间的数量、位置以及危险有害因素等基本情况，建立有限空间管理台账，并及时更新；</w:t>
            </w:r>
          </w:p>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第十九条  工贸企业有限空间作业还应当符合下列要求：</w:t>
            </w:r>
          </w:p>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（二）设置明显的安全警示标志和警示说明；</w:t>
            </w:r>
          </w:p>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3.《工贸企业重大事故隐患判定标准》（应急管理部令第10号）</w:t>
            </w:r>
          </w:p>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存在硫化氢、一氧化碳等中毒风险的有限空间作业的工贸企业有下列情形之一的，应当判定为重大事故隐患：</w:t>
            </w:r>
          </w:p>
          <w:p>
            <w:pPr>
              <w:keepNext w:val="0"/>
              <w:keepLines w:val="0"/>
              <w:widowControl/>
              <w:suppressLineNumbers w:val="0"/>
              <w:ind w:firstLine="200" w:firstLineChars="10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(一)未对有限空间进行辨识、建立安全管理台账，并且未设置明显的安全警示标志的。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标志及其使用导则》（GB2894-2008）9.1标志牌应设在与安全有关的醒目地方，并使大家看见后，有足够的时间来注意它所表示的内容。环境信息标志宜设在有关场所的入口处和醒目处；局部信息标志应设在所涉及的相应危险地点或设备（部件）附近的醒目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设工程安全生产管理条例》第二十八条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（一）未在有较大危险因素的生产经营场所和有关设施、设备上设置明显的安全警示标志的；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3.《工贸企业有限空间作业安全管理与监督暂行规定》第二十八条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（一）未在有限空间作业场所设置明显的安全警示标志的；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二十九条 工贸企业有下列情形之一的，由县级以上安全生产监督管理部门给予警告，可以并处2万元以下的罚款：（一）未按照本规定对有限空间作业进行辨识、提出防范措施、建立有限空间管理台账的；</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33</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★存在硫化氢、一氧化碳等中毒风险的有限空间作业的工贸企业未落实有限空间作业审批，或者未执行“先通风、再检测、后作业”要求，或者作业现场未设置监护人员的。</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1.《中华人民共和国安全生产法》第四十一条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生产经营单位应当建立健全并落实生产安全事故隐患排查治理制度，采取技术、管理措施，及时发现并消除事故隐患.....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2.《工贸企业有限空间作业安全管理与监督暂行规定》 第八条  工贸企业实施有限空间作业前，应当对作业环境进行评估，分析存在的危险有害因素，提出消除、控制危害的措施，制定有限空间作业方案，并经本企业安全生产管理人员审核，负责人批准。</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第九条 工贸企业应当按照有限空间作业方案，明确作业现场负责人、监护人员、作业人员及其安全职责。</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3.《工贸企业重大事故隐患判定标准》（应急管理部令第10号）</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存在硫化氢、一氧化碳等中毒风险的有限空间作业的工贸企业有下列情形之一的，应当判定为重大事故隐患：</w:t>
            </w:r>
          </w:p>
          <w:p>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未落实有限空间作业审批，或者未执行“先通风、再检测、后作业”要求，或者作业现场未设置监护人员的。</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2.《工贸企业有限空间作业安全管理与监督暂行规定》第三十条  工贸企业有下列情形之一的，由县级以上安全生产监督管理部门责令限期改正，可以处3万元以下的罚款，对其直接负责的主管人员和其他直接责任人员处1万元以下的罚款：</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（三）未按照本规定对有限空间作业制定作业方案或者方案未经审批擅自作业的；（四）有限空间作业未按照本规定进行危险有害因素检测或者监测，并实行专人监护作业的</w:t>
            </w:r>
          </w:p>
        </w:tc>
        <w:tc>
          <w:tcPr>
            <w:tcW w:w="819" w:type="dxa"/>
            <w:vAlign w:val="center"/>
          </w:tcPr>
          <w:p>
            <w:pPr>
              <w:widowControl/>
              <w:adjustRightInd w:val="0"/>
              <w:snapToGrid w:val="0"/>
              <w:jc w:val="cente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34</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企业在开展吊装、动火、临时用电、有限空间等其他危险作业，未安排专门人员进行现场安全管理的，未遵守安全操作规程和落实安全措施的；冶金企业和有色企业未建立有限空间、动火、高处作业、能源介质停送等较大危险作业和检修、维修作业审批制度的，或者实施工作票（作业票）和操作票管理未严格履行内部审批手续的。</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《中华人民共和国安全生产法》第四十三条 生产经营单位进行爆破、吊装、动火、临时用电以及国务院应急管理部门会同国务院有关部门规定的其他危险作业，应当安排专门人员进行现场安全管理，确保操作规程的遵守和安全措施的落实。</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《冶金企业和有色金属企业安全生产规定》（安监总局令第91号）第三十八条 企业应当建立有限空间、动火、高处作业、能源介质停送等较大危险作业和检修、维修作业审批制度，实施工作票（作业票）和操作票管理，严格履行内部审批手续，并安排专门人员进行现场安全管理，确保作业安全。</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《危险化学品企业特殊作业安全规范》（GB30871-2022）第4.10条 作业期间应设监护人。监护人应由具有生产(作业)实践经验的人员担任,并经专项培训考试合格，佩戴明显标识,持培训合格证上岗。</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（三）进行爆破、吊装、动火、临时用电以及国务院应急管理部门会同国务院有关部门规定的其他危险作业，未安排专门人员进行现场安全管理的；</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p>
        </w:tc>
        <w:tc>
          <w:tcPr>
            <w:tcW w:w="819" w:type="dxa"/>
            <w:vAlign w:val="center"/>
          </w:tcPr>
          <w:p>
            <w:pPr>
              <w:rPr>
                <w:rFonts w:hint="eastAsia" w:ascii="宋体" w:hAnsi="宋体" w:cs="宋体"/>
                <w:b/>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Ex>
        <w:trPr>
          <w:trHeight w:val="570" w:hRule="atLeast"/>
          <w:jc w:val="center"/>
        </w:trPr>
        <w:tc>
          <w:tcPr>
            <w:tcW w:w="862" w:type="dxa"/>
            <w:vAlign w:val="center"/>
          </w:tcPr>
          <w:p>
            <w:pPr>
              <w:keepNext w:val="0"/>
              <w:keepLines w:val="0"/>
              <w:widowControl/>
              <w:suppressLineNumbers w:val="0"/>
              <w:jc w:val="center"/>
              <w:textAlignment w:val="center"/>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35</w:t>
            </w:r>
          </w:p>
        </w:tc>
        <w:tc>
          <w:tcPr>
            <w:tcW w:w="1976"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企业未落实机械伤害“四必有”即有轴必有套、有轮必有罩、有台必有栏、有洞必有盖要求的。</w:t>
            </w:r>
          </w:p>
        </w:tc>
        <w:tc>
          <w:tcPr>
            <w:tcW w:w="3683"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《中华人民共和国安全生产法》第三十六条</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生产经营单位必须对安全设备进行经常性维护、保养，并定期检测，保证正常运转。维护、保养、检测应当作好记录，并由有关人员签字。</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生产经营单位不得关闭、破坏直接关系生产安全的监控、报警、防护、救生设备、设施，或者篡改、隐瞒、销毁其相关数据、信息。</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3224"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《固定式钢梯及平台安全要求第3部分：工业防护栏杆及钢平台》（GB4053.3-2009）4.1.1距下方相邻地板或地面1.2m及以上的平台、通道或者工作面的所有边敞开边缘应设置防护栏杆；</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《机械安全防护装置固定式和活动式防护装置设计与制造一般要求》（GB/T 8196-2018）6.4.2 运动传递部件对运动传递部件，如皮带轮、皮带、齿轮、导轨、齿杆、传动轴产生的危险的防护，应采用固定式防护装置或活动式联锁防护装置。</w:t>
            </w:r>
          </w:p>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《建筑施工高处作业安全技术规范》（JGJ80）第四条 施工现场通道附近的各类洞口与坑槽等处，除设置防护设施与安全标志外，夜间还应设红灯示警。</w:t>
            </w:r>
          </w:p>
        </w:tc>
        <w:tc>
          <w:tcPr>
            <w:tcW w:w="3315" w:type="dxa"/>
            <w:vAlign w:val="center"/>
          </w:tcPr>
          <w:p>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四）关闭、破坏直接关系生产安全的监控、报警、防护、救生设备、设施，或者篡改、隐瞒、销毁其相关数据、信息的；</w:t>
            </w:r>
          </w:p>
        </w:tc>
        <w:tc>
          <w:tcPr>
            <w:tcW w:w="819" w:type="dxa"/>
            <w:vAlign w:val="center"/>
          </w:tcPr>
          <w:p>
            <w:pPr>
              <w:rPr>
                <w:rFonts w:hint="eastAsia" w:ascii="宋体" w:hAnsi="宋体" w:cs="宋体"/>
                <w:b/>
                <w:color w:val="auto"/>
                <w:kern w:val="0"/>
                <w:sz w:val="28"/>
                <w:szCs w:val="28"/>
              </w:rPr>
            </w:pPr>
          </w:p>
        </w:tc>
      </w:tr>
    </w:tbl>
    <w:p>
      <w:pPr>
        <w:pStyle w:val="2"/>
        <w:rPr>
          <w:rFonts w:hint="eastAsia"/>
          <w:lang w:val="en-US" w:eastAsia="zh-CN"/>
        </w:rPr>
      </w:pPr>
    </w:p>
    <w:sectPr>
      <w:footerReference r:id="rId3" w:type="default"/>
      <w:pgSz w:w="16840" w:h="11900" w:orient="landscape"/>
      <w:pgMar w:top="1080" w:right="1440" w:bottom="1080" w:left="1440"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思源黑体 CN">
    <w:altName w:val="黑体"/>
    <w:panose1 w:val="00000000000000000000"/>
    <w:charset w:val="86"/>
    <w:family w:val="auto"/>
    <w:pitch w:val="default"/>
    <w:sig w:usb0="00000000" w:usb1="00000000" w:usb2="00000016" w:usb3="00000000" w:csb0="60060107"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posOffset>4319270</wp:posOffset>
              </wp:positionH>
              <wp:positionV relativeFrom="paragraph">
                <wp:posOffset>-583565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40.1pt;margin-top:-45.95pt;height:144pt;width:144pt;mso-position-horizontal-relative:margin;mso-wrap-style:none;z-index:251658240;mso-width-relative:page;mso-height-relative:page;" filled="f" stroked="f" coordsize="21600,21600" o:gfxdata="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mhGrWAAAACwEAAA8AAAAAAAAAAQAgAAAAIgAAAGRycy9kb3ducmV2LnhtbFBLAQIUABQAAAAI&#10;AIdO4kDc08Q+tgEAAFQDAAAOAAAAAAAAAAEAIAAAACUBAABkcnMvZTJvRG9jLnhtbFBLBQYAAAAA&#10;BgAGAFkBAABNBQAAAAA=&#10;">
              <v:fill on="f" focussize="0,0"/>
              <v:stroke on="f"/>
              <v:imagedata o:title=""/>
              <o:lock v:ext="edit" aspectratio="f"/>
              <v:textbox inset="0mm,0mm,0mm,0mm" style="mso-fit-shape-to-text:t;">
                <w:txbxContent>
                  <w:p>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237B1448"/>
    <w:rsid w:val="1C7A2B78"/>
    <w:rsid w:val="237B1448"/>
    <w:rsid w:val="23DB4FDA"/>
    <w:rsid w:val="388B53B9"/>
    <w:rsid w:val="3AF85FFA"/>
    <w:rsid w:val="40B336DB"/>
    <w:rsid w:val="438948D7"/>
    <w:rsid w:val="45D8343D"/>
    <w:rsid w:val="4B7D0C3D"/>
    <w:rsid w:val="55E174C3"/>
    <w:rsid w:val="5AB53F3E"/>
    <w:rsid w:val="5B0C1FC1"/>
    <w:rsid w:val="5B574C12"/>
    <w:rsid w:val="659A3204"/>
    <w:rsid w:val="6BC02242"/>
    <w:rsid w:val="6C005BE1"/>
    <w:rsid w:val="6C9221A1"/>
    <w:rsid w:val="6FCE0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4">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2023-05-25T04:12:00Z</dcterms:created>
  <dc:creator>孙景海</dc:creator>
  <cp:lastModifiedBy>仙贝</cp:lastModifiedBy>
  <cp:lastPrinted>2023-05-31T03:28:00Z</cp:lastPrinted>
  <dcterms:modified xsi:type="dcterms:W3CDTF">2023-05-31T11:15:12Z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0AF225252E134B158A8BCE701584FDC8</vt:lpwstr>
  </property>
</Properties>
</file>