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克孜勒苏柯尔克孜自治州应急管理局2024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7CB9AA9">
      <w:r>
        <w:br w:type="page"/>
      </w:r>
    </w:p>
    <w:p w14:paraId="2EC504E4">
      <w:pPr>
        <w:spacing w:line="640" w:lineRule="exact"/>
        <w:jc w:val="center"/>
        <w:outlineLvl w:val="1"/>
      </w:pPr>
      <w:r>
        <w:rPr>
          <w:rFonts w:ascii="黑体" w:hAnsi="黑体" w:eastAsia="黑体"/>
          <w:sz w:val="32"/>
        </w:rPr>
        <w:t>第一部分 单位概况</w:t>
      </w:r>
    </w:p>
    <w:p w14:paraId="78B06767">
      <w:pPr>
        <w:spacing w:line="640" w:lineRule="exact"/>
        <w:ind w:firstLine="640"/>
        <w:jc w:val="both"/>
        <w:outlineLvl w:val="2"/>
      </w:pPr>
      <w:r>
        <w:rPr>
          <w:rFonts w:ascii="黑体" w:hAnsi="黑体" w:eastAsia="黑体"/>
          <w:sz w:val="32"/>
        </w:rPr>
        <w:t>一、主要职能</w:t>
      </w:r>
    </w:p>
    <w:p w14:paraId="22CB91C9">
      <w:pPr>
        <w:spacing w:line="580" w:lineRule="exact"/>
        <w:ind w:firstLine="640"/>
        <w:jc w:val="both"/>
      </w:pPr>
      <w:r>
        <w:rPr>
          <w:rFonts w:ascii="仿宋_GB2312" w:hAnsi="仿宋_GB2312" w:eastAsia="仿宋_GB2312"/>
          <w:sz w:val="32"/>
        </w:rPr>
        <w:t>组织编制自治州应急总体预案和安全生产类、自然灾害类专项预案，综合协调应急预案衔接工作，指导各县（市）各部门应对突发事件工作，推动应急预案体系建设和预案演练。落实灾情报告制度并统一发布灾情，统筹应急力量建设和物资储备并在救灾时统一调度，组织灾害救助体系建设，指导安全生产类、自然灾害类应急救援，承担自治州应对各类灾害指挥部工作。指导火灾、水旱灾害、地质灾害等防治。负责安全生产综合监督管理和工矿商贸行业安全生产监督管理工作。</w:t>
      </w:r>
    </w:p>
    <w:p w14:paraId="39D0A0F7">
      <w:pPr>
        <w:spacing w:line="640" w:lineRule="exact"/>
        <w:ind w:firstLine="640"/>
        <w:jc w:val="both"/>
        <w:outlineLvl w:val="2"/>
      </w:pPr>
      <w:r>
        <w:rPr>
          <w:rFonts w:ascii="黑体" w:hAnsi="黑体" w:eastAsia="黑体"/>
          <w:sz w:val="32"/>
        </w:rPr>
        <w:t>二、机构设置及人员情况</w:t>
      </w:r>
    </w:p>
    <w:p w14:paraId="5497A122">
      <w:pPr>
        <w:spacing w:line="580" w:lineRule="exact"/>
        <w:ind w:firstLine="640"/>
        <w:jc w:val="both"/>
      </w:pPr>
      <w:r>
        <w:rPr>
          <w:rFonts w:ascii="仿宋_GB2312" w:hAnsi="仿宋_GB2312" w:eastAsia="仿宋_GB2312"/>
          <w:sz w:val="32"/>
        </w:rPr>
        <w:t>克孜勒苏柯尔克孜自治州应急管理局2024年度，实有人数36人，其中：在职人员27人，减少2人；离休人员0人，增加0人；退休人员9人,增加5人。</w:t>
      </w:r>
    </w:p>
    <w:p w14:paraId="3745329B">
      <w:pPr>
        <w:spacing w:line="580" w:lineRule="exact"/>
        <w:ind w:firstLine="640"/>
        <w:jc w:val="both"/>
      </w:pPr>
      <w:r>
        <w:rPr>
          <w:rFonts w:ascii="仿宋_GB2312" w:hAnsi="仿宋_GB2312" w:eastAsia="仿宋_GB2312"/>
          <w:sz w:val="32"/>
        </w:rPr>
        <w:t>克孜勒苏柯尔克孜自治州应急管理局无下属预算单位，下设4个科室，分别是：办公室、应急管理科、危化工贸监管科、矿山安全监管科。</w:t>
      </w:r>
    </w:p>
    <w:p w14:paraId="166A67BA">
      <w:r>
        <w:br w:type="page"/>
      </w:r>
    </w:p>
    <w:p w14:paraId="21E7536B">
      <w:pPr>
        <w:spacing w:line="240" w:lineRule="auto"/>
        <w:jc w:val="center"/>
        <w:outlineLvl w:val="1"/>
      </w:pPr>
      <w:r>
        <w:rPr>
          <w:rFonts w:ascii="黑体" w:hAnsi="黑体" w:eastAsia="黑体"/>
          <w:sz w:val="32"/>
        </w:rPr>
        <w:t>第二部分 部门决算情况说明</w:t>
      </w:r>
    </w:p>
    <w:p w14:paraId="4C4F756B">
      <w:pPr>
        <w:spacing w:line="640" w:lineRule="exact"/>
        <w:ind w:firstLine="640"/>
        <w:jc w:val="both"/>
        <w:outlineLvl w:val="2"/>
      </w:pPr>
      <w:r>
        <w:rPr>
          <w:rFonts w:ascii="黑体" w:hAnsi="黑体" w:eastAsia="黑体"/>
          <w:sz w:val="32"/>
        </w:rPr>
        <w:t>一、收入支出决算总体情况说明</w:t>
      </w:r>
    </w:p>
    <w:p w14:paraId="132CBF09">
      <w:pPr>
        <w:spacing w:line="580" w:lineRule="exact"/>
        <w:ind w:firstLine="640"/>
        <w:jc w:val="both"/>
      </w:pPr>
      <w:r>
        <w:rPr>
          <w:rFonts w:ascii="仿宋_GB2312" w:hAnsi="仿宋_GB2312" w:eastAsia="仿宋_GB2312"/>
          <w:b/>
          <w:sz w:val="32"/>
        </w:rPr>
        <w:t>2024年度收入总计6,320.87万元，</w:t>
      </w:r>
      <w:r>
        <w:rPr>
          <w:rFonts w:ascii="仿宋_GB2312" w:hAnsi="仿宋_GB2312" w:eastAsia="仿宋_GB2312"/>
          <w:b w:val="0"/>
          <w:sz w:val="32"/>
        </w:rPr>
        <w:t>其中：本年收入合计6,310.86万元，使用非财政拨款结余（含专用结余）0.00万元，年初结转和结余10.01万元。</w:t>
      </w:r>
    </w:p>
    <w:p w14:paraId="72E70973">
      <w:pPr>
        <w:spacing w:line="580" w:lineRule="exact"/>
        <w:ind w:firstLine="640"/>
        <w:jc w:val="both"/>
      </w:pPr>
      <w:r>
        <w:rPr>
          <w:rFonts w:ascii="仿宋_GB2312" w:hAnsi="仿宋_GB2312" w:eastAsia="仿宋_GB2312"/>
          <w:b/>
          <w:sz w:val="32"/>
        </w:rPr>
        <w:t>2024年度支出总计6,320.87万元，</w:t>
      </w:r>
      <w:r>
        <w:rPr>
          <w:rFonts w:ascii="仿宋_GB2312" w:hAnsi="仿宋_GB2312" w:eastAsia="仿宋_GB2312"/>
          <w:b w:val="0"/>
          <w:sz w:val="32"/>
        </w:rPr>
        <w:t>其中：本年支出合计6,320.87万元，结余分配0.00万元，年末结转和结余0.00万元。</w:t>
      </w:r>
    </w:p>
    <w:p w14:paraId="66E5CBBC">
      <w:pPr>
        <w:spacing w:line="580" w:lineRule="exact"/>
        <w:ind w:firstLine="640"/>
        <w:jc w:val="both"/>
      </w:pPr>
      <w:r>
        <w:rPr>
          <w:rFonts w:ascii="仿宋_GB2312" w:hAnsi="仿宋_GB2312" w:eastAsia="仿宋_GB2312"/>
          <w:b w:val="0"/>
          <w:sz w:val="32"/>
        </w:rPr>
        <w:t>收入支出总体与上年相比，增加5,591.87万元，增长767.06%，主要原因是：本年增加新疆克州自然灾害能力提升基层防灾工程项目、非煤矿山领域政府购买第三方服务项目等项目。</w:t>
      </w:r>
    </w:p>
    <w:p w14:paraId="78887B0F">
      <w:pPr>
        <w:spacing w:line="640" w:lineRule="exact"/>
        <w:ind w:firstLine="640"/>
        <w:jc w:val="both"/>
        <w:outlineLvl w:val="2"/>
      </w:pPr>
      <w:r>
        <w:rPr>
          <w:rFonts w:ascii="黑体" w:hAnsi="黑体" w:eastAsia="黑体"/>
          <w:sz w:val="32"/>
        </w:rPr>
        <w:t>二、收入决算情况说明</w:t>
      </w:r>
    </w:p>
    <w:p w14:paraId="09123BF4">
      <w:pPr>
        <w:spacing w:line="580" w:lineRule="exact"/>
        <w:ind w:firstLine="640"/>
        <w:jc w:val="both"/>
      </w:pPr>
      <w:r>
        <w:rPr>
          <w:rFonts w:ascii="仿宋_GB2312" w:hAnsi="仿宋_GB2312" w:eastAsia="仿宋_GB2312"/>
          <w:b/>
          <w:sz w:val="32"/>
        </w:rPr>
        <w:t>本年收入6,310.86万元，</w:t>
      </w:r>
      <w:r>
        <w:rPr>
          <w:rFonts w:ascii="仿宋_GB2312" w:hAnsi="仿宋_GB2312" w:eastAsia="仿宋_GB2312"/>
          <w:b w:val="0"/>
          <w:sz w:val="32"/>
        </w:rPr>
        <w:t>其中：财政拨款收入6,310.83万元，占100.00%；上级补助收入0.00万元，占0.00%；事业收入0.00万元，占0.00%；经营收入0.00万元，占0.00%；附属单位上缴收入0.00万元，占0.00%；其他收入0.04万元，占0.0006%。</w:t>
      </w:r>
    </w:p>
    <w:p w14:paraId="1C281EDB">
      <w:pPr>
        <w:spacing w:line="640" w:lineRule="exact"/>
        <w:ind w:firstLine="640"/>
        <w:jc w:val="both"/>
        <w:outlineLvl w:val="2"/>
      </w:pPr>
      <w:r>
        <w:rPr>
          <w:rFonts w:ascii="黑体" w:hAnsi="黑体" w:eastAsia="黑体"/>
          <w:sz w:val="32"/>
        </w:rPr>
        <w:t>三、支出决算情况说明</w:t>
      </w:r>
    </w:p>
    <w:p w14:paraId="114DFE40">
      <w:pPr>
        <w:spacing w:line="580" w:lineRule="exact"/>
        <w:ind w:firstLine="640"/>
        <w:jc w:val="both"/>
      </w:pPr>
      <w:r>
        <w:rPr>
          <w:rFonts w:ascii="仿宋_GB2312" w:hAnsi="仿宋_GB2312" w:eastAsia="仿宋_GB2312"/>
          <w:b/>
          <w:sz w:val="32"/>
        </w:rPr>
        <w:t>本年支出6,320.87万元，</w:t>
      </w:r>
      <w:r>
        <w:rPr>
          <w:rFonts w:ascii="仿宋_GB2312" w:hAnsi="仿宋_GB2312" w:eastAsia="仿宋_GB2312"/>
          <w:b w:val="0"/>
          <w:sz w:val="32"/>
        </w:rPr>
        <w:t>其中：基本支出671.10万元，占10.62%；项目支出5,649.78万元，占89.38%；上缴上级支出0.00万元，占0.00%；经营支出0.00万元，占0.00%；对附属单位补助支出0.00万元，占0.00%。</w:t>
      </w:r>
    </w:p>
    <w:p w14:paraId="716055CB">
      <w:pPr>
        <w:spacing w:line="640" w:lineRule="exact"/>
        <w:ind w:firstLine="640"/>
        <w:jc w:val="both"/>
        <w:outlineLvl w:val="2"/>
      </w:pPr>
      <w:r>
        <w:rPr>
          <w:rFonts w:ascii="黑体" w:hAnsi="黑体" w:eastAsia="黑体"/>
          <w:sz w:val="32"/>
        </w:rPr>
        <w:t>四、财政拨款收入支出决算总体情况说明</w:t>
      </w:r>
    </w:p>
    <w:p w14:paraId="42F7B3B2">
      <w:pPr>
        <w:spacing w:line="580" w:lineRule="exact"/>
        <w:ind w:firstLine="640"/>
        <w:jc w:val="both"/>
      </w:pPr>
      <w:r>
        <w:rPr>
          <w:rFonts w:ascii="仿宋_GB2312" w:hAnsi="仿宋_GB2312" w:eastAsia="仿宋_GB2312"/>
          <w:b/>
          <w:sz w:val="32"/>
        </w:rPr>
        <w:t>2024年度财政拨款收入总计6,310.83万元，</w:t>
      </w:r>
      <w:r>
        <w:rPr>
          <w:rFonts w:ascii="仿宋_GB2312" w:hAnsi="仿宋_GB2312" w:eastAsia="仿宋_GB2312"/>
          <w:b w:val="0"/>
          <w:sz w:val="32"/>
        </w:rPr>
        <w:t>其中：年初财政拨款结转和结余0.00万元，本年财政拨款收入6,310.83万元。</w:t>
      </w:r>
      <w:r>
        <w:rPr>
          <w:rFonts w:ascii="仿宋_GB2312" w:hAnsi="仿宋_GB2312" w:eastAsia="仿宋_GB2312"/>
          <w:b/>
          <w:sz w:val="32"/>
        </w:rPr>
        <w:t>财政拨款支出总计6,310.83万元，</w:t>
      </w:r>
      <w:r>
        <w:rPr>
          <w:rFonts w:ascii="仿宋_GB2312" w:hAnsi="仿宋_GB2312" w:eastAsia="仿宋_GB2312"/>
          <w:b w:val="0"/>
          <w:sz w:val="32"/>
        </w:rPr>
        <w:t>其中：年末财政拨款结转和结余0.00万元，本年财政拨款支出6,310.83万元。</w:t>
      </w:r>
    </w:p>
    <w:p w14:paraId="0C77FD3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增加5,591.85万元，增长777.75%，主要原因是：本年增加新疆克州自然灾害能力提升基层防灾工程项目、非煤矿山领域政府购买第三方服务项目等项目。</w:t>
      </w:r>
      <w:r>
        <w:rPr>
          <w:rFonts w:ascii="仿宋_GB2312" w:hAnsi="仿宋_GB2312" w:eastAsia="仿宋_GB2312"/>
          <w:b/>
          <w:sz w:val="32"/>
        </w:rPr>
        <w:t>与年初预算相比，</w:t>
      </w:r>
      <w:r>
        <w:rPr>
          <w:rFonts w:ascii="仿宋_GB2312" w:hAnsi="仿宋_GB2312" w:eastAsia="仿宋_GB2312"/>
          <w:b w:val="0"/>
          <w:sz w:val="32"/>
        </w:rPr>
        <w:t>年初预算数667.87万元，决算数6,310.83万元，预决算差异率844.92%，主要原因是：年中追加新疆克州自然灾害能力提升基层防灾工程项目、非煤矿山领域政府购买第三方服务项目等项目，导致预决算差异。</w:t>
      </w:r>
    </w:p>
    <w:p w14:paraId="0FADD969">
      <w:pPr>
        <w:spacing w:line="640" w:lineRule="exact"/>
        <w:ind w:firstLine="640"/>
        <w:jc w:val="both"/>
        <w:outlineLvl w:val="2"/>
      </w:pPr>
      <w:r>
        <w:rPr>
          <w:rFonts w:ascii="黑体" w:hAnsi="黑体" w:eastAsia="黑体"/>
          <w:sz w:val="32"/>
        </w:rPr>
        <w:t>五、一般公共预算财政拨款支出决算情况说明</w:t>
      </w:r>
    </w:p>
    <w:p w14:paraId="31051D44">
      <w:pPr>
        <w:spacing w:line="640" w:lineRule="exact"/>
        <w:ind w:firstLine="640"/>
        <w:jc w:val="both"/>
        <w:outlineLvl w:val="3"/>
      </w:pPr>
      <w:r>
        <w:rPr>
          <w:rFonts w:ascii="楷体_GB2312" w:hAnsi="楷体_GB2312" w:eastAsia="楷体_GB2312"/>
          <w:b/>
          <w:sz w:val="32"/>
        </w:rPr>
        <w:t>（一）一般公共预算财政拨款支出决算总体情况</w:t>
      </w:r>
    </w:p>
    <w:p w14:paraId="237169A0">
      <w:pPr>
        <w:spacing w:line="580" w:lineRule="exact"/>
        <w:ind w:firstLine="640"/>
        <w:jc w:val="both"/>
      </w:pPr>
      <w:r>
        <w:rPr>
          <w:rFonts w:ascii="仿宋_GB2312" w:hAnsi="仿宋_GB2312" w:eastAsia="仿宋_GB2312"/>
          <w:b/>
          <w:sz w:val="32"/>
        </w:rPr>
        <w:t>2024年度一般公共预算财政拨款支出6,310.83万元，</w:t>
      </w:r>
      <w:r>
        <w:rPr>
          <w:rFonts w:ascii="仿宋_GB2312" w:hAnsi="仿宋_GB2312" w:eastAsia="仿宋_GB2312"/>
          <w:b w:val="0"/>
          <w:sz w:val="32"/>
        </w:rPr>
        <w:t>占本年支出合计的99.84%。</w:t>
      </w:r>
      <w:r>
        <w:rPr>
          <w:rFonts w:ascii="仿宋_GB2312" w:hAnsi="仿宋_GB2312" w:eastAsia="仿宋_GB2312"/>
          <w:b/>
          <w:sz w:val="32"/>
        </w:rPr>
        <w:t>与上年相比，</w:t>
      </w:r>
      <w:r>
        <w:rPr>
          <w:rFonts w:ascii="仿宋_GB2312" w:hAnsi="仿宋_GB2312" w:eastAsia="仿宋_GB2312"/>
          <w:b w:val="0"/>
          <w:sz w:val="32"/>
        </w:rPr>
        <w:t>增加5,591.85万元，增长777.75%，主要原因是：本年增加新疆克州自然灾害能力提升基层防灾工程项目、非煤矿山领域政府购买第三方服务项目等项目。</w:t>
      </w:r>
      <w:r>
        <w:rPr>
          <w:rFonts w:ascii="仿宋_GB2312" w:hAnsi="仿宋_GB2312" w:eastAsia="仿宋_GB2312"/>
          <w:b/>
          <w:sz w:val="32"/>
        </w:rPr>
        <w:t>与年初预算相比,</w:t>
      </w:r>
      <w:r>
        <w:rPr>
          <w:rFonts w:ascii="仿宋_GB2312" w:hAnsi="仿宋_GB2312" w:eastAsia="仿宋_GB2312"/>
          <w:b w:val="0"/>
          <w:sz w:val="32"/>
        </w:rPr>
        <w:t>年初预算数667.87万元，决算数6,310.83万元，预决算差异率844.92%，主要原因是：年中追加新疆克州自然灾害能力提升基层防灾工程项目、非煤矿山领域政府购买第三方服务项目等项目，导致预决算差异。</w:t>
      </w:r>
    </w:p>
    <w:p w14:paraId="2B3C3311">
      <w:pPr>
        <w:spacing w:line="640" w:lineRule="exact"/>
        <w:ind w:firstLine="640"/>
        <w:jc w:val="both"/>
        <w:outlineLvl w:val="3"/>
      </w:pPr>
      <w:r>
        <w:rPr>
          <w:rFonts w:ascii="楷体_GB2312" w:hAnsi="楷体_GB2312" w:eastAsia="楷体_GB2312"/>
          <w:b/>
          <w:sz w:val="32"/>
        </w:rPr>
        <w:t>（二）一般公共预算财政拨款支出决算结构情况</w:t>
      </w:r>
    </w:p>
    <w:p w14:paraId="38D0D85D">
      <w:pPr>
        <w:spacing w:line="580" w:lineRule="exact"/>
        <w:ind w:firstLine="640"/>
        <w:jc w:val="both"/>
      </w:pPr>
      <w:r>
        <w:rPr>
          <w:rFonts w:ascii="仿宋_GB2312" w:hAnsi="仿宋_GB2312" w:eastAsia="仿宋_GB2312"/>
          <w:b w:val="0"/>
          <w:sz w:val="32"/>
        </w:rPr>
        <w:t>1.社会保障和就业支出(类)116.09万元,占1.84%。</w:t>
      </w:r>
    </w:p>
    <w:p w14:paraId="08971A00">
      <w:pPr>
        <w:spacing w:line="580" w:lineRule="exact"/>
        <w:ind w:firstLine="640"/>
        <w:jc w:val="both"/>
      </w:pPr>
      <w:r>
        <w:rPr>
          <w:rFonts w:ascii="仿宋_GB2312" w:hAnsi="仿宋_GB2312" w:eastAsia="仿宋_GB2312"/>
          <w:b w:val="0"/>
          <w:sz w:val="32"/>
        </w:rPr>
        <w:t>2.灾害防治及应急管理支出(类)6,194.74万元,占98.16%。</w:t>
      </w:r>
    </w:p>
    <w:p w14:paraId="104123BD">
      <w:pPr>
        <w:spacing w:line="640" w:lineRule="exact"/>
        <w:ind w:firstLine="640"/>
        <w:jc w:val="both"/>
        <w:outlineLvl w:val="3"/>
      </w:pPr>
      <w:r>
        <w:rPr>
          <w:rFonts w:ascii="楷体_GB2312" w:hAnsi="楷体_GB2312" w:eastAsia="楷体_GB2312"/>
          <w:b/>
          <w:sz w:val="32"/>
        </w:rPr>
        <w:t>（三）一般公共预算财政拨款支出决算具体情况</w:t>
      </w:r>
    </w:p>
    <w:p w14:paraId="28B483B2">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1.社会保障和就业支出(类)行政事业单位养老支出(款)行政单位离退休(项):支出决算数为12.28万元，比上年决算增加5.39万元，增长78.23%,主要原因是：本年退休人员增加，退休费支出增加。</w:t>
      </w:r>
    </w:p>
    <w:p w14:paraId="22C59942">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58.47万元，比上年决算增加5.05万元，增长9.45%,主要原因是：本年在职人员工资基数调增，养老缴费基数上涨，相应支出增加。</w:t>
      </w:r>
    </w:p>
    <w:p w14:paraId="6B3A7B42">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3.社会保障和就业支出(类)行政事业单位养老支出(款)机关事业单位职业年金缴费支出(项):支出决算数为45.34万元，比上年决算增加37.41万元，增长471.75%,主要原因是：本年新增退休人员，职业年金缴费支出增加。</w:t>
      </w:r>
    </w:p>
    <w:p w14:paraId="2A5CAE95">
      <w:pPr>
        <w:spacing w:line="580" w:lineRule="exact"/>
        <w:ind w:firstLine="640"/>
        <w:jc w:val="both"/>
      </w:pPr>
      <w:r>
        <w:rPr>
          <w:rFonts w:ascii="仿宋_GB2312" w:hAnsi="仿宋_GB2312" w:eastAsia="仿宋_GB2312"/>
          <w:b w:val="0"/>
          <w:sz w:val="32"/>
        </w:rPr>
        <w:t>4.灾害防治及应急管理支出(类)应急管理事务(款)行政运行(项):支出决算数为440.19万元，比上年决算减少9.01万元，下降2.01%,主要原因是：本年在职人员减少，相应人员经费较上年减少。</w:t>
      </w:r>
    </w:p>
    <w:p w14:paraId="55EA3CF9">
      <w:pPr>
        <w:spacing w:line="580" w:lineRule="exact"/>
        <w:ind w:firstLine="640"/>
        <w:jc w:val="both"/>
      </w:pPr>
      <w:r>
        <w:rPr>
          <w:rFonts w:ascii="仿宋_GB2312" w:hAnsi="仿宋_GB2312" w:eastAsia="仿宋_GB2312"/>
          <w:b w:val="0"/>
          <w:sz w:val="32"/>
        </w:rPr>
        <w:t>5.灾害防治及应急管理支出(类)应急管理事务(款)灾害风险防治(项):支出决算数为5,555.98万元，比上年决算增加5,555.98万元，增长100.00%,主要原因是：本年增加新疆克州自然灾害能力提升基层防灾工程项目、非煤矿山领域政府购买第三方服务项目。</w:t>
      </w:r>
    </w:p>
    <w:p w14:paraId="20E71104">
      <w:pPr>
        <w:spacing w:line="580" w:lineRule="exact"/>
        <w:ind w:firstLine="640"/>
        <w:jc w:val="both"/>
      </w:pPr>
      <w:r>
        <w:rPr>
          <w:rFonts w:ascii="仿宋_GB2312" w:hAnsi="仿宋_GB2312" w:eastAsia="仿宋_GB2312"/>
          <w:b w:val="0"/>
          <w:sz w:val="32"/>
        </w:rPr>
        <w:t>6.灾害防治及应急管理支出(类)应急管理事务(款)事业运行(项):支出决算数为114.78万元，比上年决算增加8.40万元，增长7.90%,主要原因是：本年</w:t>
      </w:r>
      <w:r>
        <w:rPr>
          <w:rFonts w:hint="eastAsia" w:ascii="仿宋_GB2312" w:hAnsi="仿宋_GB2312" w:eastAsia="仿宋_GB2312"/>
          <w:b w:val="0"/>
          <w:sz w:val="32"/>
          <w:lang w:val="en-US" w:eastAsia="zh-CN"/>
        </w:rPr>
        <w:t>事业</w:t>
      </w:r>
      <w:r>
        <w:rPr>
          <w:rFonts w:ascii="仿宋_GB2312" w:hAnsi="仿宋_GB2312" w:eastAsia="仿宋_GB2312"/>
          <w:b w:val="0"/>
          <w:sz w:val="32"/>
        </w:rPr>
        <w:t>在职人员工资调增，导致相关人员经费较上年有所增加。</w:t>
      </w:r>
    </w:p>
    <w:p w14:paraId="4CAC0FEF">
      <w:pPr>
        <w:spacing w:line="580" w:lineRule="exact"/>
        <w:ind w:firstLine="640"/>
        <w:jc w:val="both"/>
      </w:pPr>
      <w:r>
        <w:rPr>
          <w:rFonts w:ascii="仿宋_GB2312" w:hAnsi="仿宋_GB2312" w:eastAsia="仿宋_GB2312"/>
          <w:b w:val="0"/>
          <w:sz w:val="32"/>
        </w:rPr>
        <w:t>7.灾害防治及应急管理支出(类)应急管理事务(款)其他应急管理支出(项):支出决算数为83.80万元，比上年决算减少11.35万元，下降11.93%,主要原因是：本年减少应急平台建设项目资金。</w:t>
      </w:r>
    </w:p>
    <w:p w14:paraId="4A169364">
      <w:pPr>
        <w:spacing w:line="640" w:lineRule="exact"/>
        <w:ind w:firstLine="640"/>
        <w:jc w:val="both"/>
        <w:outlineLvl w:val="2"/>
      </w:pPr>
      <w:r>
        <w:rPr>
          <w:rFonts w:ascii="黑体" w:hAnsi="黑体" w:eastAsia="黑体"/>
          <w:sz w:val="32"/>
        </w:rPr>
        <w:t>六、一般公共预算财政拨款基本支出决算情况说明</w:t>
      </w:r>
    </w:p>
    <w:p w14:paraId="0F27432A">
      <w:pPr>
        <w:spacing w:line="580" w:lineRule="exact"/>
        <w:ind w:firstLine="640"/>
        <w:jc w:val="both"/>
      </w:pPr>
      <w:r>
        <w:rPr>
          <w:rFonts w:ascii="仿宋_GB2312" w:hAnsi="仿宋_GB2312" w:eastAsia="仿宋_GB2312"/>
          <w:b w:val="0"/>
          <w:sz w:val="32"/>
        </w:rPr>
        <w:t>2024年度一般公共预算财政拨款基本支出671.05万元，其中：</w:t>
      </w:r>
      <w:r>
        <w:rPr>
          <w:rFonts w:ascii="仿宋_GB2312" w:hAnsi="仿宋_GB2312" w:eastAsia="仿宋_GB2312"/>
          <w:b/>
          <w:sz w:val="32"/>
        </w:rPr>
        <w:t>人员经费644.04万元，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包括：基本工资、津贴补贴、奖金、机关事业单位基本养老保险缴费、职业年金缴费、职工基本医疗保险缴费、其他社会保障缴费、住房公积金、退休费、生活补助、奖励金、其他对个人和家庭的补助。</w:t>
      </w:r>
    </w:p>
    <w:p w14:paraId="3F86B3FB">
      <w:pPr>
        <w:spacing w:line="580" w:lineRule="exact"/>
        <w:ind w:firstLine="640"/>
        <w:jc w:val="both"/>
      </w:pPr>
      <w:r>
        <w:rPr>
          <w:rFonts w:ascii="仿宋_GB2312" w:hAnsi="仿宋_GB2312" w:eastAsia="仿宋_GB2312"/>
          <w:b/>
          <w:sz w:val="32"/>
        </w:rPr>
        <w:t>公用经费27.01万元，</w:t>
      </w:r>
      <w:r>
        <w:rPr>
          <w:rFonts w:ascii="仿宋_GB2312" w:hAnsi="仿宋_GB2312" w:eastAsia="仿宋_GB2312"/>
          <w:b w:val="0"/>
          <w:sz w:val="32"/>
        </w:rPr>
        <w:t>包括：办公费、水费、电费、取暖费、差旅费、维修（护）费、公务接待费、劳务费、工会经费、福利费、公务用车运行维护费、办公设备购置。</w:t>
      </w:r>
    </w:p>
    <w:p w14:paraId="264931D8">
      <w:pPr>
        <w:spacing w:line="640" w:lineRule="exact"/>
        <w:ind w:firstLine="640"/>
        <w:jc w:val="both"/>
        <w:outlineLvl w:val="2"/>
      </w:pPr>
      <w:r>
        <w:rPr>
          <w:rFonts w:ascii="黑体" w:hAnsi="黑体" w:eastAsia="黑体"/>
          <w:sz w:val="32"/>
        </w:rPr>
        <w:t>七、政府性基金预算财政拨款收入支出决算情况说明</w:t>
      </w:r>
    </w:p>
    <w:p w14:paraId="049C5BE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AD34E79">
      <w:pPr>
        <w:spacing w:line="640" w:lineRule="exact"/>
        <w:ind w:firstLine="640"/>
        <w:jc w:val="both"/>
        <w:outlineLvl w:val="2"/>
      </w:pPr>
      <w:r>
        <w:rPr>
          <w:rFonts w:ascii="黑体" w:hAnsi="黑体" w:eastAsia="黑体"/>
          <w:sz w:val="32"/>
        </w:rPr>
        <w:t>八、国有资本经营预算财政拨款收入支出决算情况说明</w:t>
      </w:r>
    </w:p>
    <w:p w14:paraId="1C509C1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4CAC051">
      <w:pPr>
        <w:spacing w:line="640" w:lineRule="exact"/>
        <w:ind w:firstLine="640"/>
        <w:jc w:val="both"/>
        <w:outlineLvl w:val="2"/>
      </w:pPr>
      <w:r>
        <w:rPr>
          <w:rFonts w:ascii="黑体" w:hAnsi="黑体" w:eastAsia="黑体"/>
          <w:sz w:val="32"/>
        </w:rPr>
        <w:t>九、财政拨款“三公”经费支出决算情况说明</w:t>
      </w:r>
    </w:p>
    <w:p w14:paraId="1FF3672E">
      <w:pPr>
        <w:spacing w:line="580" w:lineRule="exact"/>
        <w:ind w:firstLine="640"/>
        <w:jc w:val="both"/>
      </w:pPr>
      <w:r>
        <w:rPr>
          <w:rFonts w:ascii="仿宋_GB2312" w:hAnsi="仿宋_GB2312" w:eastAsia="仿宋_GB2312"/>
          <w:b/>
          <w:sz w:val="32"/>
        </w:rPr>
        <w:t>2024年度财政拨款“三公”经费支出8.90万元，</w:t>
      </w:r>
      <w:r>
        <w:rPr>
          <w:rFonts w:ascii="仿宋_GB2312" w:hAnsi="仿宋_GB2312" w:eastAsia="仿宋_GB2312"/>
          <w:b w:val="0"/>
          <w:sz w:val="32"/>
        </w:rPr>
        <w:t>比上年增加2.51万元，增长39.28%，主要原因是：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加大安全生产执法力度，车辆加油费、过路费、维修费增加，增加财政拨款“三公”经费支出。其中：因公出国（境）费支出0.00万元，占0.00%，比上年增加0.00万元，增长0.00%，主要原因是：2023年与2024年均未安排因公出国（境）费支出。公务用车购置及运行维护费支出7.90万元，占88.76%，比上年增加2.51万元，增长46.57%，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加大安全生产执法力度，车辆加油费、过路费、维修费增加。公务接待费支出1.00万元，占11.24%，比上年增加0.00万元，增长0.00%，主要原因是：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单位公务接待费与上年一致无变化。</w:t>
      </w:r>
    </w:p>
    <w:p w14:paraId="60F4B8C0">
      <w:pPr>
        <w:spacing w:line="580" w:lineRule="exact"/>
        <w:ind w:firstLine="640"/>
        <w:jc w:val="both"/>
      </w:pPr>
      <w:r>
        <w:rPr>
          <w:rFonts w:ascii="仿宋_GB2312" w:hAnsi="仿宋_GB2312" w:eastAsia="仿宋_GB2312"/>
          <w:b/>
          <w:sz w:val="32"/>
        </w:rPr>
        <w:t>具体情况如下：</w:t>
      </w:r>
    </w:p>
    <w:p w14:paraId="0EA7F60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9EA686A">
      <w:pPr>
        <w:spacing w:line="580" w:lineRule="exact"/>
        <w:ind w:firstLine="640"/>
        <w:jc w:val="both"/>
      </w:pPr>
      <w:r>
        <w:rPr>
          <w:rFonts w:ascii="仿宋_GB2312" w:hAnsi="仿宋_GB2312" w:eastAsia="仿宋_GB2312"/>
          <w:b w:val="0"/>
          <w:sz w:val="32"/>
        </w:rPr>
        <w:t>公务用车购置及运行维护费7.90万元，其中：公务用车购置费0.00万元，公务用车运行维护费7.90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6E14AB32">
      <w:pPr>
        <w:spacing w:line="580" w:lineRule="exact"/>
        <w:ind w:firstLine="640"/>
        <w:jc w:val="both"/>
      </w:pPr>
      <w:r>
        <w:rPr>
          <w:rFonts w:ascii="仿宋_GB2312" w:hAnsi="仿宋_GB2312" w:eastAsia="仿宋_GB2312"/>
          <w:b w:val="0"/>
          <w:sz w:val="32"/>
        </w:rPr>
        <w:t>公务接待费1.00万元，开支内容包括接待上级领导检查、督导组检查、工作小组考察学习产生的就餐费。单位全年安排的国内公务接待4批次，92人次。</w:t>
      </w:r>
    </w:p>
    <w:p w14:paraId="577DCF5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8.90万元，决算数8.90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7.90万元，决算数7.90万元，预决算差异率0.00%，主要原因是：严格按照预算执行，预决算无差异。公务接待费全年预算数1.00万元，决算数1.00万元，预决算差异率0.00%，主要原因是：严格按照预算执行，预决算无差异。</w:t>
      </w:r>
    </w:p>
    <w:p w14:paraId="7A0C5A7A">
      <w:pPr>
        <w:spacing w:line="640" w:lineRule="exact"/>
        <w:ind w:firstLine="640"/>
        <w:jc w:val="both"/>
        <w:outlineLvl w:val="2"/>
      </w:pPr>
      <w:r>
        <w:rPr>
          <w:rFonts w:ascii="黑体" w:hAnsi="黑体" w:eastAsia="黑体"/>
          <w:sz w:val="32"/>
        </w:rPr>
        <w:t>十、其他重要事项的情况说明</w:t>
      </w:r>
    </w:p>
    <w:p w14:paraId="68206FAA">
      <w:pPr>
        <w:spacing w:line="640" w:lineRule="exact"/>
        <w:ind w:firstLine="640"/>
        <w:jc w:val="both"/>
        <w:outlineLvl w:val="3"/>
      </w:pPr>
      <w:r>
        <w:rPr>
          <w:rFonts w:ascii="楷体_GB2312" w:hAnsi="楷体_GB2312" w:eastAsia="楷体_GB2312"/>
          <w:b/>
          <w:sz w:val="32"/>
        </w:rPr>
        <w:t>（一）机关运行经费及公用经费支出情况</w:t>
      </w:r>
    </w:p>
    <w:p w14:paraId="6832551E">
      <w:pPr>
        <w:spacing w:line="580" w:lineRule="exact"/>
        <w:ind w:firstLine="640"/>
        <w:jc w:val="both"/>
      </w:pPr>
      <w:r>
        <w:rPr>
          <w:rFonts w:ascii="仿宋_GB2312" w:hAnsi="仿宋_GB2312" w:eastAsia="仿宋_GB2312"/>
          <w:b w:val="0"/>
          <w:sz w:val="32"/>
        </w:rPr>
        <w:t>2024年度克孜勒苏柯尔克孜自治州应急管理局（行政单位和参照公务员法管理事业单位）机关运行经费支出27.01万元，比上年减少5.65万元，下降17.30%，主要原因是：严控经费支出，厉行节约，减少经费支出。</w:t>
      </w:r>
    </w:p>
    <w:p w14:paraId="43976A94">
      <w:pPr>
        <w:spacing w:line="640" w:lineRule="exact"/>
        <w:ind w:firstLine="640"/>
        <w:jc w:val="both"/>
        <w:outlineLvl w:val="3"/>
      </w:pPr>
      <w:r>
        <w:rPr>
          <w:rFonts w:ascii="楷体_GB2312" w:hAnsi="楷体_GB2312" w:eastAsia="楷体_GB2312"/>
          <w:b/>
          <w:sz w:val="32"/>
        </w:rPr>
        <w:t>（二）政府采购情况</w:t>
      </w:r>
    </w:p>
    <w:p w14:paraId="3F5ECC91">
      <w:pPr>
        <w:spacing w:line="580" w:lineRule="exact"/>
        <w:ind w:firstLine="640"/>
        <w:jc w:val="both"/>
      </w:pPr>
      <w:r>
        <w:rPr>
          <w:rFonts w:ascii="仿宋_GB2312" w:hAnsi="仿宋_GB2312" w:eastAsia="仿宋_GB2312"/>
          <w:b w:val="0"/>
          <w:sz w:val="32"/>
        </w:rPr>
        <w:t>2024年度政府采购支出总额5,107.83万元，其中：政府采购货物支出5,023.24万元、政府采购工程支出0.00万元、政府采购服务支出84.59万元。</w:t>
      </w:r>
    </w:p>
    <w:p w14:paraId="4B346055">
      <w:pPr>
        <w:spacing w:line="580" w:lineRule="exact"/>
        <w:ind w:firstLine="640"/>
        <w:jc w:val="both"/>
      </w:pPr>
      <w:r>
        <w:rPr>
          <w:rFonts w:ascii="仿宋_GB2312" w:hAnsi="仿宋_GB2312" w:eastAsia="仿宋_GB2312"/>
          <w:b w:val="0"/>
          <w:sz w:val="32"/>
        </w:rPr>
        <w:t>授予中小企业合同金额877.06万元，占政府采购支出总额的17.17%，其中：授予小微企业合同金额867.46万元，占政府采购支出总额的16.98%。</w:t>
      </w:r>
    </w:p>
    <w:p w14:paraId="407AA896">
      <w:pPr>
        <w:spacing w:line="640" w:lineRule="exact"/>
        <w:ind w:firstLine="640"/>
        <w:jc w:val="both"/>
        <w:outlineLvl w:val="3"/>
      </w:pPr>
      <w:r>
        <w:rPr>
          <w:rFonts w:ascii="楷体_GB2312" w:hAnsi="楷体_GB2312" w:eastAsia="楷体_GB2312"/>
          <w:b/>
          <w:sz w:val="32"/>
        </w:rPr>
        <w:t>（三）国有资产占用情况说明</w:t>
      </w:r>
    </w:p>
    <w:p w14:paraId="0BF3B0E8">
      <w:pPr>
        <w:spacing w:line="580" w:lineRule="exact"/>
        <w:ind w:firstLine="640"/>
        <w:jc w:val="both"/>
      </w:pPr>
      <w:r>
        <w:rPr>
          <w:rFonts w:ascii="仿宋_GB2312" w:hAnsi="仿宋_GB2312" w:eastAsia="仿宋_GB2312"/>
          <w:b w:val="0"/>
          <w:sz w:val="32"/>
        </w:rPr>
        <w:t>截至2024年12月31日，房屋995.60平方米，价值168.00万元。车辆4辆，价值133.91万元，其中：副部（省）级及以上领导用车0辆、主要负责人用车0辆、机要通信用车0辆、应急保障用车0辆、执法执勤用车1辆、特种专业技术用车0辆、离退休干部服务用车0辆、其他用车3辆，其他用车主要是：一般公务用车。单价100万元（含）以上设备（不含车辆）5台（套）。</w:t>
      </w:r>
    </w:p>
    <w:p w14:paraId="5504BAF5">
      <w:pPr>
        <w:spacing w:line="640" w:lineRule="exact"/>
        <w:ind w:firstLine="640"/>
        <w:jc w:val="both"/>
        <w:outlineLvl w:val="2"/>
      </w:pPr>
      <w:r>
        <w:rPr>
          <w:rFonts w:ascii="黑体" w:hAnsi="黑体" w:eastAsia="黑体"/>
          <w:sz w:val="32"/>
        </w:rPr>
        <w:t>十一、预算绩效的情况说明</w:t>
      </w:r>
    </w:p>
    <w:p w14:paraId="616D112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6,320.87万元，实际执行总额6,320.87万元；预算绩效评价项目8个，全年预算数5,684.30万元，全年执行数5,649.78万元。预算绩效管理取得的成效：一是本单位以绩效目标实现为导向，加强制度建设，提升预算执行质量，预算绩效管理取得一定成效。预算绩效管理取得的成效，科学制定目标，促进绩效目标顺利实现</w:t>
      </w:r>
      <w:r>
        <w:rPr>
          <w:rFonts w:hint="eastAsia" w:ascii="仿宋_GB2312" w:hAnsi="仿宋_GB2312" w:eastAsia="仿宋_GB2312"/>
          <w:b w:val="0"/>
          <w:sz w:val="32"/>
          <w:lang w:eastAsia="zh-CN"/>
        </w:rPr>
        <w:t>；</w:t>
      </w:r>
      <w:r>
        <w:rPr>
          <w:rFonts w:ascii="仿宋_GB2312" w:hAnsi="仿宋_GB2312" w:eastAsia="仿宋_GB2312"/>
          <w:b w:val="0"/>
          <w:sz w:val="32"/>
        </w:rPr>
        <w:t>二是自落实预算绩效管理工作以来，本单位在项目资金的使用上都有了更明确、更清晰的理解和认识。通过实施预算绩效管理，树立了绩效优先的管理理念，也很好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w:t>
      </w:r>
      <w:r>
        <w:rPr>
          <w:rFonts w:hint="eastAsia" w:ascii="仿宋_GB2312" w:hAnsi="仿宋_GB2312" w:eastAsia="仿宋_GB2312"/>
          <w:b w:val="0"/>
          <w:sz w:val="32"/>
          <w:lang w:eastAsia="zh-CN"/>
        </w:rPr>
        <w:t>；</w:t>
      </w:r>
      <w:r>
        <w:rPr>
          <w:rFonts w:ascii="仿宋_GB2312" w:hAnsi="仿宋_GB2312" w:eastAsia="仿宋_GB2312"/>
          <w:b w:val="0"/>
          <w:sz w:val="32"/>
        </w:rPr>
        <w:t>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w:t>
      </w:r>
      <w:r>
        <w:rPr>
          <w:rFonts w:hint="eastAsia" w:ascii="仿宋_GB2312" w:hAnsi="仿宋_GB2312" w:eastAsia="仿宋_GB2312"/>
          <w:b w:val="0"/>
          <w:sz w:val="32"/>
          <w:lang w:val="en-US" w:eastAsia="zh-CN"/>
        </w:rPr>
        <w:t>一是</w:t>
      </w:r>
      <w:r>
        <w:rPr>
          <w:rFonts w:ascii="仿宋_GB2312" w:hAnsi="仿宋_GB2312" w:eastAsia="仿宋_GB2312"/>
          <w:b w:val="0"/>
          <w:sz w:val="32"/>
        </w:rPr>
        <w:t>加强绩效评价管理制度和流程的建设，进一步深化、完善绩效管理体系，建立全过程的预算绩效管理机制，促进绩效管理工作向广度和深度延伸</w:t>
      </w:r>
      <w:r>
        <w:rPr>
          <w:rFonts w:hint="eastAsia" w:ascii="仿宋_GB2312" w:hAnsi="仿宋_GB2312" w:eastAsia="仿宋_GB2312"/>
          <w:b w:val="0"/>
          <w:sz w:val="32"/>
          <w:lang w:eastAsia="zh-CN"/>
        </w:rPr>
        <w:t>；</w:t>
      </w:r>
      <w:r>
        <w:rPr>
          <w:rFonts w:ascii="仿宋_GB2312" w:hAnsi="仿宋_GB2312" w:eastAsia="仿宋_GB2312"/>
          <w:b w:val="0"/>
          <w:sz w:val="32"/>
        </w:rPr>
        <w:t>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0355D00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6125E55">
        <w:tblPrEx>
          <w:tblCellMar>
            <w:top w:w="0" w:type="dxa"/>
            <w:left w:w="108" w:type="dxa"/>
            <w:bottom w:w="0" w:type="dxa"/>
            <w:right w:w="108" w:type="dxa"/>
          </w:tblCellMar>
        </w:tblPrEx>
        <w:tc>
          <w:tcPr>
            <w:tcW w:w="8840" w:type="dxa"/>
            <w:gridSpan w:val="8"/>
            <w:vAlign w:val="center"/>
          </w:tcPr>
          <w:p w14:paraId="700E3221">
            <w:pPr>
              <w:jc w:val="center"/>
            </w:pPr>
            <w:r>
              <w:rPr>
                <w:rFonts w:ascii="宋体" w:hAnsi="宋体" w:eastAsia="宋体"/>
                <w:sz w:val="24"/>
              </w:rPr>
              <w:t>单位整体支出绩效自评表</w:t>
            </w:r>
          </w:p>
        </w:tc>
      </w:tr>
      <w:tr w14:paraId="2C810026">
        <w:tblPrEx>
          <w:tblCellMar>
            <w:top w:w="0" w:type="dxa"/>
            <w:left w:w="108" w:type="dxa"/>
            <w:bottom w:w="0" w:type="dxa"/>
            <w:right w:w="108" w:type="dxa"/>
          </w:tblCellMar>
        </w:tblPrEx>
        <w:tc>
          <w:tcPr>
            <w:tcW w:w="8840" w:type="dxa"/>
            <w:gridSpan w:val="8"/>
            <w:vAlign w:val="center"/>
          </w:tcPr>
          <w:p w14:paraId="0C503209">
            <w:pPr>
              <w:jc w:val="center"/>
            </w:pPr>
            <w:r>
              <w:rPr>
                <w:rFonts w:ascii="宋体" w:hAnsi="宋体" w:eastAsia="宋体"/>
                <w:sz w:val="24"/>
              </w:rPr>
              <w:t>（2024年度）</w:t>
            </w:r>
          </w:p>
        </w:tc>
      </w:tr>
      <w:tr w14:paraId="0DB87BB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792FB8">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413972">
            <w:pPr>
              <w:jc w:val="center"/>
            </w:pPr>
            <w:r>
              <w:rPr>
                <w:rFonts w:ascii="宋体" w:hAnsi="宋体" w:eastAsia="宋体"/>
                <w:sz w:val="16"/>
              </w:rPr>
              <w:t>克孜勒苏柯尔克孜自治州应急管理局</w:t>
            </w:r>
          </w:p>
        </w:tc>
      </w:tr>
      <w:tr w14:paraId="79CF119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560A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D8CC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5BBCD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45B9E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184B9D">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943F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F5B82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BF0501">
            <w:pPr>
              <w:jc w:val="center"/>
            </w:pPr>
            <w:r>
              <w:rPr>
                <w:rFonts w:ascii="宋体" w:hAnsi="宋体" w:eastAsia="宋体"/>
                <w:sz w:val="16"/>
              </w:rPr>
              <w:t>得分</w:t>
            </w:r>
          </w:p>
        </w:tc>
      </w:tr>
      <w:tr w14:paraId="4AACB36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93992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6FE6B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C6107">
            <w:pPr>
              <w:jc w:val="center"/>
            </w:pPr>
            <w:r>
              <w:rPr>
                <w:rFonts w:ascii="宋体" w:hAnsi="宋体" w:eastAsia="宋体"/>
                <w:sz w:val="16"/>
              </w:rPr>
              <w:t>697.87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943EA">
            <w:pPr>
              <w:jc w:val="center"/>
            </w:pPr>
            <w:r>
              <w:rPr>
                <w:rFonts w:ascii="宋体" w:hAnsi="宋体" w:eastAsia="宋体"/>
                <w:sz w:val="16"/>
              </w:rPr>
              <w:t>6,320.87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D1267">
            <w:pPr>
              <w:jc w:val="center"/>
            </w:pPr>
            <w:r>
              <w:rPr>
                <w:rFonts w:ascii="宋体" w:hAnsi="宋体" w:eastAsia="宋体"/>
                <w:sz w:val="16"/>
              </w:rPr>
              <w:t>6,320.87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D10B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5B3B26">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D0F44">
            <w:pPr>
              <w:jc w:val="center"/>
              <w:rPr>
                <w:rFonts w:hint="default" w:eastAsia="宋体"/>
                <w:lang w:val="en-US" w:eastAsia="zh-CN"/>
              </w:rPr>
            </w:pPr>
            <w:r>
              <w:rPr>
                <w:rFonts w:ascii="宋体" w:hAnsi="宋体" w:eastAsia="宋体"/>
                <w:sz w:val="16"/>
              </w:rPr>
              <w:t>10</w:t>
            </w:r>
            <w:r>
              <w:rPr>
                <w:rFonts w:hint="eastAsia" w:ascii="宋体" w:hAnsi="宋体"/>
                <w:sz w:val="16"/>
                <w:lang w:val="en-US" w:eastAsia="zh-CN"/>
              </w:rPr>
              <w:t>.00</w:t>
            </w:r>
          </w:p>
        </w:tc>
      </w:tr>
      <w:tr w14:paraId="5AAC526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E01C2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E559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67CA9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D4258D">
            <w:pPr>
              <w:jc w:val="center"/>
            </w:pPr>
            <w:r>
              <w:rPr>
                <w:rFonts w:ascii="宋体" w:hAnsi="宋体" w:eastAsia="宋体"/>
                <w:sz w:val="16"/>
              </w:rPr>
              <w:t>5,572.98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27631B">
            <w:pPr>
              <w:jc w:val="center"/>
            </w:pPr>
            <w:r>
              <w:rPr>
                <w:rFonts w:ascii="宋体" w:hAnsi="宋体" w:eastAsia="宋体"/>
                <w:sz w:val="16"/>
              </w:rPr>
              <w:t>5,572.98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F8C3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DADD7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E87CB3">
            <w:pPr>
              <w:jc w:val="center"/>
            </w:pPr>
            <w:r>
              <w:rPr>
                <w:rFonts w:ascii="宋体" w:hAnsi="宋体" w:eastAsia="宋体"/>
                <w:sz w:val="16"/>
              </w:rPr>
              <w:t>—</w:t>
            </w:r>
          </w:p>
        </w:tc>
      </w:tr>
      <w:tr w14:paraId="54B53A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722C9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7F54E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60F2E2">
            <w:pPr>
              <w:jc w:val="center"/>
            </w:pPr>
            <w:r>
              <w:rPr>
                <w:rFonts w:ascii="宋体" w:hAnsi="宋体" w:eastAsia="宋体"/>
                <w:sz w:val="16"/>
              </w:rPr>
              <w:t>667.87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65A936">
            <w:pPr>
              <w:jc w:val="center"/>
            </w:pPr>
            <w:r>
              <w:rPr>
                <w:rFonts w:ascii="宋体" w:hAnsi="宋体" w:eastAsia="宋体"/>
                <w:sz w:val="16"/>
              </w:rPr>
              <w:t>747.89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E7FCA">
            <w:pPr>
              <w:jc w:val="center"/>
            </w:pPr>
            <w:r>
              <w:rPr>
                <w:rFonts w:ascii="宋体" w:hAnsi="宋体" w:eastAsia="宋体"/>
                <w:sz w:val="16"/>
              </w:rPr>
              <w:t>747.89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AD951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0D78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17F81">
            <w:pPr>
              <w:jc w:val="center"/>
            </w:pPr>
            <w:r>
              <w:rPr>
                <w:rFonts w:ascii="宋体" w:hAnsi="宋体" w:eastAsia="宋体"/>
                <w:sz w:val="16"/>
              </w:rPr>
              <w:t>—</w:t>
            </w:r>
          </w:p>
        </w:tc>
      </w:tr>
      <w:tr w14:paraId="711894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945F2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730F5">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8EE1DE">
            <w:pPr>
              <w:jc w:val="center"/>
            </w:pPr>
            <w:r>
              <w:rPr>
                <w:rFonts w:ascii="宋体" w:hAnsi="宋体" w:eastAsia="宋体"/>
                <w:sz w:val="16"/>
              </w:rPr>
              <w:t>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AB328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F03F3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AEFD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B4862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6CE15F">
            <w:pPr>
              <w:jc w:val="center"/>
            </w:pPr>
            <w:r>
              <w:rPr>
                <w:rFonts w:ascii="宋体" w:hAnsi="宋体" w:eastAsia="宋体"/>
                <w:sz w:val="16"/>
              </w:rPr>
              <w:t>—</w:t>
            </w:r>
          </w:p>
        </w:tc>
      </w:tr>
      <w:tr w14:paraId="64DC1FC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C05E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7955D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B9C2CD">
            <w:pPr>
              <w:jc w:val="center"/>
            </w:pPr>
            <w:r>
              <w:rPr>
                <w:rFonts w:ascii="宋体" w:hAnsi="宋体" w:eastAsia="宋体"/>
                <w:sz w:val="16"/>
              </w:rPr>
              <w:t>实际完成情况</w:t>
            </w:r>
          </w:p>
        </w:tc>
      </w:tr>
      <w:tr w14:paraId="022450D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69A3C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C2ECEB">
            <w:pPr>
              <w:jc w:val="both"/>
            </w:pPr>
            <w:r>
              <w:rPr>
                <w:rFonts w:ascii="宋体" w:hAnsi="宋体" w:eastAsia="宋体"/>
                <w:sz w:val="16"/>
              </w:rPr>
              <w:t>坚持人民至上、生命至上，坚持问题导向和底线思维，更好统筹发展和安全，立足构建“大安全、大应急”框架，着力完善体系、预防为主、专项治理、提升能力，全力防范化解重大安全风险，坚决防范遏制重特大事故灾害，深入推进应急体系和能力现代化，以高水平安全服务高质量发展，以新安全格局保障新发展格局,为全州的安全生产打下坚实的基础，切实保障好各族群众生命财产安全。</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98E492">
            <w:pPr>
              <w:jc w:val="both"/>
            </w:pPr>
            <w:r>
              <w:rPr>
                <w:rFonts w:ascii="宋体" w:hAnsi="宋体" w:eastAsia="宋体"/>
                <w:sz w:val="16"/>
              </w:rPr>
              <w:t>截至2024年12月31日，已完成：1.为贯彻落实国家安全生产方针政策，防范矿山领域重特大事故发生，我局根据年初的执法计划，采取联合检查、专家参与、交叉互查等方式对17家重点矿山企业进行专项安全生产检查和指导，全面排查风险隐患，减少事故发生和人员伤亡，2024年全州的安全生产形势总体平稳，没有发生重特大事故和群死群伤事件。</w:t>
            </w:r>
            <w:r>
              <w:rPr>
                <w:rFonts w:ascii="宋体" w:hAnsi="宋体" w:eastAsia="宋体"/>
                <w:sz w:val="16"/>
              </w:rPr>
              <w:br w:type="textWrapping"/>
            </w:r>
            <w:r>
              <w:rPr>
                <w:rFonts w:ascii="宋体" w:hAnsi="宋体" w:eastAsia="宋体"/>
                <w:sz w:val="16"/>
              </w:rPr>
              <w:t>2.为切实加强安全生产监管，防范各类安全事故发生，我局根据年初的执法计划，采取分组检查、突击检查、资料审查与现场检查结合的方式，对全州13家危险化学品和工贸企业进行全面深入的排查潜在风险隐患，并督促企业落实安全生产主体责任，提升行业整体安全管理水平，2024年，全州未发生危险化学品和工贸企业安全生产事故，切实保障了人民生命财产安全。</w:t>
            </w:r>
            <w:r>
              <w:rPr>
                <w:rFonts w:ascii="宋体" w:hAnsi="宋体" w:eastAsia="宋体"/>
                <w:sz w:val="16"/>
              </w:rPr>
              <w:br w:type="textWrapping"/>
            </w:r>
            <w:r>
              <w:rPr>
                <w:rFonts w:ascii="宋体" w:hAnsi="宋体" w:eastAsia="宋体"/>
                <w:sz w:val="16"/>
              </w:rPr>
              <w:t>3.制定极端灾害性天气五停指导意见，针对极端天气涉灾区域落实预警“叫应”机制，健全完善会商研判制度，印发分析报告12期，发布短临预警信息104期8000余条。加强应急值守，督促临灾区域做好</w:t>
            </w:r>
            <w:r>
              <w:rPr>
                <w:rFonts w:hint="eastAsia" w:ascii="宋体" w:hAnsi="宋体"/>
                <w:sz w:val="16"/>
                <w:lang w:eastAsia="zh-CN"/>
              </w:rPr>
              <w:t>人员</w:t>
            </w:r>
            <w:r>
              <w:rPr>
                <w:rFonts w:ascii="宋体" w:hAnsi="宋体" w:eastAsia="宋体"/>
                <w:sz w:val="16"/>
              </w:rPr>
              <w:t>转移安置，提前做好防范应对准备工作。坚持传统和新兴媒体相结合，组织安全生产和防灾减灾救灾技能培训进企业、进农村、进社区、进学校、进家庭，以地震灾害为主，抽调78名专家对口39个乡（镇、街道）进行业务指导和技术支持。以“人人讲安全、个个会应急---着力提升基层避险能力”为主题，通过户外大屏、新媒体等手段滚动播放安全生产和防震减灾知识宣传2832场次，发放科普宣传手册18万余份，开展应急疏散演练2832场次，受教育群众40余万人次。今年以来，州级启动地震二级响应1次，地震四级响应1次，重大气象灾害四级响应2次，防汛四级响应1次，发挥了指挥综合协调作用，提升了应对处置工作的规范化。</w:t>
            </w:r>
            <w:r>
              <w:rPr>
                <w:rFonts w:ascii="宋体" w:hAnsi="宋体" w:eastAsia="宋体"/>
                <w:sz w:val="16"/>
              </w:rPr>
              <w:br w:type="textWrapping"/>
            </w:r>
            <w:r>
              <w:rPr>
                <w:rFonts w:ascii="宋体" w:hAnsi="宋体" w:eastAsia="宋体"/>
                <w:sz w:val="16"/>
              </w:rPr>
              <w:t>4.今年以来，应急管理局采取“专家指导+专项检查”方式，首次采取购买第三方服务方式，聘请专家对工贸、危化、矿山等高危行业进行全方位安全监督技术服务，执法人员在随行检查中，提升了发现隐患、消除隐患的能力，我局共检查企业116家次，发现安全生产隐患694条，已整改694条，整改率达100%。</w:t>
            </w:r>
          </w:p>
        </w:tc>
      </w:tr>
      <w:tr w14:paraId="2CB6C44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12B7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90C13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B6C3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BAD2A">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E6B68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73C7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9D66E7">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DF8C3">
            <w:pPr>
              <w:jc w:val="center"/>
            </w:pPr>
            <w:r>
              <w:rPr>
                <w:rFonts w:ascii="宋体" w:hAnsi="宋体" w:eastAsia="宋体"/>
                <w:sz w:val="16"/>
              </w:rPr>
              <w:t>得分</w:t>
            </w:r>
          </w:p>
        </w:tc>
      </w:tr>
      <w:tr w14:paraId="1B4B38F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60D2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AEBD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60D6BE">
            <w:pPr>
              <w:jc w:val="center"/>
            </w:pPr>
            <w:r>
              <w:rPr>
                <w:rFonts w:ascii="宋体" w:hAnsi="宋体" w:eastAsia="宋体"/>
                <w:sz w:val="16"/>
              </w:rPr>
              <w:t>安全生产隐患整改率（%）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D9C612">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3A39B5">
            <w:pPr>
              <w:jc w:val="center"/>
            </w:pPr>
            <w:r>
              <w:rPr>
                <w:rFonts w:ascii="宋体" w:hAnsi="宋体" w:eastAsia="宋体"/>
                <w:sz w:val="16"/>
              </w:rPr>
              <w:t>执法计划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EEEBD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98CF8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13303">
            <w:pPr>
              <w:jc w:val="center"/>
            </w:pPr>
            <w:r>
              <w:rPr>
                <w:rFonts w:ascii="宋体" w:hAnsi="宋体" w:eastAsia="宋体"/>
                <w:sz w:val="16"/>
              </w:rPr>
              <w:t>20</w:t>
            </w:r>
          </w:p>
        </w:tc>
      </w:tr>
      <w:tr w14:paraId="023D29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DA30F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F5B97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729218">
            <w:pPr>
              <w:jc w:val="center"/>
            </w:pPr>
            <w:r>
              <w:rPr>
                <w:rFonts w:ascii="宋体" w:hAnsi="宋体" w:eastAsia="宋体"/>
                <w:sz w:val="16"/>
              </w:rPr>
              <w:t>开展自然风险形式分析研判（次）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78E55A">
            <w:pPr>
              <w:jc w:val="center"/>
            </w:pPr>
            <w:r>
              <w:rPr>
                <w:rFonts w:ascii="宋体" w:hAnsi="宋体" w:eastAsia="宋体"/>
                <w:sz w:val="16"/>
              </w:rPr>
              <w:t>&gt;=12次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89B23">
            <w:pPr>
              <w:jc w:val="center"/>
            </w:pPr>
            <w:r>
              <w:rPr>
                <w:rFonts w:ascii="宋体" w:hAnsi="宋体" w:eastAsia="宋体"/>
                <w:sz w:val="16"/>
              </w:rPr>
              <w:t>自治州自然灾害风险会商研判工作制度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E37D4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63127">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2B080B">
            <w:pPr>
              <w:jc w:val="center"/>
            </w:pPr>
            <w:r>
              <w:rPr>
                <w:rFonts w:ascii="宋体" w:hAnsi="宋体" w:eastAsia="宋体"/>
                <w:sz w:val="16"/>
              </w:rPr>
              <w:t>20</w:t>
            </w:r>
          </w:p>
        </w:tc>
      </w:tr>
      <w:tr w14:paraId="1E8AEC2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A655A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0EB02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06C79">
            <w:pPr>
              <w:jc w:val="center"/>
            </w:pPr>
            <w:r>
              <w:rPr>
                <w:rFonts w:ascii="宋体" w:hAnsi="宋体" w:eastAsia="宋体"/>
                <w:sz w:val="16"/>
              </w:rPr>
              <w:t>重点矿山执法检查（家）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B3E7E3">
            <w:pPr>
              <w:jc w:val="center"/>
            </w:pPr>
            <w:r>
              <w:rPr>
                <w:rFonts w:ascii="宋体" w:hAnsi="宋体" w:eastAsia="宋体"/>
                <w:sz w:val="16"/>
              </w:rPr>
              <w:t>&gt;=17家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8AC7B5">
            <w:pPr>
              <w:jc w:val="center"/>
            </w:pPr>
            <w:r>
              <w:rPr>
                <w:rFonts w:ascii="宋体" w:hAnsi="宋体" w:eastAsia="宋体"/>
                <w:sz w:val="16"/>
              </w:rPr>
              <w:t>执法计划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FBDC2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9F480">
            <w:pPr>
              <w:jc w:val="center"/>
            </w:pPr>
            <w:r>
              <w:rPr>
                <w:rFonts w:ascii="宋体" w:hAnsi="宋体" w:eastAsia="宋体"/>
                <w:sz w:val="16"/>
              </w:rPr>
              <w:t>17家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267F4">
            <w:pPr>
              <w:jc w:val="center"/>
            </w:pPr>
            <w:r>
              <w:rPr>
                <w:rFonts w:ascii="宋体" w:hAnsi="宋体" w:eastAsia="宋体"/>
                <w:sz w:val="16"/>
              </w:rPr>
              <w:t>30</w:t>
            </w:r>
          </w:p>
        </w:tc>
      </w:tr>
      <w:tr w14:paraId="3D85866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FEE25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8B260C">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9A44B">
            <w:pPr>
              <w:jc w:val="center"/>
            </w:pPr>
            <w:r>
              <w:rPr>
                <w:rFonts w:ascii="宋体" w:hAnsi="宋体" w:eastAsia="宋体"/>
                <w:sz w:val="16"/>
              </w:rPr>
              <w:t>危险化学品和工贸企业检查（家）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189243">
            <w:pPr>
              <w:jc w:val="center"/>
            </w:pPr>
            <w:r>
              <w:rPr>
                <w:rFonts w:ascii="宋体" w:hAnsi="宋体" w:eastAsia="宋体"/>
                <w:sz w:val="16"/>
              </w:rPr>
              <w:t>&gt;=13家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61DD97">
            <w:pPr>
              <w:jc w:val="center"/>
            </w:pPr>
            <w:r>
              <w:rPr>
                <w:rFonts w:ascii="宋体" w:hAnsi="宋体" w:eastAsia="宋体"/>
                <w:sz w:val="16"/>
              </w:rPr>
              <w:t>执法计划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8D7D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FA592C">
            <w:pPr>
              <w:jc w:val="center"/>
            </w:pPr>
            <w:r>
              <w:rPr>
                <w:rFonts w:ascii="宋体" w:hAnsi="宋体" w:eastAsia="宋体"/>
                <w:sz w:val="16"/>
              </w:rPr>
              <w:t>13家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8B4EC2">
            <w:pPr>
              <w:jc w:val="center"/>
            </w:pPr>
            <w:r>
              <w:rPr>
                <w:rFonts w:ascii="宋体" w:hAnsi="宋体" w:eastAsia="宋体"/>
                <w:sz w:val="16"/>
              </w:rPr>
              <w:t>20</w:t>
            </w:r>
          </w:p>
        </w:tc>
      </w:tr>
    </w:tbl>
    <w:p w14:paraId="26194E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F0908D0">
        <w:tblPrEx>
          <w:tblCellMar>
            <w:top w:w="0" w:type="dxa"/>
            <w:left w:w="108" w:type="dxa"/>
            <w:bottom w:w="0" w:type="dxa"/>
            <w:right w:w="108" w:type="dxa"/>
          </w:tblCellMar>
        </w:tblPrEx>
        <w:tc>
          <w:tcPr>
            <w:tcW w:w="8848" w:type="dxa"/>
            <w:gridSpan w:val="14"/>
            <w:vAlign w:val="center"/>
          </w:tcPr>
          <w:p w14:paraId="48EA1F26">
            <w:pPr>
              <w:jc w:val="center"/>
            </w:pPr>
            <w:r>
              <w:rPr>
                <w:rFonts w:ascii="宋体" w:hAnsi="宋体" w:eastAsia="宋体"/>
                <w:sz w:val="24"/>
              </w:rPr>
              <w:t>项目支出绩效自评表</w:t>
            </w:r>
          </w:p>
        </w:tc>
      </w:tr>
      <w:tr w14:paraId="5746DC8B">
        <w:tblPrEx>
          <w:tblCellMar>
            <w:top w:w="0" w:type="dxa"/>
            <w:left w:w="108" w:type="dxa"/>
            <w:bottom w:w="0" w:type="dxa"/>
            <w:right w:w="108" w:type="dxa"/>
          </w:tblCellMar>
        </w:tblPrEx>
        <w:tc>
          <w:tcPr>
            <w:tcW w:w="8848" w:type="dxa"/>
            <w:gridSpan w:val="14"/>
            <w:vAlign w:val="center"/>
          </w:tcPr>
          <w:p w14:paraId="7A2362A7">
            <w:pPr>
              <w:jc w:val="center"/>
            </w:pPr>
            <w:r>
              <w:rPr>
                <w:rFonts w:ascii="宋体" w:hAnsi="宋体" w:eastAsia="宋体"/>
                <w:sz w:val="24"/>
              </w:rPr>
              <w:t>(2024年度)</w:t>
            </w:r>
          </w:p>
        </w:tc>
      </w:tr>
      <w:tr w14:paraId="3EDD2B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D90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C2521B">
            <w:pPr>
              <w:jc w:val="center"/>
            </w:pPr>
            <w:r>
              <w:rPr>
                <w:rFonts w:ascii="宋体" w:hAnsi="宋体" w:eastAsia="宋体"/>
                <w:sz w:val="16"/>
              </w:rPr>
              <w:t>安全生产综合行政执法</w:t>
            </w:r>
          </w:p>
        </w:tc>
      </w:tr>
      <w:tr w14:paraId="58E228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50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A146C6">
            <w:pPr>
              <w:jc w:val="center"/>
            </w:pPr>
            <w:r>
              <w:rPr>
                <w:rFonts w:ascii="宋体" w:hAnsi="宋体" w:eastAsia="宋体"/>
                <w:sz w:val="16"/>
              </w:rPr>
              <w:t>克孜勒苏柯尔克孜自治州应急管理局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01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12B802">
            <w:pPr>
              <w:jc w:val="center"/>
            </w:pPr>
            <w:r>
              <w:rPr>
                <w:rFonts w:ascii="宋体" w:hAnsi="宋体" w:eastAsia="宋体"/>
                <w:sz w:val="16"/>
              </w:rPr>
              <w:t>克孜勒苏柯尔克孜自治州应急管理局</w:t>
            </w:r>
          </w:p>
        </w:tc>
      </w:tr>
      <w:tr w14:paraId="005509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D6A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E75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D23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49C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7BA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12B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397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91EE">
            <w:pPr>
              <w:jc w:val="center"/>
            </w:pPr>
            <w:r>
              <w:rPr>
                <w:rFonts w:ascii="宋体" w:hAnsi="宋体" w:eastAsia="宋体"/>
                <w:sz w:val="16"/>
              </w:rPr>
              <w:t>得分</w:t>
            </w:r>
          </w:p>
        </w:tc>
      </w:tr>
      <w:tr w14:paraId="02ACB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B4D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58E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44552">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D7716">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7510E">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C60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0859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7A05">
            <w:pPr>
              <w:jc w:val="center"/>
            </w:pPr>
            <w:r>
              <w:rPr>
                <w:rFonts w:ascii="宋体" w:hAnsi="宋体" w:eastAsia="宋体"/>
                <w:sz w:val="16"/>
              </w:rPr>
              <w:t>10.00分</w:t>
            </w:r>
          </w:p>
        </w:tc>
      </w:tr>
      <w:tr w14:paraId="6B6ED8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4A7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36B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D10F7">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8ADFE">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B7062">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EE3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3E9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ACCF">
            <w:pPr>
              <w:jc w:val="center"/>
            </w:pPr>
            <w:r>
              <w:rPr>
                <w:rFonts w:ascii="宋体" w:hAnsi="宋体" w:eastAsia="宋体"/>
                <w:sz w:val="16"/>
              </w:rPr>
              <w:t>—</w:t>
            </w:r>
          </w:p>
        </w:tc>
      </w:tr>
      <w:tr w14:paraId="4008EE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7EF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3DB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8B5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209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BD4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F94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836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DBC1">
            <w:pPr>
              <w:jc w:val="center"/>
            </w:pPr>
            <w:r>
              <w:rPr>
                <w:rFonts w:ascii="宋体" w:hAnsi="宋体" w:eastAsia="宋体"/>
                <w:sz w:val="16"/>
              </w:rPr>
              <w:t>—</w:t>
            </w:r>
          </w:p>
        </w:tc>
      </w:tr>
      <w:tr w14:paraId="62F1A3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53BF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ECAE6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0926E2">
            <w:pPr>
              <w:jc w:val="center"/>
            </w:pPr>
            <w:r>
              <w:rPr>
                <w:rFonts w:ascii="宋体" w:hAnsi="宋体" w:eastAsia="宋体"/>
                <w:sz w:val="16"/>
              </w:rPr>
              <w:t>实际完成情况</w:t>
            </w:r>
          </w:p>
        </w:tc>
      </w:tr>
      <w:tr w14:paraId="5BC2E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EB1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D877D5">
            <w:pPr>
              <w:jc w:val="both"/>
            </w:pPr>
            <w:r>
              <w:rPr>
                <w:rFonts w:ascii="宋体" w:hAnsi="宋体" w:eastAsia="宋体"/>
                <w:sz w:val="16"/>
              </w:rPr>
              <w:t>该项目资金11万元，其中：财政资金11万元，其他资金0万元，该项目资金主要用于做好对全州的非煤矿山、工矿商贸、危险化学品行业领域进行安全生产执法检查、隐患排查，年初复工验收、节假日特殊检查、人员培训、汛期检查。通过该项目实施有效遏制安全生产事故发生，保障人民生命财产安全，有效提升执法人员工作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763928">
            <w:pPr>
              <w:jc w:val="both"/>
            </w:pPr>
            <w:r>
              <w:rPr>
                <w:rFonts w:ascii="宋体" w:hAnsi="宋体" w:eastAsia="宋体"/>
                <w:sz w:val="16"/>
              </w:rPr>
              <w:t>截至2024年12月31日，该项目执行数为11万元，完成了执法检查企业75家次、开展综合检查工作150（家次）、22名执法人员的人身意外伤害险的保险，通过该项目的实施，为全州的安全生产形势打下良好的基础，实现了</w:t>
            </w:r>
            <w:r>
              <w:rPr>
                <w:rFonts w:hint="eastAsia" w:ascii="宋体" w:hAnsi="宋体"/>
                <w:sz w:val="16"/>
                <w:lang w:eastAsia="zh-CN"/>
              </w:rPr>
              <w:t>全防</w:t>
            </w:r>
            <w:r>
              <w:rPr>
                <w:rFonts w:ascii="宋体" w:hAnsi="宋体" w:eastAsia="宋体"/>
                <w:sz w:val="16"/>
              </w:rPr>
              <w:t>死亡事故下降，确保了全州人民生命财产安全。</w:t>
            </w:r>
          </w:p>
        </w:tc>
      </w:tr>
      <w:tr w14:paraId="4340D4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D05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CC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D9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55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33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5E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148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C6B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F9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EC1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95C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F4A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18C86">
            <w:pPr>
              <w:jc w:val="center"/>
            </w:pPr>
            <w:r>
              <w:rPr>
                <w:rFonts w:ascii="宋体" w:hAnsi="宋体" w:eastAsia="宋体"/>
                <w:sz w:val="16"/>
              </w:rPr>
              <w:t>偏差原因分析及改进措施</w:t>
            </w:r>
          </w:p>
        </w:tc>
      </w:tr>
      <w:tr w14:paraId="666FC4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835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DFD3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6D3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7B78">
            <w:pPr>
              <w:jc w:val="center"/>
            </w:pPr>
            <w:r>
              <w:rPr>
                <w:rFonts w:ascii="宋体" w:hAnsi="宋体" w:eastAsia="宋体"/>
                <w:sz w:val="16"/>
              </w:rPr>
              <w:t>人身保险（人数）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6A66">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6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EC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D5C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0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9F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2172">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202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A92C7">
            <w:pPr>
              <w:jc w:val="center"/>
            </w:pPr>
          </w:p>
        </w:tc>
      </w:tr>
      <w:tr w14:paraId="2129B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044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3E1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28B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0113">
            <w:pPr>
              <w:jc w:val="center"/>
            </w:pPr>
            <w:r>
              <w:rPr>
                <w:rFonts w:ascii="宋体" w:hAnsi="宋体" w:eastAsia="宋体"/>
                <w:sz w:val="16"/>
              </w:rPr>
              <w:t>执法检查企业数量（家次）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B314">
            <w:pPr>
              <w:jc w:val="center"/>
            </w:pPr>
            <w:r>
              <w:rPr>
                <w:rFonts w:ascii="宋体" w:hAnsi="宋体" w:eastAsia="宋体"/>
                <w:sz w:val="16"/>
              </w:rPr>
              <w:t>&gt;=75家次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8A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501F">
            <w:pPr>
              <w:jc w:val="center"/>
            </w:pPr>
            <w:r>
              <w:rPr>
                <w:rFonts w:ascii="宋体" w:hAnsi="宋体" w:eastAsia="宋体"/>
                <w:sz w:val="16"/>
              </w:rPr>
              <w:t>150家次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A5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79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B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4386">
            <w:pPr>
              <w:jc w:val="center"/>
            </w:pPr>
            <w:r>
              <w:rPr>
                <w:rFonts w:ascii="宋体" w:hAnsi="宋体" w:eastAsia="宋体"/>
                <w:sz w:val="16"/>
              </w:rPr>
              <w:t>=75家次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BE2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05F9F">
            <w:pPr>
              <w:jc w:val="center"/>
            </w:pPr>
          </w:p>
        </w:tc>
      </w:tr>
      <w:tr w14:paraId="4FFF3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BE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01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4E8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FFD9">
            <w:pPr>
              <w:jc w:val="center"/>
            </w:pPr>
            <w:r>
              <w:rPr>
                <w:rFonts w:ascii="宋体" w:hAnsi="宋体" w:eastAsia="宋体"/>
                <w:sz w:val="16"/>
              </w:rPr>
              <w:t>开展综合检查工作（家次）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0780">
            <w:pPr>
              <w:jc w:val="center"/>
            </w:pPr>
            <w:r>
              <w:rPr>
                <w:rFonts w:ascii="宋体" w:hAnsi="宋体" w:eastAsia="宋体"/>
                <w:sz w:val="16"/>
              </w:rPr>
              <w:t>=150家次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69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735A">
            <w:pPr>
              <w:jc w:val="center"/>
            </w:pPr>
            <w:r>
              <w:rPr>
                <w:rFonts w:ascii="宋体" w:hAnsi="宋体" w:eastAsia="宋体"/>
                <w:sz w:val="16"/>
              </w:rPr>
              <w:t>150家次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B04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BE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E3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739F">
            <w:pPr>
              <w:jc w:val="center"/>
            </w:pPr>
            <w:r>
              <w:rPr>
                <w:rFonts w:ascii="宋体" w:hAnsi="宋体" w:eastAsia="宋体"/>
                <w:sz w:val="16"/>
              </w:rPr>
              <w:t>=150家次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387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46FA8">
            <w:pPr>
              <w:jc w:val="center"/>
            </w:pPr>
          </w:p>
        </w:tc>
      </w:tr>
      <w:tr w14:paraId="61B18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CA1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262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61D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5611">
            <w:pPr>
              <w:jc w:val="center"/>
            </w:pPr>
            <w:r>
              <w:rPr>
                <w:rFonts w:ascii="宋体" w:hAnsi="宋体" w:eastAsia="宋体"/>
                <w:sz w:val="16"/>
              </w:rPr>
              <w:t>人身保险完成率（%）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8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E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2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66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2F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8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A8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5B0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48811">
            <w:pPr>
              <w:jc w:val="center"/>
            </w:pPr>
          </w:p>
        </w:tc>
      </w:tr>
      <w:tr w14:paraId="6F7B3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79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95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2D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6326">
            <w:pPr>
              <w:jc w:val="center"/>
            </w:pPr>
            <w:r>
              <w:rPr>
                <w:rFonts w:ascii="宋体" w:hAnsi="宋体" w:eastAsia="宋体"/>
                <w:sz w:val="16"/>
              </w:rPr>
              <w:t>安全隐患排查完成率（%）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F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8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B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5F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77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96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5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DB8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63611">
            <w:pPr>
              <w:jc w:val="center"/>
            </w:pPr>
          </w:p>
        </w:tc>
      </w:tr>
      <w:tr w14:paraId="056F5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22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38A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2E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62C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7C11">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AC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EF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4D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3B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18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A8D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6B5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93D2B">
            <w:pPr>
              <w:jc w:val="center"/>
            </w:pPr>
          </w:p>
        </w:tc>
      </w:tr>
      <w:tr w14:paraId="6C2C7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8C6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3C2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D64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D5D9">
            <w:pPr>
              <w:jc w:val="center"/>
            </w:pPr>
            <w:r>
              <w:rPr>
                <w:rFonts w:hint="eastAsia" w:ascii="宋体" w:hAnsi="宋体"/>
                <w:sz w:val="16"/>
                <w:lang w:eastAsia="zh-CN"/>
              </w:rPr>
              <w:t>开展</w:t>
            </w:r>
            <w:r>
              <w:rPr>
                <w:rFonts w:ascii="宋体" w:hAnsi="宋体" w:eastAsia="宋体"/>
                <w:sz w:val="16"/>
              </w:rPr>
              <w:t>安全生产执法检查经费（万元）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0DBB">
            <w:pPr>
              <w:jc w:val="center"/>
            </w:pPr>
            <w:r>
              <w:rPr>
                <w:rFonts w:ascii="宋体" w:hAnsi="宋体" w:eastAsia="宋体"/>
                <w:sz w:val="16"/>
              </w:rPr>
              <w:t>&lt;=8.8万元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DF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C571">
            <w:pPr>
              <w:jc w:val="center"/>
            </w:pPr>
            <w:r>
              <w:rPr>
                <w:rFonts w:ascii="宋体" w:hAnsi="宋体" w:eastAsia="宋体"/>
                <w:sz w:val="16"/>
              </w:rPr>
              <w:t>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8F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8E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D2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5B23">
            <w:pPr>
              <w:jc w:val="center"/>
            </w:pPr>
            <w:r>
              <w:rPr>
                <w:rFonts w:ascii="宋体" w:hAnsi="宋体" w:eastAsia="宋体"/>
                <w:sz w:val="16"/>
              </w:rPr>
              <w:t>=8.8万元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AD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D7BD1">
            <w:pPr>
              <w:jc w:val="center"/>
            </w:pPr>
          </w:p>
        </w:tc>
      </w:tr>
      <w:tr w14:paraId="29D47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3D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49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58E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BAEB">
            <w:pPr>
              <w:jc w:val="center"/>
            </w:pPr>
            <w:r>
              <w:rPr>
                <w:rFonts w:ascii="宋体" w:hAnsi="宋体" w:eastAsia="宋体"/>
                <w:sz w:val="16"/>
              </w:rPr>
              <w:t>执法人员人身保险（万元）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0096">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75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99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DD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D2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91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4188">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FD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9B7B6">
            <w:pPr>
              <w:jc w:val="center"/>
            </w:pPr>
          </w:p>
        </w:tc>
      </w:tr>
      <w:tr w14:paraId="6C356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D2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ED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A7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21A0">
            <w:pPr>
              <w:jc w:val="center"/>
            </w:pPr>
            <w:r>
              <w:rPr>
                <w:rFonts w:ascii="宋体" w:hAnsi="宋体" w:eastAsia="宋体"/>
                <w:sz w:val="16"/>
              </w:rPr>
              <w:t>药品安全事故应急演练数（次）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BBA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B68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A48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C5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95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72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7C6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3B0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4EF93">
            <w:pPr>
              <w:jc w:val="center"/>
            </w:pPr>
          </w:p>
        </w:tc>
      </w:tr>
      <w:tr w14:paraId="5DDF3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CB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3F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19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0E7B">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D60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6F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22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01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66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0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962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7F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EDE84">
            <w:pPr>
              <w:jc w:val="center"/>
            </w:pPr>
          </w:p>
        </w:tc>
      </w:tr>
      <w:tr w14:paraId="497D11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751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59E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8AA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9FD981">
            <w:pPr>
              <w:jc w:val="center"/>
            </w:pPr>
            <w:r>
              <w:rPr>
                <w:rFonts w:ascii="宋体" w:hAnsi="宋体" w:eastAsia="宋体"/>
                <w:sz w:val="16"/>
              </w:rPr>
              <w:t>100分</w:t>
            </w:r>
          </w:p>
        </w:tc>
      </w:tr>
    </w:tbl>
    <w:p w14:paraId="0510A69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CF15F0F">
        <w:tblPrEx>
          <w:tblCellMar>
            <w:top w:w="0" w:type="dxa"/>
            <w:left w:w="108" w:type="dxa"/>
            <w:bottom w:w="0" w:type="dxa"/>
            <w:right w:w="108" w:type="dxa"/>
          </w:tblCellMar>
        </w:tblPrEx>
        <w:tc>
          <w:tcPr>
            <w:tcW w:w="8848" w:type="dxa"/>
            <w:gridSpan w:val="14"/>
            <w:vAlign w:val="center"/>
          </w:tcPr>
          <w:p w14:paraId="4A8E27DB">
            <w:pPr>
              <w:jc w:val="center"/>
            </w:pPr>
            <w:r>
              <w:rPr>
                <w:rFonts w:ascii="宋体" w:hAnsi="宋体" w:eastAsia="宋体"/>
                <w:sz w:val="24"/>
              </w:rPr>
              <w:t>项目支出绩效自评表</w:t>
            </w:r>
          </w:p>
        </w:tc>
      </w:tr>
      <w:tr w14:paraId="5C45467A">
        <w:tblPrEx>
          <w:tblCellMar>
            <w:top w:w="0" w:type="dxa"/>
            <w:left w:w="108" w:type="dxa"/>
            <w:bottom w:w="0" w:type="dxa"/>
            <w:right w:w="108" w:type="dxa"/>
          </w:tblCellMar>
        </w:tblPrEx>
        <w:tc>
          <w:tcPr>
            <w:tcW w:w="8848" w:type="dxa"/>
            <w:gridSpan w:val="14"/>
            <w:vAlign w:val="center"/>
          </w:tcPr>
          <w:p w14:paraId="0722E517">
            <w:pPr>
              <w:jc w:val="center"/>
            </w:pPr>
            <w:r>
              <w:rPr>
                <w:rFonts w:ascii="宋体" w:hAnsi="宋体" w:eastAsia="宋体"/>
                <w:sz w:val="24"/>
              </w:rPr>
              <w:t>(2024年度)</w:t>
            </w:r>
          </w:p>
        </w:tc>
      </w:tr>
      <w:tr w14:paraId="44E2D7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EC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8E74F5">
            <w:pPr>
              <w:jc w:val="center"/>
            </w:pPr>
            <w:r>
              <w:rPr>
                <w:rFonts w:hint="eastAsia" w:ascii="宋体" w:hAnsi="宋体"/>
                <w:sz w:val="16"/>
                <w:lang w:eastAsia="zh-CN"/>
              </w:rPr>
              <w:t>“</w:t>
            </w:r>
            <w:r>
              <w:rPr>
                <w:rFonts w:ascii="宋体" w:hAnsi="宋体" w:eastAsia="宋体"/>
                <w:sz w:val="16"/>
              </w:rPr>
              <w:t>应急天山·2024</w:t>
            </w:r>
            <w:r>
              <w:rPr>
                <w:rFonts w:hint="eastAsia" w:ascii="宋体" w:hAnsi="宋体"/>
                <w:sz w:val="16"/>
                <w:lang w:eastAsia="zh-CN"/>
              </w:rPr>
              <w:t>”</w:t>
            </w:r>
            <w:r>
              <w:rPr>
                <w:rFonts w:ascii="宋体" w:hAnsi="宋体" w:eastAsia="宋体"/>
                <w:sz w:val="16"/>
              </w:rPr>
              <w:t>活动经费项目</w:t>
            </w:r>
          </w:p>
        </w:tc>
      </w:tr>
      <w:tr w14:paraId="50061B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A8F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CEABF2">
            <w:pPr>
              <w:jc w:val="center"/>
            </w:pPr>
            <w:r>
              <w:rPr>
                <w:rFonts w:ascii="宋体" w:hAnsi="宋体" w:eastAsia="宋体"/>
                <w:sz w:val="16"/>
              </w:rPr>
              <w:t>克孜勒苏柯尔克孜自治州应急管理局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1BE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CCD364">
            <w:pPr>
              <w:jc w:val="center"/>
            </w:pPr>
            <w:r>
              <w:rPr>
                <w:rFonts w:ascii="宋体" w:hAnsi="宋体" w:eastAsia="宋体"/>
                <w:sz w:val="16"/>
              </w:rPr>
              <w:t>克孜勒苏柯尔克孜自治州应急管理局</w:t>
            </w:r>
          </w:p>
        </w:tc>
      </w:tr>
      <w:tr w14:paraId="54BC17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09C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D9E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0E1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537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CAE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2671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556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32DC">
            <w:pPr>
              <w:jc w:val="center"/>
            </w:pPr>
            <w:r>
              <w:rPr>
                <w:rFonts w:ascii="宋体" w:hAnsi="宋体" w:eastAsia="宋体"/>
                <w:sz w:val="16"/>
              </w:rPr>
              <w:t>得分</w:t>
            </w:r>
          </w:p>
        </w:tc>
      </w:tr>
      <w:tr w14:paraId="38EEF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C9F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34F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3AF45">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33255">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29F90">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A89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7AF9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2570">
            <w:pPr>
              <w:jc w:val="center"/>
            </w:pPr>
            <w:r>
              <w:rPr>
                <w:rFonts w:ascii="宋体" w:hAnsi="宋体" w:eastAsia="宋体"/>
                <w:sz w:val="16"/>
              </w:rPr>
              <w:t>10.00分</w:t>
            </w:r>
          </w:p>
        </w:tc>
      </w:tr>
      <w:tr w14:paraId="4CC2B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F91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DC6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9A287">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19C80">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F4E5F">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48D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F59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4C65">
            <w:pPr>
              <w:jc w:val="center"/>
            </w:pPr>
            <w:r>
              <w:rPr>
                <w:rFonts w:ascii="宋体" w:hAnsi="宋体" w:eastAsia="宋体"/>
                <w:sz w:val="16"/>
              </w:rPr>
              <w:t>—</w:t>
            </w:r>
          </w:p>
        </w:tc>
      </w:tr>
      <w:tr w14:paraId="205C5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3B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96FE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F1E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DEB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D83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EBA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556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43CD">
            <w:pPr>
              <w:jc w:val="center"/>
            </w:pPr>
            <w:r>
              <w:rPr>
                <w:rFonts w:ascii="宋体" w:hAnsi="宋体" w:eastAsia="宋体"/>
                <w:sz w:val="16"/>
              </w:rPr>
              <w:t>—</w:t>
            </w:r>
          </w:p>
        </w:tc>
      </w:tr>
      <w:tr w14:paraId="317AF4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EC9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7A634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37AE47">
            <w:pPr>
              <w:jc w:val="center"/>
            </w:pPr>
            <w:r>
              <w:rPr>
                <w:rFonts w:ascii="宋体" w:hAnsi="宋体" w:eastAsia="宋体"/>
                <w:sz w:val="16"/>
              </w:rPr>
              <w:t>实际完成情况</w:t>
            </w:r>
          </w:p>
        </w:tc>
      </w:tr>
      <w:tr w14:paraId="44E58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425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41AA39">
            <w:pPr>
              <w:jc w:val="both"/>
            </w:pPr>
            <w:r>
              <w:rPr>
                <w:rFonts w:ascii="宋体" w:hAnsi="宋体" w:eastAsia="宋体"/>
                <w:sz w:val="16"/>
              </w:rPr>
              <w:t>项目资金1.3万元。财政资金1.3万元，其他资金0万元。用于购置“应急天山·2024”抗震救灾实战化综合演练的办公经费。通过演练提高广大群众自救</w:t>
            </w:r>
            <w:r>
              <w:rPr>
                <w:rFonts w:hint="eastAsia" w:ascii="宋体" w:hAnsi="宋体"/>
                <w:sz w:val="16"/>
                <w:lang w:eastAsia="zh-CN"/>
              </w:rPr>
              <w:t>互救</w:t>
            </w:r>
            <w:r>
              <w:rPr>
                <w:rFonts w:ascii="宋体" w:hAnsi="宋体" w:eastAsia="宋体"/>
                <w:sz w:val="16"/>
              </w:rPr>
              <w:t>能力和应急意识。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06FDA">
            <w:pPr>
              <w:jc w:val="both"/>
            </w:pPr>
            <w:r>
              <w:rPr>
                <w:rFonts w:ascii="宋体" w:hAnsi="宋体" w:eastAsia="宋体"/>
                <w:sz w:val="16"/>
              </w:rPr>
              <w:t>截至2024年12月31日，已完成：购置应急演练用品1批次，通过演练提高广大群众自救</w:t>
            </w:r>
            <w:r>
              <w:rPr>
                <w:rFonts w:hint="eastAsia" w:ascii="宋体" w:hAnsi="宋体"/>
                <w:sz w:val="16"/>
                <w:lang w:eastAsia="zh-CN"/>
              </w:rPr>
              <w:t>互救</w:t>
            </w:r>
            <w:r>
              <w:rPr>
                <w:rFonts w:ascii="宋体" w:hAnsi="宋体" w:eastAsia="宋体"/>
                <w:sz w:val="16"/>
              </w:rPr>
              <w:t>能力和应急意识。</w:t>
            </w:r>
            <w:r>
              <w:rPr>
                <w:rFonts w:ascii="宋体" w:hAnsi="宋体" w:eastAsia="宋体"/>
                <w:sz w:val="16"/>
              </w:rPr>
              <w:tab/>
            </w:r>
          </w:p>
        </w:tc>
      </w:tr>
      <w:tr w14:paraId="1D052A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698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92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0D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0B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B1E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53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E1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DC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D3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CD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83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E27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85584">
            <w:pPr>
              <w:jc w:val="center"/>
            </w:pPr>
            <w:r>
              <w:rPr>
                <w:rFonts w:ascii="宋体" w:hAnsi="宋体" w:eastAsia="宋体"/>
                <w:sz w:val="16"/>
              </w:rPr>
              <w:t>偏差原因分析及改进措施</w:t>
            </w:r>
          </w:p>
        </w:tc>
      </w:tr>
      <w:tr w14:paraId="1881C0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42A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14D8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52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51DE">
            <w:pPr>
              <w:jc w:val="center"/>
            </w:pPr>
            <w:r>
              <w:rPr>
                <w:rFonts w:ascii="宋体" w:hAnsi="宋体" w:eastAsia="宋体"/>
                <w:sz w:val="16"/>
              </w:rPr>
              <w:t>购置应急演练用品（批次）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37E4">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C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F7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53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69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19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0194">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10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1794F">
            <w:pPr>
              <w:jc w:val="center"/>
            </w:pPr>
          </w:p>
        </w:tc>
      </w:tr>
      <w:tr w14:paraId="3554C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91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15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99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F93E">
            <w:pPr>
              <w:jc w:val="center"/>
            </w:pPr>
            <w:r>
              <w:rPr>
                <w:rFonts w:ascii="宋体" w:hAnsi="宋体" w:eastAsia="宋体"/>
                <w:sz w:val="16"/>
              </w:rPr>
              <w:t>购置应急演练用品质量验收合格率（%）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B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1A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BB8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CE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8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7B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E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BA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77370">
            <w:pPr>
              <w:jc w:val="center"/>
            </w:pPr>
          </w:p>
        </w:tc>
      </w:tr>
      <w:tr w14:paraId="34BC8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6D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62B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4A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E4C8">
            <w:pPr>
              <w:jc w:val="center"/>
            </w:pPr>
            <w:r>
              <w:rPr>
                <w:rFonts w:ascii="宋体" w:hAnsi="宋体" w:eastAsia="宋体"/>
                <w:sz w:val="16"/>
              </w:rPr>
              <w:t>购置应急演练用品完成及时率（%）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D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CE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C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B1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61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02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5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0B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FC470">
            <w:pPr>
              <w:jc w:val="center"/>
            </w:pPr>
          </w:p>
        </w:tc>
      </w:tr>
      <w:tr w14:paraId="34632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DEE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A53C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FD8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B870">
            <w:pPr>
              <w:jc w:val="center"/>
            </w:pPr>
            <w:r>
              <w:rPr>
                <w:rFonts w:ascii="宋体" w:hAnsi="宋体" w:eastAsia="宋体"/>
                <w:sz w:val="16"/>
              </w:rPr>
              <w:t>购置应急演练用品经费（万元)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2D24">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A2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9A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BE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E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F1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B139">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C3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F2275">
            <w:pPr>
              <w:jc w:val="center"/>
            </w:pPr>
          </w:p>
        </w:tc>
      </w:tr>
      <w:tr w14:paraId="2057E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62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017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4A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8A90">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39E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EF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90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75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C1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14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C5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08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04DFE">
            <w:pPr>
              <w:jc w:val="center"/>
            </w:pPr>
          </w:p>
        </w:tc>
      </w:tr>
      <w:tr w14:paraId="50318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30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8E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64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A8AF">
            <w:pPr>
              <w:jc w:val="center"/>
            </w:pPr>
            <w:r>
              <w:rPr>
                <w:rFonts w:ascii="宋体" w:hAnsi="宋体" w:eastAsia="宋体"/>
                <w:sz w:val="16"/>
              </w:rPr>
              <w:t>增强广大群众自救互救能力，提升防灾减灾救灾意识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7AF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958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60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39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1B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F4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5FD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93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3806A">
            <w:pPr>
              <w:jc w:val="center"/>
            </w:pPr>
          </w:p>
        </w:tc>
      </w:tr>
      <w:tr w14:paraId="100DA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372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B9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15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3858">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4E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2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1B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8F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98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2B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1B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67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6F5EE">
            <w:pPr>
              <w:jc w:val="center"/>
            </w:pPr>
          </w:p>
        </w:tc>
      </w:tr>
      <w:tr w14:paraId="70749F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878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41E4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1BB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D7ACBF">
            <w:pPr>
              <w:jc w:val="center"/>
            </w:pPr>
            <w:r>
              <w:rPr>
                <w:rFonts w:ascii="宋体" w:hAnsi="宋体" w:eastAsia="宋体"/>
                <w:sz w:val="16"/>
              </w:rPr>
              <w:t>100分</w:t>
            </w:r>
          </w:p>
        </w:tc>
      </w:tr>
    </w:tbl>
    <w:p w14:paraId="757C93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26BC298">
        <w:tblPrEx>
          <w:tblCellMar>
            <w:top w:w="0" w:type="dxa"/>
            <w:left w:w="108" w:type="dxa"/>
            <w:bottom w:w="0" w:type="dxa"/>
            <w:right w:w="108" w:type="dxa"/>
          </w:tblCellMar>
        </w:tblPrEx>
        <w:tc>
          <w:tcPr>
            <w:tcW w:w="8848" w:type="dxa"/>
            <w:gridSpan w:val="14"/>
            <w:vAlign w:val="center"/>
          </w:tcPr>
          <w:p w14:paraId="182B4203">
            <w:pPr>
              <w:jc w:val="center"/>
            </w:pPr>
            <w:r>
              <w:rPr>
                <w:rFonts w:ascii="宋体" w:hAnsi="宋体" w:eastAsia="宋体"/>
                <w:sz w:val="24"/>
              </w:rPr>
              <w:t>项目支出绩效自评表</w:t>
            </w:r>
          </w:p>
        </w:tc>
      </w:tr>
      <w:tr w14:paraId="5692B387">
        <w:tblPrEx>
          <w:tblCellMar>
            <w:top w:w="0" w:type="dxa"/>
            <w:left w:w="108" w:type="dxa"/>
            <w:bottom w:w="0" w:type="dxa"/>
            <w:right w:w="108" w:type="dxa"/>
          </w:tblCellMar>
        </w:tblPrEx>
        <w:tc>
          <w:tcPr>
            <w:tcW w:w="8848" w:type="dxa"/>
            <w:gridSpan w:val="14"/>
            <w:vAlign w:val="center"/>
          </w:tcPr>
          <w:p w14:paraId="4160E219">
            <w:pPr>
              <w:jc w:val="center"/>
            </w:pPr>
            <w:r>
              <w:rPr>
                <w:rFonts w:ascii="宋体" w:hAnsi="宋体" w:eastAsia="宋体"/>
                <w:sz w:val="24"/>
              </w:rPr>
              <w:t>(2024年度)</w:t>
            </w:r>
          </w:p>
        </w:tc>
      </w:tr>
      <w:tr w14:paraId="404B5E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7B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4DB749">
            <w:pPr>
              <w:jc w:val="center"/>
            </w:pPr>
            <w:r>
              <w:rPr>
                <w:rFonts w:ascii="宋体" w:hAnsi="宋体" w:eastAsia="宋体"/>
                <w:sz w:val="16"/>
              </w:rPr>
              <w:t>应急管理平台技术研发</w:t>
            </w:r>
          </w:p>
        </w:tc>
      </w:tr>
      <w:tr w14:paraId="49B42E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55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0DEE90">
            <w:pPr>
              <w:jc w:val="center"/>
            </w:pPr>
            <w:r>
              <w:rPr>
                <w:rFonts w:ascii="宋体" w:hAnsi="宋体" w:eastAsia="宋体"/>
                <w:sz w:val="16"/>
              </w:rPr>
              <w:t>克孜勒苏柯尔克孜自治州应急管理局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F9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1B0102">
            <w:pPr>
              <w:jc w:val="center"/>
            </w:pPr>
            <w:r>
              <w:rPr>
                <w:rFonts w:ascii="宋体" w:hAnsi="宋体" w:eastAsia="宋体"/>
                <w:sz w:val="16"/>
              </w:rPr>
              <w:t>克孜勒苏柯尔克孜自治州应急管理局</w:t>
            </w:r>
          </w:p>
        </w:tc>
      </w:tr>
      <w:tr w14:paraId="28E77B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3A8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36B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51C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566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474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A0A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72E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1677">
            <w:pPr>
              <w:jc w:val="center"/>
            </w:pPr>
            <w:r>
              <w:rPr>
                <w:rFonts w:ascii="宋体" w:hAnsi="宋体" w:eastAsia="宋体"/>
                <w:sz w:val="16"/>
              </w:rPr>
              <w:t>得分</w:t>
            </w:r>
          </w:p>
        </w:tc>
      </w:tr>
      <w:tr w14:paraId="46253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F17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8FE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8C28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45FA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2F9C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608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C470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4932">
            <w:pPr>
              <w:jc w:val="center"/>
            </w:pPr>
            <w:r>
              <w:rPr>
                <w:rFonts w:ascii="宋体" w:hAnsi="宋体" w:eastAsia="宋体"/>
                <w:sz w:val="16"/>
              </w:rPr>
              <w:t>10.00分</w:t>
            </w:r>
          </w:p>
        </w:tc>
      </w:tr>
      <w:tr w14:paraId="36DEB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387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37B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3CB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992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1A0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E33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416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0550">
            <w:pPr>
              <w:jc w:val="center"/>
            </w:pPr>
            <w:r>
              <w:rPr>
                <w:rFonts w:ascii="宋体" w:hAnsi="宋体" w:eastAsia="宋体"/>
                <w:sz w:val="16"/>
              </w:rPr>
              <w:t>—</w:t>
            </w:r>
          </w:p>
        </w:tc>
      </w:tr>
      <w:tr w14:paraId="1C427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E70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DCB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8C80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8768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7B7C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CA6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F2C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E13A">
            <w:pPr>
              <w:jc w:val="center"/>
            </w:pPr>
            <w:r>
              <w:rPr>
                <w:rFonts w:ascii="宋体" w:hAnsi="宋体" w:eastAsia="宋体"/>
                <w:sz w:val="16"/>
              </w:rPr>
              <w:t>—</w:t>
            </w:r>
          </w:p>
        </w:tc>
      </w:tr>
      <w:tr w14:paraId="74080B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B9F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FFE1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41C68B">
            <w:pPr>
              <w:jc w:val="center"/>
            </w:pPr>
            <w:r>
              <w:rPr>
                <w:rFonts w:ascii="宋体" w:hAnsi="宋体" w:eastAsia="宋体"/>
                <w:sz w:val="16"/>
              </w:rPr>
              <w:t>实际完成情况</w:t>
            </w:r>
          </w:p>
        </w:tc>
      </w:tr>
      <w:tr w14:paraId="2FCEA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90B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DE5AF6">
            <w:pPr>
              <w:jc w:val="both"/>
            </w:pPr>
            <w:r>
              <w:rPr>
                <w:rFonts w:ascii="宋体" w:hAnsi="宋体" w:eastAsia="宋体"/>
                <w:sz w:val="16"/>
              </w:rPr>
              <w:t>项目资金10万元，其中：财政资金0万元，上年结转结余资金10万元， 该项目资金主要用于应急管理平台技术研发。通过该项目的实施，有效提高应急管理技术平台研发工作的开展。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2B5378">
            <w:pPr>
              <w:jc w:val="both"/>
            </w:pPr>
            <w:r>
              <w:rPr>
                <w:rFonts w:hint="eastAsia" w:ascii="宋体" w:hAnsi="宋体"/>
                <w:sz w:val="16"/>
                <w:lang w:eastAsia="zh-CN"/>
              </w:rPr>
              <w:t>截至</w:t>
            </w:r>
            <w:r>
              <w:rPr>
                <w:rFonts w:ascii="宋体" w:hAnsi="宋体" w:eastAsia="宋体"/>
                <w:sz w:val="16"/>
              </w:rPr>
              <w:t>2024年12月31日，项目资金15万元， 已完成了硬件采购数2个、软件采购数2个。</w:t>
            </w:r>
            <w:r>
              <w:rPr>
                <w:rFonts w:ascii="宋体" w:hAnsi="宋体" w:eastAsia="宋体"/>
                <w:sz w:val="16"/>
              </w:rPr>
              <w:tab/>
            </w:r>
            <w:r>
              <w:rPr>
                <w:rFonts w:ascii="宋体" w:hAnsi="宋体" w:eastAsia="宋体"/>
                <w:sz w:val="16"/>
              </w:rPr>
              <w:t>通过该项目的实施，有效提高应急管理技术平台研发工作的开展。</w:t>
            </w:r>
          </w:p>
        </w:tc>
      </w:tr>
      <w:tr w14:paraId="1E5A22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3E4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10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DA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89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C8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48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9F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07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F9D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69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C9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42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21189">
            <w:pPr>
              <w:jc w:val="center"/>
            </w:pPr>
            <w:r>
              <w:rPr>
                <w:rFonts w:ascii="宋体" w:hAnsi="宋体" w:eastAsia="宋体"/>
                <w:sz w:val="16"/>
              </w:rPr>
              <w:t>偏差原因分析及改进措施</w:t>
            </w:r>
          </w:p>
        </w:tc>
      </w:tr>
      <w:tr w14:paraId="5130DD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490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34F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CA4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D931">
            <w:pPr>
              <w:jc w:val="center"/>
            </w:pPr>
            <w:r>
              <w:rPr>
                <w:rFonts w:ascii="宋体" w:hAnsi="宋体" w:eastAsia="宋体"/>
                <w:sz w:val="16"/>
              </w:rPr>
              <w:t>硬件采购数（个）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E51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1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D2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5A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6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70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9A6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E89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E8715">
            <w:pPr>
              <w:jc w:val="center"/>
            </w:pPr>
          </w:p>
        </w:tc>
      </w:tr>
      <w:tr w14:paraId="7A256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9B8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1A1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528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D1F9">
            <w:pPr>
              <w:jc w:val="center"/>
            </w:pPr>
            <w:r>
              <w:rPr>
                <w:rFonts w:ascii="宋体" w:hAnsi="宋体" w:eastAsia="宋体"/>
                <w:sz w:val="16"/>
              </w:rPr>
              <w:t>软件采购数（个）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EFC5">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C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E0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D6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D7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46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E73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616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83E7D">
            <w:pPr>
              <w:jc w:val="center"/>
            </w:pPr>
          </w:p>
        </w:tc>
      </w:tr>
      <w:tr w14:paraId="3AC1C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38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288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3A0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F3A1">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EB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8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46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A2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A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85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0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B8A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12585">
            <w:pPr>
              <w:jc w:val="center"/>
            </w:pPr>
          </w:p>
        </w:tc>
      </w:tr>
      <w:tr w14:paraId="55670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2B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D6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E4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F398">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9B72">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3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DD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71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0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82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01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6CC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97AC7">
            <w:pPr>
              <w:jc w:val="center"/>
            </w:pPr>
          </w:p>
        </w:tc>
      </w:tr>
      <w:tr w14:paraId="6AEE0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EA7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15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2A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F5CA">
            <w:pPr>
              <w:jc w:val="center"/>
            </w:pPr>
            <w:r>
              <w:rPr>
                <w:rFonts w:ascii="宋体" w:hAnsi="宋体" w:eastAsia="宋体"/>
                <w:sz w:val="16"/>
              </w:rPr>
              <w:t>系统运行维护响应时间（天）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7E5A">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B9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E5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D5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4D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30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B80E">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667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D2E21">
            <w:pPr>
              <w:jc w:val="center"/>
            </w:pPr>
          </w:p>
        </w:tc>
      </w:tr>
      <w:tr w14:paraId="3F1DF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18D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03B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9D3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5A32">
            <w:pPr>
              <w:jc w:val="center"/>
            </w:pPr>
            <w:r>
              <w:rPr>
                <w:rFonts w:ascii="宋体" w:hAnsi="宋体" w:eastAsia="宋体"/>
                <w:sz w:val="16"/>
              </w:rPr>
              <w:t>硬件采购（万元）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637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63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F7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7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F7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B6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A8A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A2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CC3EE">
            <w:pPr>
              <w:jc w:val="center"/>
            </w:pPr>
          </w:p>
        </w:tc>
      </w:tr>
      <w:tr w14:paraId="7F44B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15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BD2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848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BC95">
            <w:pPr>
              <w:jc w:val="center"/>
            </w:pPr>
            <w:r>
              <w:rPr>
                <w:rFonts w:ascii="宋体" w:hAnsi="宋体" w:eastAsia="宋体"/>
                <w:sz w:val="16"/>
              </w:rPr>
              <w:t>软件采购（万元）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4716">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EB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14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E9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EE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81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579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A6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DC746">
            <w:pPr>
              <w:jc w:val="center"/>
            </w:pPr>
          </w:p>
        </w:tc>
      </w:tr>
      <w:tr w14:paraId="1927A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3D0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8E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48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CC41">
            <w:pPr>
              <w:jc w:val="center"/>
            </w:pPr>
            <w:r>
              <w:rPr>
                <w:rFonts w:ascii="宋体" w:hAnsi="宋体" w:eastAsia="宋体"/>
                <w:sz w:val="16"/>
              </w:rPr>
              <w:t>提高矿山企业监控监管，保障企业生命财产安全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589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4B1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46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C5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DA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1F4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990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38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FD6EB">
            <w:pPr>
              <w:jc w:val="center"/>
            </w:pPr>
          </w:p>
        </w:tc>
      </w:tr>
      <w:tr w14:paraId="06392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D2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FA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3B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2C4C">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E9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29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60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D5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67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D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7A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16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4F016">
            <w:pPr>
              <w:jc w:val="center"/>
            </w:pPr>
          </w:p>
        </w:tc>
      </w:tr>
      <w:tr w14:paraId="280378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7BB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7DCA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BE3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B70C8">
            <w:pPr>
              <w:jc w:val="center"/>
            </w:pPr>
            <w:r>
              <w:rPr>
                <w:rFonts w:ascii="宋体" w:hAnsi="宋体" w:eastAsia="宋体"/>
                <w:sz w:val="16"/>
              </w:rPr>
              <w:t>100分</w:t>
            </w:r>
          </w:p>
        </w:tc>
      </w:tr>
    </w:tbl>
    <w:p w14:paraId="0353580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5643DAC">
        <w:tblPrEx>
          <w:tblCellMar>
            <w:top w:w="0" w:type="dxa"/>
            <w:left w:w="108" w:type="dxa"/>
            <w:bottom w:w="0" w:type="dxa"/>
            <w:right w:w="108" w:type="dxa"/>
          </w:tblCellMar>
        </w:tblPrEx>
        <w:tc>
          <w:tcPr>
            <w:tcW w:w="8848" w:type="dxa"/>
            <w:gridSpan w:val="14"/>
            <w:vAlign w:val="center"/>
          </w:tcPr>
          <w:p w14:paraId="206343C6">
            <w:pPr>
              <w:jc w:val="center"/>
            </w:pPr>
            <w:r>
              <w:rPr>
                <w:rFonts w:ascii="宋体" w:hAnsi="宋体" w:eastAsia="宋体"/>
                <w:sz w:val="24"/>
              </w:rPr>
              <w:t>项目支出绩效自评表</w:t>
            </w:r>
          </w:p>
        </w:tc>
      </w:tr>
      <w:tr w14:paraId="28C80563">
        <w:tblPrEx>
          <w:tblCellMar>
            <w:top w:w="0" w:type="dxa"/>
            <w:left w:w="108" w:type="dxa"/>
            <w:bottom w:w="0" w:type="dxa"/>
            <w:right w:w="108" w:type="dxa"/>
          </w:tblCellMar>
        </w:tblPrEx>
        <w:tc>
          <w:tcPr>
            <w:tcW w:w="8848" w:type="dxa"/>
            <w:gridSpan w:val="14"/>
            <w:vAlign w:val="center"/>
          </w:tcPr>
          <w:p w14:paraId="17E256C2">
            <w:pPr>
              <w:jc w:val="center"/>
            </w:pPr>
            <w:r>
              <w:rPr>
                <w:rFonts w:ascii="宋体" w:hAnsi="宋体" w:eastAsia="宋体"/>
                <w:sz w:val="24"/>
              </w:rPr>
              <w:t>(2024年度)</w:t>
            </w:r>
          </w:p>
        </w:tc>
      </w:tr>
      <w:tr w14:paraId="303D64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65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28915D">
            <w:pPr>
              <w:jc w:val="center"/>
            </w:pPr>
            <w:r>
              <w:rPr>
                <w:rFonts w:ascii="宋体" w:hAnsi="宋体" w:eastAsia="宋体"/>
                <w:sz w:val="16"/>
              </w:rPr>
              <w:t>应急管理指挥中心网络经费项目</w:t>
            </w:r>
          </w:p>
        </w:tc>
      </w:tr>
      <w:tr w14:paraId="569F43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2F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712D1">
            <w:pPr>
              <w:jc w:val="center"/>
            </w:pPr>
            <w:r>
              <w:rPr>
                <w:rFonts w:ascii="宋体" w:hAnsi="宋体" w:eastAsia="宋体"/>
                <w:sz w:val="16"/>
              </w:rPr>
              <w:t>克孜勒苏柯尔克孜自治州应急管理局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54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62DD05">
            <w:pPr>
              <w:jc w:val="center"/>
            </w:pPr>
            <w:r>
              <w:rPr>
                <w:rFonts w:ascii="宋体" w:hAnsi="宋体" w:eastAsia="宋体"/>
                <w:sz w:val="16"/>
              </w:rPr>
              <w:t>克孜勒苏柯尔克孜自治州应急管理局</w:t>
            </w:r>
          </w:p>
        </w:tc>
      </w:tr>
      <w:tr w14:paraId="071F4C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111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029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07D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DAC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9BF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3B6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94D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F670">
            <w:pPr>
              <w:jc w:val="center"/>
            </w:pPr>
            <w:r>
              <w:rPr>
                <w:rFonts w:ascii="宋体" w:hAnsi="宋体" w:eastAsia="宋体"/>
                <w:sz w:val="16"/>
              </w:rPr>
              <w:t>得分</w:t>
            </w:r>
          </w:p>
        </w:tc>
      </w:tr>
      <w:tr w14:paraId="23ED1E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77E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BB6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607B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EEED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DDAA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2A6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A7B1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BCAD">
            <w:pPr>
              <w:jc w:val="center"/>
            </w:pPr>
            <w:r>
              <w:rPr>
                <w:rFonts w:ascii="宋体" w:hAnsi="宋体" w:eastAsia="宋体"/>
                <w:sz w:val="16"/>
              </w:rPr>
              <w:t>10.00分</w:t>
            </w:r>
          </w:p>
        </w:tc>
      </w:tr>
      <w:tr w14:paraId="5799A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D97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F35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629F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75CE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9E39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77C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7A4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4B30">
            <w:pPr>
              <w:jc w:val="center"/>
            </w:pPr>
            <w:r>
              <w:rPr>
                <w:rFonts w:ascii="宋体" w:hAnsi="宋体" w:eastAsia="宋体"/>
                <w:sz w:val="16"/>
              </w:rPr>
              <w:t>—</w:t>
            </w:r>
          </w:p>
        </w:tc>
      </w:tr>
      <w:tr w14:paraId="491B1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158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ED3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A79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6A6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228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8C6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BD0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F104">
            <w:pPr>
              <w:jc w:val="center"/>
            </w:pPr>
            <w:r>
              <w:rPr>
                <w:rFonts w:ascii="宋体" w:hAnsi="宋体" w:eastAsia="宋体"/>
                <w:sz w:val="16"/>
              </w:rPr>
              <w:t>—</w:t>
            </w:r>
          </w:p>
        </w:tc>
      </w:tr>
      <w:tr w14:paraId="3D6572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A6B9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F893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D0761C">
            <w:pPr>
              <w:jc w:val="center"/>
            </w:pPr>
            <w:r>
              <w:rPr>
                <w:rFonts w:ascii="宋体" w:hAnsi="宋体" w:eastAsia="宋体"/>
                <w:sz w:val="16"/>
              </w:rPr>
              <w:t>实际完成情况</w:t>
            </w:r>
          </w:p>
        </w:tc>
      </w:tr>
      <w:tr w14:paraId="723E3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627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2982B2">
            <w:pPr>
              <w:jc w:val="both"/>
            </w:pPr>
            <w:r>
              <w:rPr>
                <w:rFonts w:ascii="宋体" w:hAnsi="宋体" w:eastAsia="宋体"/>
                <w:sz w:val="16"/>
              </w:rPr>
              <w:t>该项目资金15万元，其中：财政资金15万元，其他资金0万元，该项目资金主要用于应急指挥中心网络工作，为进一步补齐应急指挥工作短板，提升应急指挥中心工作质量，达到指挥全州防灾减灾救灾工作效果，切实体现应急指挥中心能够完成工作职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16F78F">
            <w:pPr>
              <w:jc w:val="both"/>
            </w:pPr>
            <w:r>
              <w:rPr>
                <w:rFonts w:hint="eastAsia" w:ascii="宋体" w:hAnsi="宋体"/>
                <w:sz w:val="16"/>
                <w:lang w:eastAsia="zh-CN"/>
              </w:rPr>
              <w:t>截至2024</w:t>
            </w:r>
            <w:r>
              <w:rPr>
                <w:rFonts w:ascii="宋体" w:hAnsi="宋体" w:eastAsia="宋体"/>
                <w:sz w:val="16"/>
              </w:rPr>
              <w:t>年12月31日，该项目资金15万元，已完成了应急指挥信息网链路条数1次、单位设备运维次数4次、公安视频链路条数1条。该项目资金主要用于应急指挥中心网络工作，为进一步补齐应急指挥工作短板，提升应急指挥中心工作质量，达到指挥全州防灾减灾救灾工作效果，切实体现应急指挥中心能够完成工作职能。</w:t>
            </w:r>
          </w:p>
        </w:tc>
      </w:tr>
      <w:tr w14:paraId="157E31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ED30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B6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F2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F5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B4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72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2B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FF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C67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D2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048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D85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3D0D5">
            <w:pPr>
              <w:jc w:val="center"/>
            </w:pPr>
            <w:r>
              <w:rPr>
                <w:rFonts w:ascii="宋体" w:hAnsi="宋体" w:eastAsia="宋体"/>
                <w:sz w:val="16"/>
              </w:rPr>
              <w:t>偏差原因分析及改进措施</w:t>
            </w:r>
          </w:p>
        </w:tc>
      </w:tr>
      <w:tr w14:paraId="7047D2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7C3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0D9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B6C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F5C6">
            <w:pPr>
              <w:jc w:val="center"/>
            </w:pPr>
            <w:r>
              <w:rPr>
                <w:rFonts w:ascii="宋体" w:hAnsi="宋体" w:eastAsia="宋体"/>
                <w:sz w:val="16"/>
              </w:rPr>
              <w:t>应急指挥信息网链路条数（次）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E2B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0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F9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D3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65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8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313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78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7099B">
            <w:pPr>
              <w:jc w:val="center"/>
            </w:pPr>
          </w:p>
        </w:tc>
      </w:tr>
      <w:tr w14:paraId="077D2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6D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C1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4AE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7239">
            <w:pPr>
              <w:jc w:val="center"/>
            </w:pPr>
            <w:r>
              <w:rPr>
                <w:rFonts w:ascii="宋体" w:hAnsi="宋体" w:eastAsia="宋体"/>
                <w:sz w:val="16"/>
              </w:rPr>
              <w:t>单位设备运维次数（次）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562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2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A2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3E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1A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BE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0104">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412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B6B2E">
            <w:pPr>
              <w:jc w:val="center"/>
            </w:pPr>
          </w:p>
        </w:tc>
      </w:tr>
      <w:tr w14:paraId="14F3D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04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15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E0B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42D1">
            <w:pPr>
              <w:jc w:val="center"/>
            </w:pPr>
            <w:r>
              <w:rPr>
                <w:rFonts w:ascii="宋体" w:hAnsi="宋体" w:eastAsia="宋体"/>
                <w:sz w:val="16"/>
              </w:rPr>
              <w:t>公安视频链路条数（条）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4E3D">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10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13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B3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20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00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607E">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F12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94781">
            <w:pPr>
              <w:jc w:val="center"/>
            </w:pPr>
          </w:p>
        </w:tc>
      </w:tr>
      <w:tr w14:paraId="4E6E4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D3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B3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E6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2C37">
            <w:pPr>
              <w:jc w:val="center"/>
            </w:pPr>
            <w:r>
              <w:rPr>
                <w:rFonts w:ascii="宋体" w:hAnsi="宋体" w:eastAsia="宋体"/>
                <w:sz w:val="16"/>
              </w:rPr>
              <w:t>网络系统运行故障率（%）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0B89">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4E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11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85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E3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4C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8A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BBC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C8227">
            <w:pPr>
              <w:jc w:val="center"/>
            </w:pPr>
          </w:p>
        </w:tc>
      </w:tr>
      <w:tr w14:paraId="4E147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4DC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E4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53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8E0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060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E08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AA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86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3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6A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653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7D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114B3">
            <w:pPr>
              <w:jc w:val="center"/>
            </w:pPr>
          </w:p>
        </w:tc>
      </w:tr>
      <w:tr w14:paraId="0C62C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BB9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2899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7CE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78BB">
            <w:pPr>
              <w:jc w:val="center"/>
            </w:pPr>
            <w:r>
              <w:rPr>
                <w:rFonts w:ascii="宋体" w:hAnsi="宋体" w:eastAsia="宋体"/>
                <w:sz w:val="16"/>
              </w:rPr>
              <w:t>应急指挥信息网链路费（万元）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D26D4">
            <w:pPr>
              <w:jc w:val="center"/>
            </w:pPr>
            <w:r>
              <w:rPr>
                <w:rFonts w:ascii="宋体" w:hAnsi="宋体" w:eastAsia="宋体"/>
                <w:sz w:val="16"/>
              </w:rPr>
              <w:t>&lt;=9.60万元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B6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B7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4E7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5B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55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860B">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204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1FCC3">
            <w:pPr>
              <w:jc w:val="center"/>
            </w:pPr>
          </w:p>
        </w:tc>
      </w:tr>
      <w:tr w14:paraId="47B92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C5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55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CB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213E">
            <w:pPr>
              <w:jc w:val="center"/>
            </w:pPr>
            <w:r>
              <w:rPr>
                <w:rFonts w:ascii="宋体" w:hAnsi="宋体" w:eastAsia="宋体"/>
                <w:sz w:val="16"/>
              </w:rPr>
              <w:t>运维费用（万元）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5406">
            <w:pPr>
              <w:jc w:val="center"/>
            </w:pPr>
            <w:r>
              <w:rPr>
                <w:rFonts w:ascii="宋体" w:hAnsi="宋体" w:eastAsia="宋体"/>
                <w:sz w:val="16"/>
              </w:rPr>
              <w:t>&lt;=5.16万元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C0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7B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D58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D2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21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0B4B">
            <w:pPr>
              <w:jc w:val="center"/>
            </w:pPr>
            <w:r>
              <w:rPr>
                <w:rFonts w:ascii="宋体" w:hAnsi="宋体" w:eastAsia="宋体"/>
                <w:sz w:val="16"/>
              </w:rPr>
              <w:t>=5.16万元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426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D2050">
            <w:pPr>
              <w:jc w:val="center"/>
            </w:pPr>
          </w:p>
        </w:tc>
      </w:tr>
      <w:tr w14:paraId="3880B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01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DF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69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4AA5">
            <w:pPr>
              <w:jc w:val="center"/>
            </w:pPr>
            <w:r>
              <w:rPr>
                <w:rFonts w:ascii="宋体" w:hAnsi="宋体" w:eastAsia="宋体"/>
                <w:sz w:val="16"/>
              </w:rPr>
              <w:t>公安视频链路费用标准（万元）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5535">
            <w:pPr>
              <w:jc w:val="center"/>
            </w:pPr>
            <w:r>
              <w:rPr>
                <w:rFonts w:ascii="宋体" w:hAnsi="宋体" w:eastAsia="宋体"/>
                <w:sz w:val="16"/>
              </w:rPr>
              <w:t>&lt;=0.24万元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41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56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5E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2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DC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2343">
            <w:pPr>
              <w:jc w:val="center"/>
            </w:pPr>
            <w:r>
              <w:rPr>
                <w:rFonts w:ascii="宋体" w:hAnsi="宋体" w:eastAsia="宋体"/>
                <w:sz w:val="16"/>
              </w:rPr>
              <w:t>=0.24万元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7B3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5B688">
            <w:pPr>
              <w:jc w:val="center"/>
            </w:pPr>
          </w:p>
        </w:tc>
      </w:tr>
      <w:tr w14:paraId="1D83D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551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A91D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C6C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CE30">
            <w:pPr>
              <w:jc w:val="center"/>
            </w:pPr>
            <w:r>
              <w:rPr>
                <w:rFonts w:ascii="宋体" w:hAnsi="宋体" w:eastAsia="宋体"/>
                <w:sz w:val="16"/>
              </w:rPr>
              <w:t>提升应对有关生产安全事故的应急处置能力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F751">
            <w:pPr>
              <w:jc w:val="center"/>
            </w:pPr>
            <w:r>
              <w:rPr>
                <w:rFonts w:ascii="宋体" w:hAnsi="宋体" w:eastAsia="宋体"/>
                <w:sz w:val="16"/>
              </w:rPr>
              <w:t>有效得升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F8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B9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0D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7E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EA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49F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F3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B3D40">
            <w:pPr>
              <w:jc w:val="center"/>
            </w:pPr>
          </w:p>
        </w:tc>
      </w:tr>
      <w:tr w14:paraId="5C2C4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2CC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B1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7E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56CB">
            <w:pPr>
              <w:jc w:val="center"/>
            </w:pPr>
            <w:r>
              <w:rPr>
                <w:rFonts w:ascii="宋体" w:hAnsi="宋体" w:eastAsia="宋体"/>
                <w:sz w:val="16"/>
              </w:rPr>
              <w:t>形成具有普遍适用性的应急预案体系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065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42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8F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C8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DA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E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F3B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26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BA4C3">
            <w:pPr>
              <w:jc w:val="center"/>
            </w:pPr>
          </w:p>
        </w:tc>
      </w:tr>
      <w:tr w14:paraId="18633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57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FE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06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8916">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FA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CF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DD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1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EF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EE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BD5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A3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09EAA">
            <w:pPr>
              <w:jc w:val="center"/>
            </w:pPr>
          </w:p>
        </w:tc>
      </w:tr>
      <w:tr w14:paraId="5A3809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D8C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72C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01C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646E0C">
            <w:pPr>
              <w:jc w:val="center"/>
            </w:pPr>
            <w:r>
              <w:rPr>
                <w:rFonts w:ascii="宋体" w:hAnsi="宋体" w:eastAsia="宋体"/>
                <w:sz w:val="16"/>
              </w:rPr>
              <w:t>100分</w:t>
            </w:r>
          </w:p>
        </w:tc>
      </w:tr>
    </w:tbl>
    <w:p w14:paraId="1838F81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19CBC0C">
        <w:tblPrEx>
          <w:tblCellMar>
            <w:top w:w="0" w:type="dxa"/>
            <w:left w:w="108" w:type="dxa"/>
            <w:bottom w:w="0" w:type="dxa"/>
            <w:right w:w="108" w:type="dxa"/>
          </w:tblCellMar>
        </w:tblPrEx>
        <w:tc>
          <w:tcPr>
            <w:tcW w:w="8848" w:type="dxa"/>
            <w:gridSpan w:val="14"/>
            <w:vAlign w:val="center"/>
          </w:tcPr>
          <w:p w14:paraId="33CFE8EF">
            <w:pPr>
              <w:jc w:val="center"/>
            </w:pPr>
            <w:r>
              <w:rPr>
                <w:rFonts w:ascii="宋体" w:hAnsi="宋体" w:eastAsia="宋体"/>
                <w:sz w:val="24"/>
              </w:rPr>
              <w:t>项目支出绩效自评表</w:t>
            </w:r>
          </w:p>
        </w:tc>
      </w:tr>
      <w:tr w14:paraId="68592A52">
        <w:tblPrEx>
          <w:tblCellMar>
            <w:top w:w="0" w:type="dxa"/>
            <w:left w:w="108" w:type="dxa"/>
            <w:bottom w:w="0" w:type="dxa"/>
            <w:right w:w="108" w:type="dxa"/>
          </w:tblCellMar>
        </w:tblPrEx>
        <w:tc>
          <w:tcPr>
            <w:tcW w:w="8848" w:type="dxa"/>
            <w:gridSpan w:val="14"/>
            <w:vAlign w:val="center"/>
          </w:tcPr>
          <w:p w14:paraId="1BBCCA09">
            <w:pPr>
              <w:jc w:val="center"/>
            </w:pPr>
            <w:r>
              <w:rPr>
                <w:rFonts w:ascii="宋体" w:hAnsi="宋体" w:eastAsia="宋体"/>
                <w:sz w:val="24"/>
              </w:rPr>
              <w:t>(2024年度)</w:t>
            </w:r>
          </w:p>
        </w:tc>
      </w:tr>
      <w:tr w14:paraId="207ADC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65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6E5461">
            <w:pPr>
              <w:jc w:val="center"/>
            </w:pPr>
            <w:r>
              <w:rPr>
                <w:rFonts w:ascii="宋体" w:hAnsi="宋体" w:eastAsia="宋体"/>
                <w:sz w:val="16"/>
              </w:rPr>
              <w:t>应急管理经费项目</w:t>
            </w:r>
          </w:p>
        </w:tc>
      </w:tr>
      <w:tr w14:paraId="320632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2E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0784E">
            <w:pPr>
              <w:jc w:val="center"/>
            </w:pPr>
            <w:r>
              <w:rPr>
                <w:rFonts w:ascii="宋体" w:hAnsi="宋体" w:eastAsia="宋体"/>
                <w:sz w:val="16"/>
              </w:rPr>
              <w:t>克孜勒苏柯尔克孜自治州应急管理局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0A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405527">
            <w:pPr>
              <w:jc w:val="center"/>
            </w:pPr>
            <w:r>
              <w:rPr>
                <w:rFonts w:ascii="宋体" w:hAnsi="宋体" w:eastAsia="宋体"/>
                <w:sz w:val="16"/>
              </w:rPr>
              <w:t>克孜勒苏柯尔克孜自治州应急管理局</w:t>
            </w:r>
          </w:p>
        </w:tc>
      </w:tr>
      <w:tr w14:paraId="1644FF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4A2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226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DC3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F83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F62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5D1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CA2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7F89">
            <w:pPr>
              <w:jc w:val="center"/>
            </w:pPr>
            <w:r>
              <w:rPr>
                <w:rFonts w:ascii="宋体" w:hAnsi="宋体" w:eastAsia="宋体"/>
                <w:sz w:val="16"/>
              </w:rPr>
              <w:t>得分</w:t>
            </w:r>
          </w:p>
        </w:tc>
      </w:tr>
      <w:tr w14:paraId="757E8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646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53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2A3C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900B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9B7B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8DA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88A7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3034">
            <w:pPr>
              <w:jc w:val="center"/>
            </w:pPr>
            <w:r>
              <w:rPr>
                <w:rFonts w:ascii="宋体" w:hAnsi="宋体" w:eastAsia="宋体"/>
                <w:sz w:val="16"/>
              </w:rPr>
              <w:t>10.00分</w:t>
            </w:r>
          </w:p>
        </w:tc>
      </w:tr>
      <w:tr w14:paraId="30E2C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FFB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A95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742A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56EE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9053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1B3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F0F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F2A1">
            <w:pPr>
              <w:jc w:val="center"/>
            </w:pPr>
            <w:r>
              <w:rPr>
                <w:rFonts w:ascii="宋体" w:hAnsi="宋体" w:eastAsia="宋体"/>
                <w:sz w:val="16"/>
              </w:rPr>
              <w:t>—</w:t>
            </w:r>
          </w:p>
        </w:tc>
      </w:tr>
      <w:tr w14:paraId="55201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237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3F1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927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C00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5CE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CA7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64E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C981">
            <w:pPr>
              <w:jc w:val="center"/>
            </w:pPr>
            <w:r>
              <w:rPr>
                <w:rFonts w:ascii="宋体" w:hAnsi="宋体" w:eastAsia="宋体"/>
                <w:sz w:val="16"/>
              </w:rPr>
              <w:t>—</w:t>
            </w:r>
          </w:p>
        </w:tc>
      </w:tr>
      <w:tr w14:paraId="3C0874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8C90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3625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B180F9">
            <w:pPr>
              <w:jc w:val="center"/>
            </w:pPr>
            <w:r>
              <w:rPr>
                <w:rFonts w:ascii="宋体" w:hAnsi="宋体" w:eastAsia="宋体"/>
                <w:sz w:val="16"/>
              </w:rPr>
              <w:t>实际完成情况</w:t>
            </w:r>
          </w:p>
        </w:tc>
      </w:tr>
      <w:tr w14:paraId="10B10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602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C5B0C6">
            <w:pPr>
              <w:jc w:val="both"/>
            </w:pPr>
            <w:r>
              <w:rPr>
                <w:rFonts w:ascii="宋体" w:hAnsi="宋体" w:eastAsia="宋体"/>
                <w:sz w:val="16"/>
              </w:rPr>
              <w:t>该项目资金5万元，其中：财政资金5万元，其他资金0万元，该项目资金主要用于做好对全州应急管理局信息报送、印刷宣传单、卫星通信保障、应急演练、应急物资、应急办公消耗、培训、授课等应急管理工作进一步提升、监督管理。提升应急救援、自然灾害应急处置能力，有效防范和应对重特大灾害挑战，切实维护人民群众生命财产安全，保障经济社会平稳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4C6225">
            <w:pPr>
              <w:jc w:val="both"/>
            </w:pPr>
            <w:r>
              <w:rPr>
                <w:rFonts w:hint="eastAsia" w:ascii="宋体" w:hAnsi="宋体"/>
                <w:sz w:val="16"/>
                <w:lang w:eastAsia="zh-CN"/>
              </w:rPr>
              <w:t>截至</w:t>
            </w:r>
            <w:r>
              <w:rPr>
                <w:rFonts w:ascii="宋体" w:hAnsi="宋体" w:eastAsia="宋体"/>
                <w:sz w:val="16"/>
              </w:rPr>
              <w:t>2024年12月31日，该项目执行数为5万元，完成了印刷应急常识宣传手册5000册、开展应急演练2次、</w:t>
            </w:r>
            <w:r>
              <w:rPr>
                <w:rFonts w:ascii="宋体" w:hAnsi="宋体" w:eastAsia="宋体"/>
                <w:sz w:val="16"/>
              </w:rPr>
              <w:tab/>
            </w:r>
            <w:r>
              <w:rPr>
                <w:rFonts w:ascii="宋体" w:hAnsi="宋体" w:eastAsia="宋体"/>
                <w:sz w:val="16"/>
              </w:rPr>
              <w:t>缴纳应急通讯费2次、应急隐患排查10次。通过该项目的实施，提升应急救援、自然灾害应急处置能力，有效防范和应对重特大灾害挑战，切实维护人民群众生命财产安全，保障经济社会平稳健康发展。</w:t>
            </w:r>
          </w:p>
        </w:tc>
      </w:tr>
      <w:tr w14:paraId="0483A7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977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36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6E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72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46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0B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30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79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39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EC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B43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07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8203E">
            <w:pPr>
              <w:jc w:val="center"/>
            </w:pPr>
            <w:r>
              <w:rPr>
                <w:rFonts w:ascii="宋体" w:hAnsi="宋体" w:eastAsia="宋体"/>
                <w:sz w:val="16"/>
              </w:rPr>
              <w:t>偏差原因分析及改进措施</w:t>
            </w:r>
          </w:p>
        </w:tc>
      </w:tr>
      <w:tr w14:paraId="70BEAE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05E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7BE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CF8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8187">
            <w:pPr>
              <w:jc w:val="center"/>
            </w:pPr>
            <w:r>
              <w:rPr>
                <w:rFonts w:ascii="宋体" w:hAnsi="宋体" w:eastAsia="宋体"/>
                <w:sz w:val="16"/>
              </w:rPr>
              <w:t>印刷应急常识宣传手册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6FFE">
            <w:pPr>
              <w:jc w:val="center"/>
            </w:pPr>
            <w:r>
              <w:rPr>
                <w:rFonts w:ascii="宋体" w:hAnsi="宋体" w:eastAsia="宋体"/>
                <w:sz w:val="16"/>
              </w:rPr>
              <w:t>=5000册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B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57AE">
            <w:pPr>
              <w:jc w:val="center"/>
            </w:pPr>
            <w:r>
              <w:rPr>
                <w:rFonts w:ascii="宋体" w:hAnsi="宋体" w:eastAsia="宋体"/>
                <w:sz w:val="16"/>
              </w:rPr>
              <w:t>10000册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A8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BA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C8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65F7">
            <w:pPr>
              <w:jc w:val="center"/>
            </w:pPr>
            <w:r>
              <w:rPr>
                <w:rFonts w:ascii="宋体" w:hAnsi="宋体" w:eastAsia="宋体"/>
                <w:sz w:val="16"/>
              </w:rPr>
              <w:t>=5000册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D8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97462">
            <w:pPr>
              <w:jc w:val="center"/>
            </w:pPr>
          </w:p>
        </w:tc>
      </w:tr>
      <w:tr w14:paraId="7627F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3D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17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DAD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B242">
            <w:pPr>
              <w:jc w:val="center"/>
            </w:pPr>
            <w:r>
              <w:rPr>
                <w:rFonts w:ascii="宋体" w:hAnsi="宋体" w:eastAsia="宋体"/>
                <w:sz w:val="16"/>
              </w:rPr>
              <w:t>开展应急演练次数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66C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2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DD4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34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CB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82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D87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965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B9567">
            <w:pPr>
              <w:jc w:val="center"/>
            </w:pPr>
          </w:p>
        </w:tc>
      </w:tr>
      <w:tr w14:paraId="652AE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DF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CA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F5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4A72">
            <w:pPr>
              <w:jc w:val="center"/>
            </w:pPr>
            <w:r>
              <w:rPr>
                <w:rFonts w:ascii="宋体" w:hAnsi="宋体" w:eastAsia="宋体"/>
                <w:sz w:val="16"/>
              </w:rPr>
              <w:t>缴纳应急通讯费次数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974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1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71E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0F9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0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BC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B5E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1EC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AE72A">
            <w:pPr>
              <w:jc w:val="center"/>
            </w:pPr>
          </w:p>
        </w:tc>
      </w:tr>
      <w:tr w14:paraId="66DA6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06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83E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3E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62F5">
            <w:pPr>
              <w:jc w:val="center"/>
            </w:pPr>
            <w:r>
              <w:rPr>
                <w:rFonts w:ascii="宋体" w:hAnsi="宋体" w:eastAsia="宋体"/>
                <w:sz w:val="16"/>
              </w:rPr>
              <w:t>应急隐患排查（次数）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DD32">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BC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6B2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B32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D4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C0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7362">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004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A6D1">
            <w:pPr>
              <w:jc w:val="center"/>
            </w:pPr>
          </w:p>
        </w:tc>
      </w:tr>
      <w:tr w14:paraId="23245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44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73A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EE2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0EAE">
            <w:pPr>
              <w:jc w:val="center"/>
            </w:pPr>
            <w:r>
              <w:rPr>
                <w:rFonts w:ascii="宋体" w:hAnsi="宋体" w:eastAsia="宋体"/>
                <w:sz w:val="16"/>
              </w:rPr>
              <w:t>应急演练出勤率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E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1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1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FD2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AB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AC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0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53C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02F41">
            <w:pPr>
              <w:jc w:val="center"/>
            </w:pPr>
          </w:p>
        </w:tc>
      </w:tr>
      <w:tr w14:paraId="35161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8D0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573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28D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2264">
            <w:pPr>
              <w:jc w:val="center"/>
            </w:pPr>
            <w:r>
              <w:rPr>
                <w:rFonts w:ascii="宋体" w:hAnsi="宋体" w:eastAsia="宋体"/>
                <w:sz w:val="16"/>
              </w:rPr>
              <w:t>防灾减灾知识资料验收合格率（%）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5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68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3E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01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0F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0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A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0C6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5D978">
            <w:pPr>
              <w:jc w:val="center"/>
            </w:pPr>
          </w:p>
        </w:tc>
      </w:tr>
      <w:tr w14:paraId="758BA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485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FFD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4B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E573">
            <w:pPr>
              <w:jc w:val="center"/>
            </w:pPr>
            <w:r>
              <w:rPr>
                <w:rFonts w:ascii="宋体" w:hAnsi="宋体" w:eastAsia="宋体"/>
                <w:sz w:val="16"/>
              </w:rPr>
              <w:t>应急演练完成率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A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EE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D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2419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0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D8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37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E01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FBE69">
            <w:pPr>
              <w:jc w:val="center"/>
            </w:pPr>
          </w:p>
        </w:tc>
      </w:tr>
      <w:tr w14:paraId="51197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97F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9BCD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62F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6930">
            <w:pPr>
              <w:jc w:val="center"/>
            </w:pPr>
            <w:r>
              <w:rPr>
                <w:rFonts w:ascii="宋体" w:hAnsi="宋体" w:eastAsia="宋体"/>
                <w:sz w:val="16"/>
              </w:rPr>
              <w:t>应急宣传费用（万元）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66B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79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BEFB">
            <w:pPr>
              <w:jc w:val="center"/>
            </w:pPr>
            <w:r>
              <w:rPr>
                <w:rFonts w:ascii="宋体" w:hAnsi="宋体" w:eastAsia="宋体"/>
                <w:sz w:val="16"/>
              </w:rPr>
              <w:t>2.13万元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D1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E2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95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092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269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A93A3">
            <w:pPr>
              <w:jc w:val="center"/>
            </w:pPr>
          </w:p>
        </w:tc>
      </w:tr>
      <w:tr w14:paraId="06BB3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31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95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E19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4449">
            <w:pPr>
              <w:jc w:val="center"/>
            </w:pPr>
            <w:r>
              <w:rPr>
                <w:rFonts w:ascii="宋体" w:hAnsi="宋体" w:eastAsia="宋体"/>
                <w:sz w:val="16"/>
              </w:rPr>
              <w:t>应急演练费用（万元）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9A1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B9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EBA4">
            <w:pPr>
              <w:jc w:val="center"/>
            </w:pPr>
            <w:r>
              <w:rPr>
                <w:rFonts w:ascii="宋体" w:hAnsi="宋体" w:eastAsia="宋体"/>
                <w:sz w:val="16"/>
              </w:rPr>
              <w: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BD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E9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97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A0A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5A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31498">
            <w:pPr>
              <w:jc w:val="center"/>
            </w:pPr>
          </w:p>
        </w:tc>
      </w:tr>
      <w:tr w14:paraId="00D20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5D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BB9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640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068A">
            <w:pPr>
              <w:jc w:val="center"/>
            </w:pPr>
            <w:r>
              <w:rPr>
                <w:rFonts w:ascii="宋体" w:hAnsi="宋体" w:eastAsia="宋体"/>
                <w:sz w:val="16"/>
              </w:rPr>
              <w:t>应急通讯费用（万元）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0E5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58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408A">
            <w:pPr>
              <w:jc w:val="center"/>
            </w:pPr>
            <w:r>
              <w:rPr>
                <w:rFonts w:ascii="宋体" w:hAnsi="宋体" w:eastAsia="宋体"/>
                <w:sz w:val="16"/>
              </w:rPr>
              <w: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85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4A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95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27F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E3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C3021">
            <w:pPr>
              <w:jc w:val="center"/>
            </w:pPr>
          </w:p>
        </w:tc>
      </w:tr>
      <w:tr w14:paraId="0F38B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F3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BE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D9D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6640">
            <w:pPr>
              <w:jc w:val="center"/>
            </w:pPr>
            <w:r>
              <w:rPr>
                <w:rFonts w:ascii="宋体" w:hAnsi="宋体" w:eastAsia="宋体"/>
                <w:sz w:val="16"/>
              </w:rPr>
              <w:t>应急隐患排查经费（万元）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768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D1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7FB8">
            <w:pPr>
              <w:jc w:val="center"/>
            </w:pPr>
            <w:r>
              <w:rPr>
                <w:rFonts w:ascii="宋体" w:hAnsi="宋体" w:eastAsia="宋体"/>
                <w:sz w:val="16"/>
              </w:rPr>
              <w:t>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D4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6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95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EEE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DB9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D5936">
            <w:pPr>
              <w:jc w:val="center"/>
            </w:pPr>
          </w:p>
        </w:tc>
      </w:tr>
      <w:tr w14:paraId="21463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DE8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24EC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665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229F">
            <w:pPr>
              <w:jc w:val="center"/>
            </w:pPr>
            <w:r>
              <w:rPr>
                <w:rFonts w:ascii="宋体" w:hAnsi="宋体" w:eastAsia="宋体"/>
                <w:sz w:val="16"/>
              </w:rPr>
              <w:t>宣传应急常识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3FF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445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0AD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F5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96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4D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D4E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BA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15910">
            <w:pPr>
              <w:jc w:val="center"/>
            </w:pPr>
          </w:p>
        </w:tc>
      </w:tr>
      <w:tr w14:paraId="4C5C8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04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2C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6E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608A">
            <w:pPr>
              <w:jc w:val="center"/>
            </w:pPr>
            <w:r>
              <w:rPr>
                <w:rFonts w:ascii="宋体" w:hAnsi="宋体" w:eastAsia="宋体"/>
                <w:sz w:val="16"/>
              </w:rPr>
              <w:t>提升防灾减灾应急能力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774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28D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944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2C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59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9C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5F8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92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9CDC1">
            <w:pPr>
              <w:jc w:val="center"/>
            </w:pPr>
          </w:p>
        </w:tc>
      </w:tr>
      <w:tr w14:paraId="01C96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5E1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2E4A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021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7EF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21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8D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30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DF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83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00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3E0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66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E7AE4">
            <w:pPr>
              <w:jc w:val="center"/>
            </w:pPr>
          </w:p>
        </w:tc>
      </w:tr>
      <w:tr w14:paraId="55266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CA1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75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03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09D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F6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7C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F9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1B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F1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D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8D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CD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4CCFD">
            <w:pPr>
              <w:jc w:val="center"/>
            </w:pPr>
          </w:p>
        </w:tc>
      </w:tr>
      <w:tr w14:paraId="2F0750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C1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8A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903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29D1DD">
            <w:pPr>
              <w:jc w:val="center"/>
            </w:pPr>
            <w:r>
              <w:rPr>
                <w:rFonts w:ascii="宋体" w:hAnsi="宋体" w:eastAsia="宋体"/>
                <w:sz w:val="16"/>
              </w:rPr>
              <w:t>100分</w:t>
            </w:r>
          </w:p>
        </w:tc>
      </w:tr>
    </w:tbl>
    <w:p w14:paraId="4EC9B877">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31"/>
        <w:gridCol w:w="696"/>
        <w:gridCol w:w="626"/>
        <w:gridCol w:w="625"/>
        <w:gridCol w:w="626"/>
        <w:gridCol w:w="625"/>
        <w:gridCol w:w="623"/>
        <w:gridCol w:w="856"/>
        <w:gridCol w:w="631"/>
        <w:gridCol w:w="614"/>
        <w:gridCol w:w="632"/>
      </w:tblGrid>
      <w:tr w14:paraId="0A044366">
        <w:tblPrEx>
          <w:tblCellMar>
            <w:top w:w="0" w:type="dxa"/>
            <w:left w:w="108" w:type="dxa"/>
            <w:bottom w:w="0" w:type="dxa"/>
            <w:right w:w="108" w:type="dxa"/>
          </w:tblCellMar>
        </w:tblPrEx>
        <w:tc>
          <w:tcPr>
            <w:tcW w:w="8848" w:type="dxa"/>
            <w:gridSpan w:val="14"/>
            <w:vAlign w:val="center"/>
          </w:tcPr>
          <w:p w14:paraId="593D61A0">
            <w:pPr>
              <w:jc w:val="center"/>
            </w:pPr>
            <w:r>
              <w:rPr>
                <w:rFonts w:ascii="宋体" w:hAnsi="宋体" w:eastAsia="宋体"/>
                <w:sz w:val="24"/>
              </w:rPr>
              <w:t>项目支出绩效自评表</w:t>
            </w:r>
          </w:p>
        </w:tc>
      </w:tr>
      <w:tr w14:paraId="4F4E3792">
        <w:tblPrEx>
          <w:tblCellMar>
            <w:top w:w="0" w:type="dxa"/>
            <w:left w:w="108" w:type="dxa"/>
            <w:bottom w:w="0" w:type="dxa"/>
            <w:right w:w="108" w:type="dxa"/>
          </w:tblCellMar>
        </w:tblPrEx>
        <w:tc>
          <w:tcPr>
            <w:tcW w:w="8848" w:type="dxa"/>
            <w:gridSpan w:val="14"/>
            <w:vAlign w:val="center"/>
          </w:tcPr>
          <w:p w14:paraId="48CB3D8F">
            <w:pPr>
              <w:jc w:val="center"/>
            </w:pPr>
            <w:r>
              <w:rPr>
                <w:rFonts w:ascii="宋体" w:hAnsi="宋体" w:eastAsia="宋体"/>
                <w:sz w:val="24"/>
              </w:rPr>
              <w:t>(2024年度)</w:t>
            </w:r>
          </w:p>
        </w:tc>
      </w:tr>
      <w:tr w14:paraId="026C0F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DD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689D61">
            <w:pPr>
              <w:jc w:val="center"/>
            </w:pPr>
            <w:r>
              <w:rPr>
                <w:rFonts w:ascii="宋体" w:hAnsi="宋体" w:eastAsia="宋体"/>
                <w:sz w:val="16"/>
              </w:rPr>
              <w:t>新疆克州自然灾害能力提升工程基层防灾</w:t>
            </w:r>
          </w:p>
        </w:tc>
      </w:tr>
      <w:tr w14:paraId="571B8D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7E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6AEBE4">
            <w:pPr>
              <w:jc w:val="center"/>
            </w:pPr>
            <w:r>
              <w:rPr>
                <w:rFonts w:ascii="宋体" w:hAnsi="宋体" w:eastAsia="宋体"/>
                <w:sz w:val="16"/>
              </w:rPr>
              <w:t>克孜勒苏柯尔克孜自治州应急管理局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51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D4E9C4">
            <w:pPr>
              <w:jc w:val="center"/>
            </w:pPr>
            <w:r>
              <w:rPr>
                <w:rFonts w:ascii="宋体" w:hAnsi="宋体" w:eastAsia="宋体"/>
                <w:sz w:val="16"/>
              </w:rPr>
              <w:t>克孜勒苏柯尔克孜自治州应急管理局</w:t>
            </w:r>
          </w:p>
        </w:tc>
      </w:tr>
      <w:tr w14:paraId="1B39EE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4DE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0079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AB9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65D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CEE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A84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94B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ED57">
            <w:pPr>
              <w:jc w:val="center"/>
            </w:pPr>
            <w:r>
              <w:rPr>
                <w:rFonts w:ascii="宋体" w:hAnsi="宋体" w:eastAsia="宋体"/>
                <w:sz w:val="16"/>
              </w:rPr>
              <w:t>得分</w:t>
            </w:r>
          </w:p>
        </w:tc>
      </w:tr>
      <w:tr w14:paraId="7BF45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8C1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655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BC038">
            <w:pPr>
              <w:jc w:val="center"/>
            </w:pPr>
            <w:r>
              <w:rPr>
                <w:rFonts w:ascii="宋体" w:hAnsi="宋体" w:eastAsia="宋体"/>
                <w:sz w:val="16"/>
              </w:rPr>
              <w:t>5,556.00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FD54D">
            <w:pPr>
              <w:jc w:val="center"/>
            </w:pPr>
            <w:r>
              <w:rPr>
                <w:rFonts w:ascii="宋体" w:hAnsi="宋体" w:eastAsia="宋体"/>
                <w:sz w:val="16"/>
              </w:rPr>
              <w:t>5,556.00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A7A10">
            <w:pPr>
              <w:jc w:val="center"/>
            </w:pPr>
            <w:r>
              <w:rPr>
                <w:rFonts w:ascii="宋体" w:hAnsi="宋体" w:eastAsia="宋体"/>
                <w:sz w:val="16"/>
              </w:rPr>
              <w:t>5,555.98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4AD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6402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4F99">
            <w:pPr>
              <w:jc w:val="center"/>
            </w:pPr>
            <w:r>
              <w:rPr>
                <w:rFonts w:ascii="宋体" w:hAnsi="宋体" w:eastAsia="宋体"/>
                <w:sz w:val="16"/>
              </w:rPr>
              <w:t>10.00分</w:t>
            </w:r>
          </w:p>
        </w:tc>
      </w:tr>
      <w:tr w14:paraId="6952D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1D4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3C3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E35F5">
            <w:pPr>
              <w:jc w:val="center"/>
            </w:pPr>
            <w:r>
              <w:rPr>
                <w:rFonts w:ascii="宋体" w:hAnsi="宋体" w:eastAsia="宋体"/>
                <w:sz w:val="16"/>
              </w:rPr>
              <w:t>5,556.00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B0704">
            <w:pPr>
              <w:jc w:val="center"/>
            </w:pPr>
            <w:r>
              <w:rPr>
                <w:rFonts w:ascii="宋体" w:hAnsi="宋体" w:eastAsia="宋体"/>
                <w:sz w:val="16"/>
              </w:rPr>
              <w:t>5,556.00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64709">
            <w:pPr>
              <w:jc w:val="center"/>
            </w:pPr>
            <w:r>
              <w:rPr>
                <w:rFonts w:ascii="宋体" w:hAnsi="宋体" w:eastAsia="宋体"/>
                <w:sz w:val="16"/>
              </w:rPr>
              <w:t>5,555.98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4EB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74F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4C74">
            <w:pPr>
              <w:jc w:val="center"/>
            </w:pPr>
            <w:r>
              <w:rPr>
                <w:rFonts w:ascii="宋体" w:hAnsi="宋体" w:eastAsia="宋体"/>
                <w:sz w:val="16"/>
              </w:rPr>
              <w:t>—</w:t>
            </w:r>
          </w:p>
        </w:tc>
      </w:tr>
      <w:tr w14:paraId="2AD5F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DF4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893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952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1F3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0EB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E38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418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0B1F">
            <w:pPr>
              <w:jc w:val="center"/>
            </w:pPr>
            <w:r>
              <w:rPr>
                <w:rFonts w:ascii="宋体" w:hAnsi="宋体" w:eastAsia="宋体"/>
                <w:sz w:val="16"/>
              </w:rPr>
              <w:t>—</w:t>
            </w:r>
          </w:p>
        </w:tc>
      </w:tr>
      <w:tr w14:paraId="625E6E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C7D9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549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BB9C74">
            <w:pPr>
              <w:jc w:val="center"/>
            </w:pPr>
            <w:r>
              <w:rPr>
                <w:rFonts w:ascii="宋体" w:hAnsi="宋体" w:eastAsia="宋体"/>
                <w:sz w:val="16"/>
              </w:rPr>
              <w:t>实际完成情况</w:t>
            </w:r>
          </w:p>
        </w:tc>
      </w:tr>
      <w:tr w14:paraId="3A0A6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D22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8418D5">
            <w:pPr>
              <w:jc w:val="both"/>
            </w:pPr>
            <w:r>
              <w:rPr>
                <w:rFonts w:ascii="宋体" w:hAnsi="宋体" w:eastAsia="宋体"/>
                <w:sz w:val="16"/>
              </w:rPr>
              <w:t>该项目资金一共5556万元，其中财政资金5556万元，其他资金0元，通过该项目实施，全国自然灾害综合风险中等及以上地区县、乡级</w:t>
            </w:r>
            <w:r>
              <w:rPr>
                <w:rFonts w:hint="eastAsia" w:ascii="宋体" w:hAnsi="宋体"/>
                <w:sz w:val="16"/>
                <w:lang w:eastAsia="zh-CN"/>
              </w:rPr>
              <w:t>应</w:t>
            </w:r>
            <w:r>
              <w:rPr>
                <w:rFonts w:ascii="宋体" w:hAnsi="宋体" w:eastAsia="宋体"/>
                <w:sz w:val="16"/>
              </w:rPr>
              <w:t>急救援力量基本覆盖，队伍基本应急救援装备配备到位，市、县、乡应急救援力量协同联动、共训共练机制基本完善。基层应急力量快速响应和先期处置能力明显提升，基层抢险救援和自救互救能力显著增强。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16AF37">
            <w:pPr>
              <w:jc w:val="both"/>
            </w:pPr>
            <w:r>
              <w:rPr>
                <w:rFonts w:hint="eastAsia" w:ascii="宋体" w:hAnsi="宋体"/>
                <w:sz w:val="16"/>
                <w:lang w:eastAsia="zh-CN"/>
              </w:rPr>
              <w:t>截至</w:t>
            </w:r>
            <w:r>
              <w:rPr>
                <w:rFonts w:ascii="宋体" w:hAnsi="宋体" w:eastAsia="宋体"/>
                <w:sz w:val="16"/>
              </w:rPr>
              <w:t>2024年12月31日，该项目执行数为5556万元，完成了应急救援设备购置9395件。通过该项目实施，全国自然灾害综合风险中等及以上地区县、乡级</w:t>
            </w:r>
            <w:r>
              <w:rPr>
                <w:rFonts w:hint="eastAsia" w:ascii="宋体" w:hAnsi="宋体"/>
                <w:sz w:val="16"/>
                <w:lang w:eastAsia="zh-CN"/>
              </w:rPr>
              <w:t>应</w:t>
            </w:r>
            <w:r>
              <w:rPr>
                <w:rFonts w:ascii="宋体" w:hAnsi="宋体" w:eastAsia="宋体"/>
                <w:sz w:val="16"/>
              </w:rPr>
              <w:t>急救援力量基本覆盖，队伍基本应急救援装备配备到位，市、县、乡应急救援力量协同联动、共训共练机制基本完善。基层应急力量快速响应和先期处置能力明显提升，基层抢险救援和自救互救能力显著增强。</w:t>
            </w:r>
          </w:p>
        </w:tc>
      </w:tr>
      <w:tr w14:paraId="309C65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EA8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A0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49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67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BD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57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BB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EA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98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A4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F9A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579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7CD14">
            <w:pPr>
              <w:jc w:val="center"/>
            </w:pPr>
            <w:r>
              <w:rPr>
                <w:rFonts w:ascii="宋体" w:hAnsi="宋体" w:eastAsia="宋体"/>
                <w:sz w:val="16"/>
              </w:rPr>
              <w:t>偏差原因分析及改进措施</w:t>
            </w:r>
          </w:p>
        </w:tc>
      </w:tr>
      <w:tr w14:paraId="25C753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6FC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1D45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E7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8803">
            <w:pPr>
              <w:jc w:val="center"/>
            </w:pPr>
            <w:r>
              <w:rPr>
                <w:rFonts w:ascii="宋体" w:hAnsi="宋体" w:eastAsia="宋体"/>
                <w:sz w:val="16"/>
              </w:rPr>
              <w:t>购置应急救援设备数量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4D37">
            <w:pPr>
              <w:jc w:val="center"/>
            </w:pPr>
            <w:r>
              <w:rPr>
                <w:rFonts w:ascii="宋体" w:hAnsi="宋体" w:eastAsia="宋体"/>
                <w:sz w:val="16"/>
              </w:rPr>
              <w:t>&gt;=9395件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8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7A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1C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39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9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5957">
            <w:pPr>
              <w:jc w:val="center"/>
            </w:pPr>
            <w:r>
              <w:rPr>
                <w:rFonts w:ascii="宋体" w:hAnsi="宋体" w:eastAsia="宋体"/>
                <w:sz w:val="16"/>
              </w:rPr>
              <w:t>=9395件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574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2877E">
            <w:pPr>
              <w:jc w:val="center"/>
            </w:pPr>
          </w:p>
        </w:tc>
      </w:tr>
      <w:tr w14:paraId="3CE57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F44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94F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375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D962">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6D4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CE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17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D3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60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9F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3F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B31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A2F69">
            <w:pPr>
              <w:jc w:val="center"/>
            </w:pPr>
          </w:p>
        </w:tc>
      </w:tr>
      <w:tr w14:paraId="3410D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EB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0A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385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F806">
            <w:pPr>
              <w:jc w:val="center"/>
            </w:pPr>
            <w:r>
              <w:rPr>
                <w:rFonts w:ascii="宋体" w:hAnsi="宋体" w:eastAsia="宋体"/>
                <w:sz w:val="16"/>
              </w:rPr>
              <w:t>应急救援设备质量达标率（%）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7C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A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25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FA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B0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A9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D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54B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6EAE4">
            <w:pPr>
              <w:jc w:val="center"/>
            </w:pPr>
          </w:p>
        </w:tc>
      </w:tr>
      <w:tr w14:paraId="32E2B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97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2C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661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76DF">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34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D1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3A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DF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E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1A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2C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ED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E607D">
            <w:pPr>
              <w:jc w:val="center"/>
            </w:pPr>
          </w:p>
        </w:tc>
      </w:tr>
      <w:tr w14:paraId="3954C0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82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740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4D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5C6B">
            <w:pPr>
              <w:jc w:val="center"/>
            </w:pPr>
            <w:r>
              <w:rPr>
                <w:rFonts w:ascii="宋体" w:hAnsi="宋体" w:eastAsia="宋体"/>
                <w:sz w:val="16"/>
              </w:rPr>
              <w:t>应急救援设备采购完成率（%）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05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4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E7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27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10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E0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E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53E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E3709">
            <w:pPr>
              <w:jc w:val="center"/>
            </w:pPr>
          </w:p>
        </w:tc>
      </w:tr>
      <w:tr w14:paraId="2C988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A63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F62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453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529F">
            <w:pPr>
              <w:jc w:val="center"/>
            </w:pPr>
            <w:r>
              <w:rPr>
                <w:rFonts w:ascii="宋体" w:hAnsi="宋体" w:eastAsia="宋体"/>
                <w:sz w:val="16"/>
              </w:rPr>
              <w:t>应急救援设备采购金额（万元）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B789">
            <w:pPr>
              <w:jc w:val="center"/>
            </w:pPr>
            <w:r>
              <w:rPr>
                <w:rFonts w:ascii="宋体" w:hAnsi="宋体" w:eastAsia="宋体"/>
                <w:sz w:val="16"/>
              </w:rPr>
              <w:t>&lt;=5556万元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64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DF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AE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D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A7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507F">
            <w:pPr>
              <w:jc w:val="center"/>
            </w:pPr>
            <w:r>
              <w:rPr>
                <w:rFonts w:ascii="宋体" w:hAnsi="宋体" w:eastAsia="宋体"/>
                <w:sz w:val="16"/>
              </w:rPr>
              <w:t>=5555.98万元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BC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B7162">
            <w:pPr>
              <w:jc w:val="center"/>
            </w:pPr>
          </w:p>
        </w:tc>
      </w:tr>
      <w:tr w14:paraId="04C89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F8A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A0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3B7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CB9D">
            <w:pPr>
              <w:jc w:val="center"/>
            </w:pPr>
            <w:r>
              <w:rPr>
                <w:rFonts w:ascii="宋体" w:hAnsi="宋体" w:eastAsia="宋体"/>
                <w:sz w:val="16"/>
              </w:rPr>
              <w:t>应急救援设备采购成本控制率（%）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B2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6B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F4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76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F5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97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60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84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B5697">
            <w:pPr>
              <w:jc w:val="center"/>
            </w:pPr>
          </w:p>
        </w:tc>
      </w:tr>
      <w:tr w14:paraId="56844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5D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7E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D3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1668">
            <w:pPr>
              <w:jc w:val="center"/>
            </w:pPr>
            <w:r>
              <w:rPr>
                <w:rFonts w:ascii="宋体" w:hAnsi="宋体" w:eastAsia="宋体"/>
                <w:sz w:val="16"/>
              </w:rPr>
              <w:t>提升克州自然灾害处置能力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7EA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1CC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16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A0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62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39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BD9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1BD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8A94F">
            <w:pPr>
              <w:jc w:val="center"/>
            </w:pPr>
          </w:p>
        </w:tc>
      </w:tr>
      <w:tr w14:paraId="772AC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1B7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2C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FA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5CFA">
            <w:pPr>
              <w:jc w:val="center"/>
            </w:pPr>
            <w:r>
              <w:rPr>
                <w:rFonts w:ascii="宋体" w:hAnsi="宋体" w:eastAsia="宋体"/>
                <w:sz w:val="16"/>
              </w:rPr>
              <w:t>应急救援设备使用单位满意率（%）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1C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2C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2C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A6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EB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C8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B2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A9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F40EE">
            <w:pPr>
              <w:jc w:val="center"/>
            </w:pPr>
          </w:p>
        </w:tc>
      </w:tr>
      <w:tr w14:paraId="22AF5E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88A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649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34B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B8569E">
            <w:pPr>
              <w:jc w:val="center"/>
            </w:pPr>
            <w:r>
              <w:rPr>
                <w:rFonts w:ascii="宋体" w:hAnsi="宋体" w:eastAsia="宋体"/>
                <w:sz w:val="16"/>
              </w:rPr>
              <w:t>100分</w:t>
            </w:r>
          </w:p>
        </w:tc>
      </w:tr>
    </w:tbl>
    <w:p w14:paraId="0D31732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DB3DEA7">
        <w:tblPrEx>
          <w:tblCellMar>
            <w:top w:w="0" w:type="dxa"/>
            <w:left w:w="108" w:type="dxa"/>
            <w:bottom w:w="0" w:type="dxa"/>
            <w:right w:w="108" w:type="dxa"/>
          </w:tblCellMar>
        </w:tblPrEx>
        <w:tc>
          <w:tcPr>
            <w:tcW w:w="8848" w:type="dxa"/>
            <w:gridSpan w:val="14"/>
            <w:vAlign w:val="center"/>
          </w:tcPr>
          <w:p w14:paraId="5EC36880">
            <w:pPr>
              <w:jc w:val="center"/>
            </w:pPr>
            <w:r>
              <w:rPr>
                <w:rFonts w:ascii="宋体" w:hAnsi="宋体" w:eastAsia="宋体"/>
                <w:sz w:val="24"/>
              </w:rPr>
              <w:t>项目支出绩效自评表</w:t>
            </w:r>
          </w:p>
        </w:tc>
      </w:tr>
      <w:tr w14:paraId="10E30BE5">
        <w:tblPrEx>
          <w:tblCellMar>
            <w:top w:w="0" w:type="dxa"/>
            <w:left w:w="108" w:type="dxa"/>
            <w:bottom w:w="0" w:type="dxa"/>
            <w:right w:w="108" w:type="dxa"/>
          </w:tblCellMar>
        </w:tblPrEx>
        <w:tc>
          <w:tcPr>
            <w:tcW w:w="8848" w:type="dxa"/>
            <w:gridSpan w:val="14"/>
            <w:vAlign w:val="center"/>
          </w:tcPr>
          <w:p w14:paraId="7B2998BD">
            <w:pPr>
              <w:jc w:val="center"/>
            </w:pPr>
            <w:r>
              <w:rPr>
                <w:rFonts w:ascii="宋体" w:hAnsi="宋体" w:eastAsia="宋体"/>
                <w:sz w:val="24"/>
              </w:rPr>
              <w:t>(2024年度)</w:t>
            </w:r>
          </w:p>
        </w:tc>
      </w:tr>
      <w:tr w14:paraId="4A52B4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8D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64FACE">
            <w:pPr>
              <w:jc w:val="center"/>
            </w:pPr>
            <w:r>
              <w:rPr>
                <w:rFonts w:ascii="宋体" w:hAnsi="宋体" w:eastAsia="宋体"/>
                <w:sz w:val="16"/>
              </w:rPr>
              <w:t>群众工作经费项目</w:t>
            </w:r>
          </w:p>
        </w:tc>
      </w:tr>
      <w:tr w14:paraId="248740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8D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B62986">
            <w:pPr>
              <w:jc w:val="center"/>
            </w:pPr>
            <w:r>
              <w:rPr>
                <w:rFonts w:ascii="宋体" w:hAnsi="宋体" w:eastAsia="宋体"/>
                <w:sz w:val="16"/>
              </w:rPr>
              <w:t>克孜勒苏柯尔克孜自治州应急管理局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C5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81FA0D">
            <w:pPr>
              <w:jc w:val="center"/>
            </w:pPr>
            <w:r>
              <w:rPr>
                <w:rFonts w:ascii="宋体" w:hAnsi="宋体" w:eastAsia="宋体"/>
                <w:sz w:val="16"/>
              </w:rPr>
              <w:t>克孜勒苏柯尔克孜自治州应急管理局</w:t>
            </w:r>
          </w:p>
        </w:tc>
      </w:tr>
      <w:tr w14:paraId="089B2F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AD1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30E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A1F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A21B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0B1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1684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7FC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CC80">
            <w:pPr>
              <w:jc w:val="center"/>
            </w:pPr>
            <w:r>
              <w:rPr>
                <w:rFonts w:ascii="宋体" w:hAnsi="宋体" w:eastAsia="宋体"/>
                <w:sz w:val="16"/>
              </w:rPr>
              <w:t>得分</w:t>
            </w:r>
          </w:p>
        </w:tc>
      </w:tr>
      <w:tr w14:paraId="43EE3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22A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CDA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0182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DAC0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75CF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E88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90C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AB44">
            <w:pPr>
              <w:jc w:val="center"/>
            </w:pPr>
            <w:r>
              <w:rPr>
                <w:rFonts w:ascii="宋体" w:hAnsi="宋体" w:eastAsia="宋体"/>
                <w:sz w:val="16"/>
              </w:rPr>
              <w:t>10.00分</w:t>
            </w:r>
          </w:p>
        </w:tc>
      </w:tr>
      <w:tr w14:paraId="19DA3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3F3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5DD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FD36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FB55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DC46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F2B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FB7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DCC0">
            <w:pPr>
              <w:jc w:val="center"/>
            </w:pPr>
            <w:r>
              <w:rPr>
                <w:rFonts w:ascii="宋体" w:hAnsi="宋体" w:eastAsia="宋体"/>
                <w:sz w:val="16"/>
              </w:rPr>
              <w:t>—</w:t>
            </w:r>
          </w:p>
        </w:tc>
      </w:tr>
      <w:tr w14:paraId="5B70C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A29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2CA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8A1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076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DB9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86B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2FD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63C7">
            <w:pPr>
              <w:jc w:val="center"/>
            </w:pPr>
            <w:r>
              <w:rPr>
                <w:rFonts w:ascii="宋体" w:hAnsi="宋体" w:eastAsia="宋体"/>
                <w:sz w:val="16"/>
              </w:rPr>
              <w:t>—</w:t>
            </w:r>
          </w:p>
        </w:tc>
      </w:tr>
      <w:tr w14:paraId="16C401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1CD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C6BB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EBAC6F">
            <w:pPr>
              <w:jc w:val="center"/>
            </w:pPr>
            <w:r>
              <w:rPr>
                <w:rFonts w:ascii="宋体" w:hAnsi="宋体" w:eastAsia="宋体"/>
                <w:sz w:val="16"/>
              </w:rPr>
              <w:t>实际完成情况</w:t>
            </w:r>
          </w:p>
        </w:tc>
      </w:tr>
      <w:tr w14:paraId="504C1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AB1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DAF508">
            <w:pPr>
              <w:jc w:val="both"/>
            </w:pPr>
            <w:r>
              <w:rPr>
                <w:rFonts w:ascii="宋体" w:hAnsi="宋体" w:eastAsia="宋体"/>
                <w:sz w:val="16"/>
              </w:rPr>
              <w:t>该项目资金一共17万元，其中财政资金17万元，</w:t>
            </w:r>
            <w:r>
              <w:rPr>
                <w:rFonts w:hint="eastAsia" w:ascii="宋体" w:hAnsi="宋体"/>
                <w:sz w:val="16"/>
                <w:lang w:eastAsia="zh-CN"/>
              </w:rPr>
              <w:t>其他</w:t>
            </w:r>
            <w:r>
              <w:rPr>
                <w:rFonts w:ascii="宋体" w:hAnsi="宋体" w:eastAsia="宋体"/>
                <w:sz w:val="16"/>
              </w:rPr>
              <w:t>资金0万元。主要用于聚焦社会稳定总</w:t>
            </w:r>
            <w:r>
              <w:rPr>
                <w:rFonts w:hint="eastAsia" w:ascii="宋体" w:hAnsi="宋体"/>
                <w:sz w:val="16"/>
                <w:lang w:eastAsia="zh-CN"/>
              </w:rPr>
              <w:t>目标</w:t>
            </w:r>
            <w:r>
              <w:rPr>
                <w:rFonts w:ascii="宋体" w:hAnsi="宋体" w:eastAsia="宋体"/>
                <w:sz w:val="16"/>
              </w:rPr>
              <w:t>，狠抓</w:t>
            </w:r>
            <w:r>
              <w:rPr>
                <w:rFonts w:hint="eastAsia" w:ascii="宋体" w:hAnsi="宋体"/>
                <w:sz w:val="16"/>
                <w:lang w:eastAsia="zh-CN"/>
              </w:rPr>
              <w:t>基础</w:t>
            </w:r>
            <w:r>
              <w:rPr>
                <w:rFonts w:ascii="宋体" w:hAnsi="宋体" w:eastAsia="宋体"/>
                <w:sz w:val="16"/>
              </w:rPr>
              <w:t>性群众工作，营造安定和谐稳定的社会局面，着力解决农民反映的热点、难点问题，开展各项文体活动、职业职能，节日慰问等，确保工作队各项工作顺利开展，完成相关任务。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FBBD14">
            <w:pPr>
              <w:jc w:val="both"/>
            </w:pPr>
            <w:r>
              <w:rPr>
                <w:rFonts w:ascii="宋体" w:hAnsi="宋体" w:eastAsia="宋体"/>
                <w:sz w:val="16"/>
              </w:rPr>
              <w:t>截至2024年12月31日，该项目执行数为17万元，完成了各类文体活动4次、为群众购买取暖煤炭1批、安装照明路灯25个、资助大学生2名、购买制造玻璃水设备1台。通过该项目的实施，增强了群众凝聚力，化解了社会矛盾，提升了群众生活质量，完善了公共服务，锻炼了干部队伍。</w:t>
            </w:r>
          </w:p>
        </w:tc>
      </w:tr>
      <w:tr w14:paraId="6EA5AC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F41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2F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14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E2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8A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885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B6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BE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F5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32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13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8A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2C41E">
            <w:pPr>
              <w:jc w:val="center"/>
            </w:pPr>
            <w:r>
              <w:rPr>
                <w:rFonts w:ascii="宋体" w:hAnsi="宋体" w:eastAsia="宋体"/>
                <w:sz w:val="16"/>
              </w:rPr>
              <w:t>偏差原因分析及改进措施</w:t>
            </w:r>
          </w:p>
        </w:tc>
      </w:tr>
      <w:tr w14:paraId="40B0A5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2B6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2C1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5A7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6716">
            <w:pPr>
              <w:jc w:val="center"/>
            </w:pPr>
            <w:r>
              <w:rPr>
                <w:rFonts w:ascii="宋体" w:hAnsi="宋体" w:eastAsia="宋体"/>
                <w:sz w:val="16"/>
              </w:rPr>
              <w:t>开展各类文体活动（次)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B09D">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B8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9859">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2C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62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50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98F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B4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2F2C9">
            <w:pPr>
              <w:jc w:val="center"/>
            </w:pPr>
          </w:p>
        </w:tc>
      </w:tr>
      <w:tr w14:paraId="7E423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86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8F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48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9D03C">
            <w:pPr>
              <w:jc w:val="center"/>
            </w:pPr>
            <w:r>
              <w:rPr>
                <w:rFonts w:ascii="宋体" w:hAnsi="宋体" w:eastAsia="宋体"/>
                <w:sz w:val="16"/>
              </w:rPr>
              <w:t>为群众购买取暖</w:t>
            </w:r>
            <w:r>
              <w:rPr>
                <w:rFonts w:hint="eastAsia" w:ascii="宋体" w:hAnsi="宋体"/>
                <w:sz w:val="16"/>
                <w:lang w:eastAsia="zh-CN"/>
              </w:rPr>
              <w:t>煤炭</w:t>
            </w:r>
            <w:r>
              <w:rPr>
                <w:rFonts w:ascii="宋体" w:hAnsi="宋体" w:eastAsia="宋体"/>
                <w:sz w:val="16"/>
              </w:rPr>
              <w:t>（批）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8771">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39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CE2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26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0B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E6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C25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FA0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A08E9">
            <w:pPr>
              <w:jc w:val="center"/>
            </w:pPr>
          </w:p>
        </w:tc>
      </w:tr>
      <w:tr w14:paraId="03F88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BE9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BC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902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2DFC">
            <w:pPr>
              <w:jc w:val="center"/>
            </w:pPr>
            <w:r>
              <w:rPr>
                <w:rFonts w:ascii="宋体" w:hAnsi="宋体" w:eastAsia="宋体"/>
                <w:sz w:val="16"/>
              </w:rPr>
              <w:t>资助大学生学费（人）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EF95">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2B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4D8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97A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2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63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5B5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E1D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910A7">
            <w:pPr>
              <w:jc w:val="center"/>
            </w:pPr>
          </w:p>
        </w:tc>
      </w:tr>
      <w:tr w14:paraId="37D53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1E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934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26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8B43">
            <w:pPr>
              <w:jc w:val="center"/>
            </w:pPr>
            <w:r>
              <w:rPr>
                <w:rFonts w:ascii="宋体" w:hAnsi="宋体" w:eastAsia="宋体"/>
                <w:sz w:val="16"/>
              </w:rPr>
              <w:t>购买制造玻璃水设备（台）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D6B9">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75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B1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A1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F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45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9154">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DCC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98E1D">
            <w:pPr>
              <w:jc w:val="center"/>
            </w:pPr>
          </w:p>
        </w:tc>
      </w:tr>
      <w:tr w14:paraId="26107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25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1F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C90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FB06">
            <w:pPr>
              <w:jc w:val="center"/>
            </w:pPr>
            <w:r>
              <w:rPr>
                <w:rFonts w:ascii="宋体" w:hAnsi="宋体" w:eastAsia="宋体"/>
                <w:sz w:val="16"/>
              </w:rPr>
              <w:t>安装照明路灯（个）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FAC7">
            <w:pPr>
              <w:jc w:val="center"/>
            </w:pPr>
            <w:r>
              <w:rPr>
                <w:rFonts w:ascii="宋体" w:hAnsi="宋体" w:eastAsia="宋体"/>
                <w:sz w:val="16"/>
              </w:rPr>
              <w:t>&gt;=25个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BC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C3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C91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C7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9F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D206">
            <w:pPr>
              <w:jc w:val="center"/>
            </w:pPr>
            <w:r>
              <w:rPr>
                <w:rFonts w:ascii="宋体" w:hAnsi="宋体" w:eastAsia="宋体"/>
                <w:sz w:val="16"/>
              </w:rPr>
              <w: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20C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E296A">
            <w:pPr>
              <w:jc w:val="center"/>
            </w:pPr>
          </w:p>
        </w:tc>
      </w:tr>
      <w:tr w14:paraId="0D1AC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77D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71C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D3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7290">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51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1C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C2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BE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B5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9E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9B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EBB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E2608">
            <w:pPr>
              <w:jc w:val="center"/>
            </w:pPr>
          </w:p>
        </w:tc>
      </w:tr>
      <w:tr w14:paraId="42551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1EC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B0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44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667A">
            <w:pPr>
              <w:jc w:val="center"/>
            </w:pPr>
            <w:r>
              <w:rPr>
                <w:rFonts w:ascii="宋体" w:hAnsi="宋体" w:eastAsia="宋体"/>
                <w:sz w:val="16"/>
              </w:rPr>
              <w:t>照明路灯安装及时率（%）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8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3B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FF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2B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3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FF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5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5F5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0F2D3">
            <w:pPr>
              <w:jc w:val="center"/>
            </w:pPr>
          </w:p>
        </w:tc>
      </w:tr>
      <w:tr w14:paraId="7C2A7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D2A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9F8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14A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CA63">
            <w:pPr>
              <w:jc w:val="center"/>
            </w:pPr>
            <w:r>
              <w:rPr>
                <w:rFonts w:ascii="宋体" w:hAnsi="宋体" w:eastAsia="宋体"/>
                <w:sz w:val="16"/>
              </w:rPr>
              <w:t>资助大学生学费（万元）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3C02">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BF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6A02">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D8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E7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5E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FCA1">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D57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6C2CB">
            <w:pPr>
              <w:jc w:val="center"/>
            </w:pPr>
          </w:p>
        </w:tc>
      </w:tr>
      <w:tr w14:paraId="61528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94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34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D7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AA53">
            <w:pPr>
              <w:jc w:val="center"/>
            </w:pPr>
            <w:r>
              <w:rPr>
                <w:rFonts w:ascii="宋体" w:hAnsi="宋体" w:eastAsia="宋体"/>
                <w:sz w:val="16"/>
              </w:rPr>
              <w:t>开展文体活动（万元）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EE3F">
            <w:pPr>
              <w:jc w:val="center"/>
            </w:pPr>
            <w:r>
              <w:rPr>
                <w:rFonts w:ascii="宋体" w:hAnsi="宋体" w:eastAsia="宋体"/>
                <w:sz w:val="16"/>
              </w:rPr>
              <w:t>&lt;=6.90万元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1C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2491">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B0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B1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AF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E818">
            <w:pPr>
              <w:jc w:val="center"/>
            </w:pPr>
            <w:r>
              <w:rPr>
                <w:rFonts w:ascii="宋体" w:hAnsi="宋体" w:eastAsia="宋体"/>
                <w:sz w:val="16"/>
              </w:rPr>
              <w:t>=6.9万元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ADC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5AEFD">
            <w:pPr>
              <w:jc w:val="center"/>
            </w:pPr>
          </w:p>
        </w:tc>
      </w:tr>
      <w:tr w14:paraId="05996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C24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79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8A0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8ABC">
            <w:pPr>
              <w:jc w:val="center"/>
            </w:pPr>
            <w:r>
              <w:rPr>
                <w:rFonts w:ascii="宋体" w:hAnsi="宋体" w:eastAsia="宋体"/>
                <w:sz w:val="16"/>
              </w:rPr>
              <w:t>安装照明路灯（万元）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E1DA">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92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99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61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B70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D3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6309">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E62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E1E30">
            <w:pPr>
              <w:jc w:val="center"/>
            </w:pPr>
          </w:p>
        </w:tc>
      </w:tr>
      <w:tr w14:paraId="2ECD3A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8C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E3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5C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36CE">
            <w:pPr>
              <w:jc w:val="center"/>
            </w:pPr>
            <w:r>
              <w:rPr>
                <w:rFonts w:ascii="宋体" w:hAnsi="宋体" w:eastAsia="宋体"/>
                <w:sz w:val="16"/>
              </w:rPr>
              <w:t>购买制造玻璃水设备（万元）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8A49">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3A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73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40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D7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DC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61C4">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46D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AA720">
            <w:pPr>
              <w:jc w:val="center"/>
            </w:pPr>
          </w:p>
        </w:tc>
      </w:tr>
      <w:tr w14:paraId="21A91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2F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BD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7B3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F473">
            <w:pPr>
              <w:jc w:val="center"/>
            </w:pPr>
            <w:r>
              <w:rPr>
                <w:rFonts w:ascii="宋体" w:hAnsi="宋体" w:eastAsia="宋体"/>
                <w:sz w:val="16"/>
              </w:rPr>
              <w:t>为群众购买取暖</w:t>
            </w:r>
            <w:r>
              <w:rPr>
                <w:rFonts w:hint="eastAsia" w:ascii="宋体" w:hAnsi="宋体"/>
                <w:sz w:val="16"/>
                <w:lang w:eastAsia="zh-CN"/>
              </w:rPr>
              <w:t>煤炭</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8D9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62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44B0">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33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97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CA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C86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A29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8EFB8">
            <w:pPr>
              <w:jc w:val="center"/>
            </w:pPr>
          </w:p>
        </w:tc>
      </w:tr>
      <w:tr w14:paraId="27340EAB">
        <w:tblPrEx>
          <w:tblCellMar>
            <w:top w:w="0" w:type="dxa"/>
            <w:left w:w="108" w:type="dxa"/>
            <w:bottom w:w="0" w:type="dxa"/>
            <w:right w:w="108" w:type="dxa"/>
          </w:tblCellMar>
        </w:tblPrEx>
        <w:trPr>
          <w:trHeight w:val="1695"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C4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BE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C0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0526">
            <w:pPr>
              <w:jc w:val="center"/>
            </w:pPr>
            <w:r>
              <w:rPr>
                <w:rFonts w:ascii="宋体" w:hAnsi="宋体" w:eastAsia="宋体"/>
                <w:sz w:val="16"/>
              </w:rPr>
              <w:t>加强乡村振兴建设，提高农牧民生活指数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ADB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30E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0FD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55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27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2E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F5C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ABA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7FC50">
            <w:pPr>
              <w:jc w:val="center"/>
            </w:pPr>
          </w:p>
        </w:tc>
      </w:tr>
      <w:tr w14:paraId="14CFA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BC6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AE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CC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336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B0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10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18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AB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75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6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7F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21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69A91">
            <w:pPr>
              <w:jc w:val="center"/>
            </w:pPr>
          </w:p>
        </w:tc>
      </w:tr>
      <w:tr w14:paraId="49C385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DE3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5400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DC6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DCD309">
            <w:pPr>
              <w:jc w:val="center"/>
            </w:pPr>
            <w:r>
              <w:rPr>
                <w:rFonts w:ascii="宋体" w:hAnsi="宋体" w:eastAsia="宋体"/>
                <w:sz w:val="16"/>
              </w:rPr>
              <w:t>100分</w:t>
            </w:r>
          </w:p>
        </w:tc>
      </w:tr>
    </w:tbl>
    <w:p w14:paraId="0871CE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017349D3">
        <w:tblPrEx>
          <w:tblCellMar>
            <w:top w:w="0" w:type="dxa"/>
            <w:left w:w="108" w:type="dxa"/>
            <w:bottom w:w="0" w:type="dxa"/>
            <w:right w:w="108" w:type="dxa"/>
          </w:tblCellMar>
        </w:tblPrEx>
        <w:tc>
          <w:tcPr>
            <w:tcW w:w="8848" w:type="dxa"/>
            <w:gridSpan w:val="14"/>
            <w:vAlign w:val="center"/>
          </w:tcPr>
          <w:p w14:paraId="3835A099">
            <w:pPr>
              <w:jc w:val="center"/>
            </w:pPr>
            <w:r>
              <w:rPr>
                <w:rFonts w:ascii="宋体" w:hAnsi="宋体" w:eastAsia="宋体"/>
                <w:sz w:val="24"/>
              </w:rPr>
              <w:t>项目支出绩效自评表</w:t>
            </w:r>
          </w:p>
        </w:tc>
      </w:tr>
      <w:tr w14:paraId="4B018288">
        <w:tblPrEx>
          <w:tblCellMar>
            <w:top w:w="0" w:type="dxa"/>
            <w:left w:w="108" w:type="dxa"/>
            <w:bottom w:w="0" w:type="dxa"/>
            <w:right w:w="108" w:type="dxa"/>
          </w:tblCellMar>
        </w:tblPrEx>
        <w:tc>
          <w:tcPr>
            <w:tcW w:w="8848" w:type="dxa"/>
            <w:gridSpan w:val="14"/>
            <w:vAlign w:val="center"/>
          </w:tcPr>
          <w:p w14:paraId="46452825">
            <w:pPr>
              <w:jc w:val="center"/>
            </w:pPr>
            <w:r>
              <w:rPr>
                <w:rFonts w:ascii="宋体" w:hAnsi="宋体" w:eastAsia="宋体"/>
                <w:sz w:val="24"/>
              </w:rPr>
              <w:t>(2024年度)</w:t>
            </w:r>
          </w:p>
        </w:tc>
      </w:tr>
      <w:tr w14:paraId="421745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55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3CE80C">
            <w:pPr>
              <w:jc w:val="center"/>
            </w:pPr>
            <w:r>
              <w:rPr>
                <w:rFonts w:ascii="宋体" w:hAnsi="宋体" w:eastAsia="宋体"/>
                <w:sz w:val="16"/>
              </w:rPr>
              <w:t>非煤矿山领域政府购买第三方安全生产服务项目</w:t>
            </w:r>
          </w:p>
        </w:tc>
      </w:tr>
      <w:tr w14:paraId="287428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22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CE3AD4">
            <w:pPr>
              <w:jc w:val="center"/>
            </w:pPr>
            <w:r>
              <w:rPr>
                <w:rFonts w:ascii="宋体" w:hAnsi="宋体" w:eastAsia="宋体"/>
                <w:sz w:val="16"/>
              </w:rPr>
              <w:t>克孜勒苏柯尔克孜自治州应急管理局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0A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5B1B5B">
            <w:pPr>
              <w:jc w:val="center"/>
            </w:pPr>
            <w:r>
              <w:rPr>
                <w:rFonts w:ascii="宋体" w:hAnsi="宋体" w:eastAsia="宋体"/>
                <w:sz w:val="16"/>
              </w:rPr>
              <w:t>克孜勒苏柯尔克孜自治州应急管理局</w:t>
            </w:r>
          </w:p>
        </w:tc>
      </w:tr>
      <w:tr w14:paraId="5B1F33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321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08E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D3C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2B7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2C4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C47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5C6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D587">
            <w:pPr>
              <w:jc w:val="center"/>
            </w:pPr>
            <w:r>
              <w:rPr>
                <w:rFonts w:ascii="宋体" w:hAnsi="宋体" w:eastAsia="宋体"/>
                <w:sz w:val="16"/>
              </w:rPr>
              <w:t>得分</w:t>
            </w:r>
          </w:p>
        </w:tc>
      </w:tr>
      <w:tr w14:paraId="35B91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19D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443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42212">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62055">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97E8F">
            <w:pPr>
              <w:jc w:val="center"/>
            </w:pPr>
            <w:r>
              <w:rPr>
                <w:rFonts w:ascii="宋体" w:hAnsi="宋体" w:eastAsia="宋体"/>
                <w:sz w:val="16"/>
              </w:rPr>
              <w:t>34.50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6E9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50626">
            <w:pPr>
              <w:jc w:val="center"/>
            </w:pPr>
            <w:r>
              <w:rPr>
                <w:rFonts w:ascii="宋体" w:hAnsi="宋体" w:eastAsia="宋体"/>
                <w:sz w:val="16"/>
              </w:rPr>
              <w:t>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70F4">
            <w:pPr>
              <w:jc w:val="center"/>
            </w:pPr>
            <w:r>
              <w:rPr>
                <w:rFonts w:ascii="宋体" w:hAnsi="宋体" w:eastAsia="宋体"/>
                <w:sz w:val="16"/>
              </w:rPr>
              <w:t>0.00分</w:t>
            </w:r>
          </w:p>
        </w:tc>
      </w:tr>
      <w:tr w14:paraId="2C16E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59A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7AC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42565">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13F6F">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69796">
            <w:pPr>
              <w:jc w:val="center"/>
            </w:pPr>
            <w:r>
              <w:rPr>
                <w:rFonts w:ascii="宋体" w:hAnsi="宋体" w:eastAsia="宋体"/>
                <w:sz w:val="16"/>
              </w:rPr>
              <w:t>34.50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0E9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1A3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21C3">
            <w:pPr>
              <w:jc w:val="center"/>
            </w:pPr>
            <w:r>
              <w:rPr>
                <w:rFonts w:ascii="宋体" w:hAnsi="宋体" w:eastAsia="宋体"/>
                <w:sz w:val="16"/>
              </w:rPr>
              <w:t>—</w:t>
            </w:r>
          </w:p>
        </w:tc>
      </w:tr>
      <w:tr w14:paraId="4B030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479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2EC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E04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B54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5B4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FD3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F7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6DA2">
            <w:pPr>
              <w:jc w:val="center"/>
            </w:pPr>
            <w:r>
              <w:rPr>
                <w:rFonts w:ascii="宋体" w:hAnsi="宋体" w:eastAsia="宋体"/>
                <w:sz w:val="16"/>
              </w:rPr>
              <w:t>—</w:t>
            </w:r>
          </w:p>
        </w:tc>
      </w:tr>
      <w:tr w14:paraId="1B7C45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3D60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DC40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CB993E">
            <w:pPr>
              <w:jc w:val="center"/>
            </w:pPr>
            <w:r>
              <w:rPr>
                <w:rFonts w:ascii="宋体" w:hAnsi="宋体" w:eastAsia="宋体"/>
                <w:sz w:val="16"/>
              </w:rPr>
              <w:t>实际完成情况</w:t>
            </w:r>
          </w:p>
        </w:tc>
      </w:tr>
      <w:tr w14:paraId="0932DE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BBB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F837C3">
            <w:pPr>
              <w:jc w:val="both"/>
            </w:pPr>
            <w:r>
              <w:rPr>
                <w:rFonts w:ascii="宋体" w:hAnsi="宋体" w:eastAsia="宋体"/>
                <w:sz w:val="16"/>
              </w:rPr>
              <w:t>该项目资金一共69万元，其中财政资金69万元，</w:t>
            </w:r>
            <w:r>
              <w:rPr>
                <w:rFonts w:hint="eastAsia" w:ascii="宋体" w:hAnsi="宋体"/>
                <w:sz w:val="16"/>
                <w:lang w:eastAsia="zh-CN"/>
              </w:rPr>
              <w:t>其他</w:t>
            </w:r>
            <w:r>
              <w:rPr>
                <w:rFonts w:ascii="宋体" w:hAnsi="宋体" w:eastAsia="宋体"/>
                <w:sz w:val="16"/>
              </w:rPr>
              <w:t>资金0万元。通过政府买服务、专家查隐患、技术搞帮扶等措施，充分发挥技术专家专业力量，对全州高风险矿山企业进行全面深入专业督导服务，进一步摸清高风险矿山安全生产状况，辨识存在的较大风险，分析诊断安全控制措施的充分性和有效性。同时，帮助指导重点矿山查找识别安全风险和隐患，针对生产系统、公辅设施的本质安全设计、总图布置、工艺操作、设备完好性管理、安全设施维护、安全基础管理、企业周边风险、应急管理等方面存在的问题，提出整改意见建议，完善落实风险分级管控与隐患排查治理双重预防机制，有效预防减少生产安全事故发生，不断提升本质安全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427618">
            <w:pPr>
              <w:jc w:val="both"/>
            </w:pPr>
            <w:r>
              <w:rPr>
                <w:rFonts w:hint="eastAsia" w:ascii="宋体" w:hAnsi="宋体"/>
                <w:sz w:val="16"/>
                <w:lang w:eastAsia="zh-CN"/>
              </w:rPr>
              <w:t>截至</w:t>
            </w:r>
            <w:r>
              <w:rPr>
                <w:rFonts w:ascii="宋体" w:hAnsi="宋体" w:eastAsia="宋体"/>
                <w:sz w:val="16"/>
              </w:rPr>
              <w:t>2024年12月31日，该项目执行数为34.5万元，完成了高风险矿山安全监管17家、安全检查技术服务2轮、第一次高风险矿山监管及技术服务34.5万元。通过该项目实施：进一步摸清高风险矿山安全生产状况，辨识存在的较大风险，分析诊断安全控制措施的充分性和有效性。同时，帮助指导重点矿山查找识别安全风险和隐患，针对生产系统、公辅设施的本质安全设计、总图布置、工艺操作、设备完好性管理、安全设施维护、安全基础管理、企业周边风险、应急管理等方面存在的问题，提出整改意见建议，完善落实风险分级管控与隐患排查治理双重预防机制，有效预防减少生产安全事故发生，不断提升本质安全水平。</w:t>
            </w:r>
          </w:p>
        </w:tc>
      </w:tr>
      <w:tr w14:paraId="6B2774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37A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0D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B1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85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98E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C6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C80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ED2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CC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DD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23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DB7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BC5D6">
            <w:pPr>
              <w:jc w:val="center"/>
            </w:pPr>
            <w:r>
              <w:rPr>
                <w:rFonts w:ascii="宋体" w:hAnsi="宋体" w:eastAsia="宋体"/>
                <w:sz w:val="16"/>
              </w:rPr>
              <w:t>偏差原因分析及改进措施</w:t>
            </w:r>
          </w:p>
        </w:tc>
      </w:tr>
      <w:tr w14:paraId="61ED4B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DE1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E70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E8C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300E">
            <w:pPr>
              <w:jc w:val="center"/>
            </w:pPr>
            <w:r>
              <w:rPr>
                <w:rFonts w:ascii="宋体" w:hAnsi="宋体" w:eastAsia="宋体"/>
                <w:sz w:val="16"/>
              </w:rPr>
              <w:t>高风险矿山安全监管</w:t>
            </w:r>
            <w:bookmarkStart w:id="0" w:name="_GoBack"/>
            <w:r>
              <w:rPr>
                <w:rFonts w:ascii="宋体" w:hAnsi="宋体" w:eastAsia="宋体"/>
                <w:sz w:val="16"/>
              </w:rPr>
              <w:t>（</w:t>
            </w:r>
            <w:bookmarkEnd w:id="0"/>
            <w:r>
              <w:rPr>
                <w:rFonts w:ascii="宋体" w:hAnsi="宋体" w:eastAsia="宋体"/>
                <w:sz w:val="16"/>
              </w:rPr>
              <w:t>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AE73">
            <w:pPr>
              <w:jc w:val="center"/>
            </w:pPr>
            <w:r>
              <w:rPr>
                <w:rFonts w:ascii="宋体" w:hAnsi="宋体" w:eastAsia="宋体"/>
                <w:sz w:val="16"/>
              </w:rPr>
              <w:t>&gt;=17家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3D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AB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9C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28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6E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0141">
            <w:pPr>
              <w:jc w:val="center"/>
            </w:pPr>
            <w:r>
              <w:rPr>
                <w:rFonts w:ascii="宋体" w:hAnsi="宋体" w:eastAsia="宋体"/>
                <w:sz w:val="16"/>
              </w:rPr>
              <w:t>=17家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3F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8815A">
            <w:pPr>
              <w:jc w:val="center"/>
            </w:pPr>
          </w:p>
        </w:tc>
      </w:tr>
      <w:tr w14:paraId="2F914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75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88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E1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0E54">
            <w:pPr>
              <w:jc w:val="center"/>
            </w:pPr>
            <w:r>
              <w:rPr>
                <w:rFonts w:ascii="宋体" w:hAnsi="宋体" w:eastAsia="宋体"/>
                <w:sz w:val="16"/>
              </w:rPr>
              <w:t>安全检查技术服务（轮）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E025">
            <w:pPr>
              <w:jc w:val="center"/>
            </w:pPr>
            <w:r>
              <w:rPr>
                <w:rFonts w:ascii="宋体" w:hAnsi="宋体" w:eastAsia="宋体"/>
                <w:sz w:val="16"/>
              </w:rPr>
              <w:t>&gt;=4轮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D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21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DB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01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9E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0641">
            <w:pPr>
              <w:jc w:val="center"/>
            </w:pPr>
            <w:r>
              <w:rPr>
                <w:rFonts w:ascii="宋体" w:hAnsi="宋体" w:eastAsia="宋体"/>
                <w:sz w:val="16"/>
              </w:rPr>
              <w:t>=2轮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989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F4F46">
            <w:pPr>
              <w:jc w:val="center"/>
            </w:pPr>
            <w:r>
              <w:rPr>
                <w:rFonts w:ascii="宋体" w:hAnsi="宋体" w:eastAsia="宋体"/>
                <w:sz w:val="16"/>
              </w:rPr>
              <w:t>偏差原因：该项目由于启动晚，未能完成四轮的安全检查、指导和监管。改进措施：今后认真细化项目，精准制定目标，确保在预定期限内完成。</w:t>
            </w:r>
          </w:p>
        </w:tc>
      </w:tr>
      <w:tr w14:paraId="4436E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6E4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482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EE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8B42">
            <w:pPr>
              <w:jc w:val="center"/>
            </w:pPr>
            <w:r>
              <w:rPr>
                <w:rFonts w:ascii="宋体" w:hAnsi="宋体" w:eastAsia="宋体"/>
                <w:sz w:val="16"/>
              </w:rPr>
              <w:t>高风险矿山安全监管完成率（%）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7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E5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79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A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B1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4E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B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D7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946BB">
            <w:pPr>
              <w:jc w:val="center"/>
            </w:pPr>
          </w:p>
        </w:tc>
      </w:tr>
      <w:tr w14:paraId="67FF1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C1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69E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C3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A56F">
            <w:pPr>
              <w:jc w:val="center"/>
            </w:pPr>
            <w:r>
              <w:rPr>
                <w:rFonts w:ascii="宋体" w:hAnsi="宋体" w:eastAsia="宋体"/>
                <w:sz w:val="16"/>
              </w:rPr>
              <w:t>安全隐患排查率（%）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85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80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59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35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E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49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20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8E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17104">
            <w:pPr>
              <w:jc w:val="center"/>
            </w:pPr>
          </w:p>
        </w:tc>
      </w:tr>
      <w:tr w14:paraId="40B50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59B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5F1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993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F4F8">
            <w:pPr>
              <w:jc w:val="center"/>
            </w:pPr>
            <w:r>
              <w:rPr>
                <w:rFonts w:ascii="宋体" w:hAnsi="宋体" w:eastAsia="宋体"/>
                <w:sz w:val="16"/>
              </w:rPr>
              <w:t>第一次高风险矿山监管及技术服务经费（万元）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D073">
            <w:pPr>
              <w:jc w:val="center"/>
            </w:pPr>
            <w:r>
              <w:rPr>
                <w:rFonts w:ascii="宋体" w:hAnsi="宋体" w:eastAsia="宋体"/>
                <w:sz w:val="16"/>
              </w:rPr>
              <w:t>&lt;=34.50万元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5D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D4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4B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3A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9D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6FB4">
            <w:pPr>
              <w:jc w:val="center"/>
            </w:pPr>
            <w:r>
              <w:rPr>
                <w:rFonts w:ascii="宋体" w:hAnsi="宋体" w:eastAsia="宋体"/>
                <w:sz w:val="16"/>
              </w:rPr>
              <w:t>=34.5万元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C4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13B52">
            <w:pPr>
              <w:jc w:val="center"/>
            </w:pPr>
          </w:p>
        </w:tc>
      </w:tr>
      <w:tr w14:paraId="5B424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281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80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BB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2BAF">
            <w:pPr>
              <w:jc w:val="center"/>
            </w:pPr>
            <w:r>
              <w:rPr>
                <w:rFonts w:ascii="宋体" w:hAnsi="宋体" w:eastAsia="宋体"/>
                <w:sz w:val="16"/>
              </w:rPr>
              <w:t>第二次高风险矿山监管及技术服务经费（万元）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E6A4">
            <w:pPr>
              <w:jc w:val="center"/>
            </w:pPr>
            <w:r>
              <w:rPr>
                <w:rFonts w:ascii="宋体" w:hAnsi="宋体" w:eastAsia="宋体"/>
                <w:sz w:val="16"/>
              </w:rPr>
              <w:t>&lt;=34.50万元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06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23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D9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E1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81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88C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4AD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6B9B9">
            <w:pPr>
              <w:jc w:val="center"/>
            </w:pPr>
            <w:r>
              <w:rPr>
                <w:rFonts w:ascii="宋体" w:hAnsi="宋体" w:eastAsia="宋体"/>
                <w:sz w:val="16"/>
              </w:rPr>
              <w:t>偏差原因：该项目由于启动晚，未能完成四轮的安全检查、指导和监管。改进措施：今后认真细化项目，精准制定目标，确保在预定期限内完成。</w:t>
            </w:r>
          </w:p>
        </w:tc>
      </w:tr>
      <w:tr w14:paraId="00E9DF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ED6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24E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25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3CBA">
            <w:pPr>
              <w:jc w:val="center"/>
            </w:pPr>
            <w:r>
              <w:rPr>
                <w:rFonts w:ascii="宋体" w:hAnsi="宋体" w:eastAsia="宋体"/>
                <w:sz w:val="16"/>
              </w:rPr>
              <w:t>加强高风险矿山监管力度，减少矿山事故发生，提高企业满意度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4EF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83D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C0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D7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F1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F2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116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0B3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37EF2">
            <w:pPr>
              <w:jc w:val="center"/>
            </w:pPr>
          </w:p>
        </w:tc>
      </w:tr>
      <w:tr w14:paraId="79CAC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B5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08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88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9167">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3B4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D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7A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E5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3B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05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691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04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818CB">
            <w:pPr>
              <w:jc w:val="center"/>
            </w:pPr>
          </w:p>
        </w:tc>
      </w:tr>
      <w:tr w14:paraId="51461F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B96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0AA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14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048FFE">
            <w:pPr>
              <w:jc w:val="center"/>
            </w:pPr>
            <w:r>
              <w:rPr>
                <w:rFonts w:ascii="宋体" w:hAnsi="宋体" w:eastAsia="宋体"/>
                <w:sz w:val="16"/>
              </w:rPr>
              <w:t>70分</w:t>
            </w:r>
          </w:p>
        </w:tc>
      </w:tr>
    </w:tbl>
    <w:p w14:paraId="06084995">
      <w:r>
        <w:br w:type="page"/>
      </w:r>
    </w:p>
    <w:p w14:paraId="3F88E879">
      <w:pPr>
        <w:spacing w:line="640" w:lineRule="exact"/>
        <w:ind w:firstLine="640"/>
        <w:jc w:val="both"/>
        <w:outlineLvl w:val="2"/>
      </w:pPr>
      <w:r>
        <w:rPr>
          <w:rFonts w:ascii="黑体" w:hAnsi="黑体" w:eastAsia="黑体"/>
          <w:sz w:val="32"/>
        </w:rPr>
        <w:t>十二、其他需说明的事项</w:t>
      </w:r>
    </w:p>
    <w:p w14:paraId="412DC5CF">
      <w:pPr>
        <w:spacing w:line="580" w:lineRule="exact"/>
        <w:ind w:firstLine="640"/>
        <w:jc w:val="both"/>
      </w:pPr>
      <w:r>
        <w:rPr>
          <w:rFonts w:ascii="仿宋_GB2312" w:hAnsi="仿宋_GB2312" w:eastAsia="仿宋_GB2312"/>
          <w:b w:val="0"/>
          <w:sz w:val="32"/>
        </w:rPr>
        <w:t>本单位无其他需说明的事项。</w:t>
      </w:r>
    </w:p>
    <w:p w14:paraId="7616CC5C">
      <w:r>
        <w:br w:type="page"/>
      </w:r>
    </w:p>
    <w:p w14:paraId="11DCEB1A">
      <w:pPr>
        <w:spacing w:line="240" w:lineRule="auto"/>
        <w:jc w:val="center"/>
        <w:outlineLvl w:val="1"/>
      </w:pPr>
      <w:r>
        <w:rPr>
          <w:rFonts w:ascii="黑体" w:hAnsi="黑体" w:eastAsia="黑体"/>
          <w:sz w:val="32"/>
        </w:rPr>
        <w:t>第三部分 专业名词解释</w:t>
      </w:r>
    </w:p>
    <w:p w14:paraId="3246E56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6976B7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5F97E5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877971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1F16B0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61C2C4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775FE0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7BA3B9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D6253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AC211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33A66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38D82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1763D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F53BA9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3825A69">
      <w:r>
        <w:br w:type="page"/>
      </w:r>
    </w:p>
    <w:p w14:paraId="624E782C">
      <w:pPr>
        <w:spacing w:line="240" w:lineRule="auto"/>
        <w:jc w:val="center"/>
        <w:outlineLvl w:val="1"/>
      </w:pPr>
      <w:r>
        <w:rPr>
          <w:rFonts w:ascii="黑体" w:hAnsi="黑体" w:eastAsia="黑体"/>
          <w:sz w:val="32"/>
        </w:rPr>
        <w:t>第四部分 部门决算报表（见附表）</w:t>
      </w:r>
    </w:p>
    <w:p w14:paraId="18055A94">
      <w:pPr>
        <w:spacing w:line="240" w:lineRule="auto"/>
        <w:ind w:firstLine="640"/>
        <w:jc w:val="both"/>
      </w:pPr>
      <w:r>
        <w:rPr>
          <w:rFonts w:ascii="仿宋_GB2312" w:hAnsi="仿宋_GB2312" w:eastAsia="仿宋_GB2312"/>
          <w:b w:val="0"/>
          <w:sz w:val="32"/>
        </w:rPr>
        <w:t>一、《收入支出决算总表》</w:t>
      </w:r>
    </w:p>
    <w:p w14:paraId="7D57AD4C">
      <w:pPr>
        <w:spacing w:line="240" w:lineRule="auto"/>
        <w:ind w:firstLine="640"/>
        <w:jc w:val="both"/>
      </w:pPr>
      <w:r>
        <w:rPr>
          <w:rFonts w:ascii="仿宋_GB2312" w:hAnsi="仿宋_GB2312" w:eastAsia="仿宋_GB2312"/>
          <w:b w:val="0"/>
          <w:sz w:val="32"/>
        </w:rPr>
        <w:t>二、《收入决算表》</w:t>
      </w:r>
    </w:p>
    <w:p w14:paraId="42EC36E4">
      <w:pPr>
        <w:spacing w:line="240" w:lineRule="auto"/>
        <w:ind w:firstLine="640"/>
        <w:jc w:val="both"/>
      </w:pPr>
      <w:r>
        <w:rPr>
          <w:rFonts w:ascii="仿宋_GB2312" w:hAnsi="仿宋_GB2312" w:eastAsia="仿宋_GB2312"/>
          <w:b w:val="0"/>
          <w:sz w:val="32"/>
        </w:rPr>
        <w:t>三、《支出决算表》</w:t>
      </w:r>
    </w:p>
    <w:p w14:paraId="3E54C9AC">
      <w:pPr>
        <w:spacing w:line="240" w:lineRule="auto"/>
        <w:ind w:firstLine="640"/>
        <w:jc w:val="both"/>
      </w:pPr>
      <w:r>
        <w:rPr>
          <w:rFonts w:ascii="仿宋_GB2312" w:hAnsi="仿宋_GB2312" w:eastAsia="仿宋_GB2312"/>
          <w:b w:val="0"/>
          <w:sz w:val="32"/>
        </w:rPr>
        <w:t>四、《财政拨款收入支出决算总表》</w:t>
      </w:r>
    </w:p>
    <w:p w14:paraId="1861F1A2">
      <w:pPr>
        <w:spacing w:line="240" w:lineRule="auto"/>
        <w:ind w:firstLine="640"/>
        <w:jc w:val="both"/>
      </w:pPr>
      <w:r>
        <w:rPr>
          <w:rFonts w:ascii="仿宋_GB2312" w:hAnsi="仿宋_GB2312" w:eastAsia="仿宋_GB2312"/>
          <w:b w:val="0"/>
          <w:sz w:val="32"/>
        </w:rPr>
        <w:t>五、《一般公共预算财政拨款支出决算表》</w:t>
      </w:r>
    </w:p>
    <w:p w14:paraId="5F3BA5F3">
      <w:pPr>
        <w:spacing w:line="240" w:lineRule="auto"/>
        <w:ind w:firstLine="640"/>
        <w:jc w:val="both"/>
      </w:pPr>
      <w:r>
        <w:rPr>
          <w:rFonts w:ascii="仿宋_GB2312" w:hAnsi="仿宋_GB2312" w:eastAsia="仿宋_GB2312"/>
          <w:b w:val="0"/>
          <w:sz w:val="32"/>
        </w:rPr>
        <w:t>六、《一般公共预算财政拨款基本支出决算表》</w:t>
      </w:r>
    </w:p>
    <w:p w14:paraId="2BA5A0AA">
      <w:pPr>
        <w:spacing w:line="240" w:lineRule="auto"/>
        <w:ind w:firstLine="640"/>
        <w:jc w:val="both"/>
      </w:pPr>
      <w:r>
        <w:rPr>
          <w:rFonts w:ascii="仿宋_GB2312" w:hAnsi="仿宋_GB2312" w:eastAsia="仿宋_GB2312"/>
          <w:b w:val="0"/>
          <w:sz w:val="32"/>
        </w:rPr>
        <w:t>七、《政府性基金预算财政拨款收入支出决算表》</w:t>
      </w:r>
    </w:p>
    <w:p w14:paraId="693CAC0A">
      <w:pPr>
        <w:spacing w:line="240" w:lineRule="auto"/>
        <w:ind w:firstLine="640"/>
        <w:jc w:val="both"/>
      </w:pPr>
      <w:r>
        <w:rPr>
          <w:rFonts w:ascii="仿宋_GB2312" w:hAnsi="仿宋_GB2312" w:eastAsia="仿宋_GB2312"/>
          <w:b w:val="0"/>
          <w:sz w:val="32"/>
        </w:rPr>
        <w:t>八、《国有资本经营预算财政拨款收入支出决算表》</w:t>
      </w:r>
    </w:p>
    <w:p w14:paraId="41922179">
      <w:pPr>
        <w:spacing w:line="240" w:lineRule="auto"/>
        <w:ind w:firstLine="640"/>
        <w:jc w:val="both"/>
      </w:pPr>
      <w:r>
        <w:rPr>
          <w:rFonts w:ascii="仿宋_GB2312" w:hAnsi="仿宋_GB2312" w:eastAsia="仿宋_GB2312"/>
          <w:b w:val="0"/>
          <w:sz w:val="32"/>
        </w:rPr>
        <w:t>九、《财政拨款“三公”经费支出决算表》</w:t>
      </w:r>
    </w:p>
    <w:p w14:paraId="3C0CDD66">
      <w:pPr>
        <w:spacing w:line="240" w:lineRule="auto"/>
        <w:ind w:firstLine="640"/>
        <w:jc w:val="both"/>
      </w:pPr>
    </w:p>
    <w:p w14:paraId="33CCB836">
      <w:pPr>
        <w:spacing w:line="240" w:lineRule="auto"/>
        <w:ind w:firstLine="640"/>
        <w:jc w:val="both"/>
      </w:pPr>
    </w:p>
    <w:p w14:paraId="186B4162">
      <w:pPr>
        <w:spacing w:line="240" w:lineRule="auto"/>
        <w:ind w:firstLine="640"/>
        <w:jc w:val="both"/>
      </w:pPr>
    </w:p>
    <w:p w14:paraId="17AD6883">
      <w:pPr>
        <w:spacing w:line="240" w:lineRule="auto"/>
        <w:ind w:firstLine="640"/>
        <w:jc w:val="both"/>
      </w:pPr>
    </w:p>
    <w:p w14:paraId="74A57A0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EABF61-8059-4664-969B-473ECD2A246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67101B2-0885-436E-A194-143133517C54}"/>
  </w:font>
  <w:font w:name="仿宋_GB2312">
    <w:panose1 w:val="02010609030101010101"/>
    <w:charset w:val="86"/>
    <w:family w:val="modern"/>
    <w:pitch w:val="default"/>
    <w:sig w:usb0="00000001" w:usb1="080E0000" w:usb2="00000000" w:usb3="00000000" w:csb0="00040000" w:csb1="00000000"/>
    <w:embedRegular r:id="rId3" w:fontKey="{DAD50F1E-D22A-4C25-AB94-FCFECFA97D9F}"/>
  </w:font>
  <w:font w:name="楷体_GB2312">
    <w:panose1 w:val="02010609030101010101"/>
    <w:charset w:val="86"/>
    <w:family w:val="auto"/>
    <w:pitch w:val="default"/>
    <w:sig w:usb0="00000001" w:usb1="080E0000" w:usb2="00000000" w:usb3="00000000" w:csb0="00040000" w:csb1="00000000"/>
    <w:embedRegular r:id="rId4" w:fontKey="{C579AF3B-6A29-47D7-86BC-E9C4572589F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0FD5798F"/>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8B762E"/>
    <w:rsid w:val="38006E2C"/>
    <w:rsid w:val="3914510A"/>
    <w:rsid w:val="3B1220C9"/>
    <w:rsid w:val="3D5275AC"/>
    <w:rsid w:val="3EA7725F"/>
    <w:rsid w:val="3EC014A1"/>
    <w:rsid w:val="3ECE2795"/>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6D0CBD"/>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4834</Words>
  <Characters>5526</Characters>
  <Lines>0</Lines>
  <Paragraphs>0</Paragraphs>
  <TotalTime>3</TotalTime>
  <ScaleCrop>false</ScaleCrop>
  <LinksUpToDate>false</LinksUpToDate>
  <CharactersWithSpaces>5534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2025-09-02T05:27:56Z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