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9A5085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克孜勒苏柯尔克孜自治州边贸公司联合驻吉尔吉斯共和国代表处</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8B64899">
      <w:r>
        <w:br w:type="page"/>
      </w:r>
    </w:p>
    <w:p w14:paraId="62B9E4DA">
      <w:pPr>
        <w:spacing w:line="640" w:lineRule="exact"/>
        <w:jc w:val="center"/>
        <w:outlineLvl w:val="1"/>
      </w:pPr>
      <w:r>
        <w:rPr>
          <w:rFonts w:ascii="黑体" w:hAnsi="黑体" w:eastAsia="黑体"/>
          <w:sz w:val="32"/>
        </w:rPr>
        <w:t>第一部分 单位概况</w:t>
      </w:r>
    </w:p>
    <w:p w14:paraId="06D7EDC6">
      <w:pPr>
        <w:spacing w:line="640" w:lineRule="exact"/>
        <w:ind w:firstLine="640"/>
        <w:jc w:val="both"/>
        <w:outlineLvl w:val="2"/>
      </w:pPr>
      <w:r>
        <w:rPr>
          <w:rFonts w:ascii="黑体" w:hAnsi="黑体" w:eastAsia="黑体"/>
          <w:sz w:val="32"/>
        </w:rPr>
        <w:t>一、主要职能</w:t>
      </w:r>
    </w:p>
    <w:p w14:paraId="2328A1C5">
      <w:pPr>
        <w:spacing w:line="580" w:lineRule="exact"/>
        <w:ind w:firstLine="640"/>
        <w:jc w:val="both"/>
      </w:pPr>
      <w:r>
        <w:rPr>
          <w:rFonts w:ascii="仿宋_GB2312" w:hAnsi="仿宋_GB2312" w:eastAsia="仿宋_GB2312"/>
          <w:sz w:val="32"/>
        </w:rPr>
        <w:t>配合中国驻吉大使馆、商务参赞处，做好克州在外从事经贸活动的企业和人员的领事保护和服务工作。配合克州外办，加大对我境外经商人员的外事教育，及时了解掌握和帮助解决其对外贸易中存在的问题及困难，并邀请我国驻吉商务参赞处有计划</w:t>
      </w:r>
      <w:r>
        <w:rPr>
          <w:rFonts w:hint="eastAsia" w:ascii="仿宋_GB2312" w:hAnsi="仿宋_GB2312" w:eastAsia="仿宋_GB2312"/>
          <w:sz w:val="32"/>
          <w:lang w:eastAsia="zh-CN"/>
        </w:rPr>
        <w:t>地</w:t>
      </w:r>
      <w:r>
        <w:rPr>
          <w:rFonts w:ascii="仿宋_GB2312" w:hAnsi="仿宋_GB2312" w:eastAsia="仿宋_GB2312"/>
          <w:sz w:val="32"/>
        </w:rPr>
        <w:t>对我商人进行境外国际贸易培训，规范贸易行为，降低贸易风险，确保</w:t>
      </w:r>
      <w:r>
        <w:rPr>
          <w:rFonts w:hint="eastAsia" w:ascii="仿宋_GB2312" w:hAnsi="仿宋_GB2312" w:eastAsia="仿宋_GB2312"/>
          <w:sz w:val="32"/>
          <w:lang w:eastAsia="zh-CN"/>
        </w:rPr>
        <w:t>BJ</w:t>
      </w:r>
      <w:r>
        <w:rPr>
          <w:rFonts w:ascii="仿宋_GB2312" w:hAnsi="仿宋_GB2312" w:eastAsia="仿宋_GB2312"/>
          <w:sz w:val="32"/>
        </w:rPr>
        <w:t>贸易持续、健康发展。</w:t>
      </w:r>
    </w:p>
    <w:p w14:paraId="255EE7B3">
      <w:pPr>
        <w:spacing w:line="640" w:lineRule="exact"/>
        <w:ind w:firstLine="640"/>
        <w:jc w:val="both"/>
        <w:outlineLvl w:val="2"/>
      </w:pPr>
      <w:r>
        <w:rPr>
          <w:rFonts w:ascii="黑体" w:hAnsi="黑体" w:eastAsia="黑体"/>
          <w:sz w:val="32"/>
        </w:rPr>
        <w:t>二、机构设置及人员情况</w:t>
      </w:r>
    </w:p>
    <w:p w14:paraId="0B32E5B0">
      <w:pPr>
        <w:spacing w:line="580" w:lineRule="exact"/>
        <w:ind w:firstLine="640"/>
        <w:jc w:val="both"/>
      </w:pPr>
      <w:r>
        <w:rPr>
          <w:rFonts w:ascii="仿宋_GB2312" w:hAnsi="仿宋_GB2312" w:eastAsia="仿宋_GB2312"/>
          <w:sz w:val="32"/>
        </w:rPr>
        <w:t>克孜勒苏柯尔克孜自治州边贸公司联合驻吉尔吉斯共和国代表处2024年度，实有人数11人，其中：在职人员8人，增加2人；离休人员0人，增加0人；退休人员3人,增加0人。</w:t>
      </w:r>
    </w:p>
    <w:p w14:paraId="6EA0EEAC">
      <w:pPr>
        <w:spacing w:line="580" w:lineRule="exact"/>
        <w:ind w:firstLine="640"/>
        <w:jc w:val="both"/>
      </w:pPr>
      <w:r>
        <w:rPr>
          <w:rFonts w:ascii="仿宋_GB2312" w:hAnsi="仿宋_GB2312" w:eastAsia="仿宋_GB2312"/>
          <w:sz w:val="32"/>
        </w:rPr>
        <w:t>克孜勒苏柯尔克孜自治州边贸公司联合驻吉尔吉斯共和国代表处无下属预算单位，下设1个科室，分别是：办公室。</w:t>
      </w:r>
    </w:p>
    <w:p w14:paraId="4E7C9DE5">
      <w:r>
        <w:br w:type="page"/>
      </w:r>
    </w:p>
    <w:p w14:paraId="4EC0B3C6">
      <w:pPr>
        <w:spacing w:line="240" w:lineRule="auto"/>
        <w:jc w:val="center"/>
        <w:outlineLvl w:val="1"/>
      </w:pPr>
      <w:r>
        <w:rPr>
          <w:rFonts w:ascii="黑体" w:hAnsi="黑体" w:eastAsia="黑体"/>
          <w:sz w:val="32"/>
        </w:rPr>
        <w:t>第二部分 部门决算情况说明</w:t>
      </w:r>
    </w:p>
    <w:p w14:paraId="38CD4895">
      <w:pPr>
        <w:spacing w:line="640" w:lineRule="exact"/>
        <w:ind w:firstLine="640"/>
        <w:jc w:val="both"/>
        <w:outlineLvl w:val="2"/>
      </w:pPr>
      <w:r>
        <w:rPr>
          <w:rFonts w:ascii="黑体" w:hAnsi="黑体" w:eastAsia="黑体"/>
          <w:sz w:val="32"/>
        </w:rPr>
        <w:t>一、收入支出决算总体情况说明</w:t>
      </w:r>
    </w:p>
    <w:p w14:paraId="62B24FBA">
      <w:pPr>
        <w:spacing w:line="580" w:lineRule="exact"/>
        <w:ind w:firstLine="640"/>
        <w:jc w:val="both"/>
      </w:pPr>
      <w:r>
        <w:rPr>
          <w:rFonts w:ascii="仿宋_GB2312" w:hAnsi="仿宋_GB2312" w:eastAsia="仿宋_GB2312"/>
          <w:b/>
          <w:sz w:val="32"/>
        </w:rPr>
        <w:t>2024年度收入总计183.91万元，</w:t>
      </w:r>
      <w:r>
        <w:rPr>
          <w:rFonts w:ascii="仿宋_GB2312" w:hAnsi="仿宋_GB2312" w:eastAsia="仿宋_GB2312"/>
          <w:b w:val="0"/>
          <w:sz w:val="32"/>
        </w:rPr>
        <w:t>其中：本年收入合计183.91万元，使用非财政拨款结余（含专用结余）0.00万元，年初结转和结余0.00万元。</w:t>
      </w:r>
    </w:p>
    <w:p w14:paraId="2AA553AF">
      <w:pPr>
        <w:spacing w:line="580" w:lineRule="exact"/>
        <w:ind w:firstLine="640"/>
        <w:jc w:val="both"/>
      </w:pPr>
      <w:r>
        <w:rPr>
          <w:rFonts w:ascii="仿宋_GB2312" w:hAnsi="仿宋_GB2312" w:eastAsia="仿宋_GB2312"/>
          <w:b/>
          <w:sz w:val="32"/>
        </w:rPr>
        <w:t>2024年度支出总计183.91万元，</w:t>
      </w:r>
      <w:r>
        <w:rPr>
          <w:rFonts w:ascii="仿宋_GB2312" w:hAnsi="仿宋_GB2312" w:eastAsia="仿宋_GB2312"/>
          <w:b w:val="0"/>
          <w:sz w:val="32"/>
        </w:rPr>
        <w:t>其中：本年支出合计183.91万元，结余分配0.00万元，年末结转和结余0.00万元。</w:t>
      </w:r>
    </w:p>
    <w:p w14:paraId="6C1A3E76">
      <w:pPr>
        <w:spacing w:line="580" w:lineRule="exact"/>
        <w:ind w:firstLine="640"/>
        <w:jc w:val="both"/>
      </w:pPr>
      <w:r>
        <w:rPr>
          <w:rFonts w:ascii="仿宋_GB2312" w:hAnsi="仿宋_GB2312" w:eastAsia="仿宋_GB2312"/>
          <w:b w:val="0"/>
          <w:sz w:val="32"/>
        </w:rPr>
        <w:t>收入支出总体与上年相比，增加15.11万元，增长8.95%，主要原因是：本年在职人员增加，人员工资调增，社保、公积金基数调增，相关支出增加。</w:t>
      </w:r>
    </w:p>
    <w:p w14:paraId="3BC524F2">
      <w:pPr>
        <w:spacing w:line="640" w:lineRule="exact"/>
        <w:ind w:firstLine="640"/>
        <w:jc w:val="both"/>
        <w:outlineLvl w:val="2"/>
      </w:pPr>
      <w:r>
        <w:rPr>
          <w:rFonts w:ascii="黑体" w:hAnsi="黑体" w:eastAsia="黑体"/>
          <w:sz w:val="32"/>
        </w:rPr>
        <w:t>二、收入决算情况说明</w:t>
      </w:r>
    </w:p>
    <w:p w14:paraId="7DC8B3FC">
      <w:pPr>
        <w:spacing w:line="580" w:lineRule="exact"/>
        <w:ind w:firstLine="640"/>
        <w:jc w:val="both"/>
      </w:pPr>
      <w:r>
        <w:rPr>
          <w:rFonts w:ascii="仿宋_GB2312" w:hAnsi="仿宋_GB2312" w:eastAsia="仿宋_GB2312"/>
          <w:b/>
          <w:sz w:val="32"/>
        </w:rPr>
        <w:t>本年收入183.91万元，</w:t>
      </w:r>
      <w:r>
        <w:rPr>
          <w:rFonts w:ascii="仿宋_GB2312" w:hAnsi="仿宋_GB2312" w:eastAsia="仿宋_GB2312"/>
          <w:b w:val="0"/>
          <w:sz w:val="32"/>
        </w:rPr>
        <w:t>其中：财政拨款收入182.91万元，占99.46%；上级补助收入0.00万元，占0.00%；事业收入0.00万元，占0.00%；经营收入0.00万元，占0.00%；附属单位上缴收入0.00万元，占0.00%；其他收入1.00万元，占0.54%。</w:t>
      </w:r>
    </w:p>
    <w:p w14:paraId="12FCDF3C">
      <w:pPr>
        <w:spacing w:line="640" w:lineRule="exact"/>
        <w:ind w:firstLine="640"/>
        <w:jc w:val="both"/>
        <w:outlineLvl w:val="2"/>
      </w:pPr>
      <w:r>
        <w:rPr>
          <w:rFonts w:ascii="黑体" w:hAnsi="黑体" w:eastAsia="黑体"/>
          <w:sz w:val="32"/>
        </w:rPr>
        <w:t>三、支出决算情况说明</w:t>
      </w:r>
    </w:p>
    <w:p w14:paraId="412B75F7">
      <w:pPr>
        <w:spacing w:line="580" w:lineRule="exact"/>
        <w:ind w:firstLine="640"/>
        <w:jc w:val="both"/>
      </w:pPr>
      <w:r>
        <w:rPr>
          <w:rFonts w:ascii="仿宋_GB2312" w:hAnsi="仿宋_GB2312" w:eastAsia="仿宋_GB2312"/>
          <w:b/>
          <w:sz w:val="32"/>
        </w:rPr>
        <w:t>本年支出183.91万元，</w:t>
      </w:r>
      <w:r>
        <w:rPr>
          <w:rFonts w:ascii="仿宋_GB2312" w:hAnsi="仿宋_GB2312" w:eastAsia="仿宋_GB2312"/>
          <w:b w:val="0"/>
          <w:sz w:val="32"/>
        </w:rPr>
        <w:t>其中：基本支出183.91万元，占100.00%；项目支出0.00万元，占0.00%；上缴上级支出0.00万元，占0.00%；经营支出0.00万元，占0.00%；对附属单位补助支出0.00万元，占0.00%。</w:t>
      </w:r>
    </w:p>
    <w:p w14:paraId="1076C147">
      <w:pPr>
        <w:spacing w:line="640" w:lineRule="exact"/>
        <w:ind w:firstLine="640"/>
        <w:jc w:val="both"/>
        <w:outlineLvl w:val="2"/>
      </w:pPr>
      <w:r>
        <w:rPr>
          <w:rFonts w:ascii="黑体" w:hAnsi="黑体" w:eastAsia="黑体"/>
          <w:sz w:val="32"/>
        </w:rPr>
        <w:t>四、财政拨款收入支出决算总体情况说明</w:t>
      </w:r>
    </w:p>
    <w:p w14:paraId="28FBA6DC">
      <w:pPr>
        <w:spacing w:line="580" w:lineRule="exact"/>
        <w:ind w:firstLine="640"/>
        <w:jc w:val="both"/>
      </w:pPr>
      <w:r>
        <w:rPr>
          <w:rFonts w:ascii="仿宋_GB2312" w:hAnsi="仿宋_GB2312" w:eastAsia="仿宋_GB2312"/>
          <w:b/>
          <w:sz w:val="32"/>
        </w:rPr>
        <w:t>2024年度财政拨款收入总计182.91万元，</w:t>
      </w:r>
      <w:r>
        <w:rPr>
          <w:rFonts w:ascii="仿宋_GB2312" w:hAnsi="仿宋_GB2312" w:eastAsia="仿宋_GB2312"/>
          <w:b w:val="0"/>
          <w:sz w:val="32"/>
        </w:rPr>
        <w:t>其中：年初财政拨款结转和结余0.00万元，本年财政拨款收入182.91万元。</w:t>
      </w:r>
      <w:r>
        <w:rPr>
          <w:rFonts w:ascii="仿宋_GB2312" w:hAnsi="仿宋_GB2312" w:eastAsia="仿宋_GB2312"/>
          <w:b/>
          <w:sz w:val="32"/>
        </w:rPr>
        <w:t>财政拨款支出总计182.91万元，</w:t>
      </w:r>
      <w:r>
        <w:rPr>
          <w:rFonts w:ascii="仿宋_GB2312" w:hAnsi="仿宋_GB2312" w:eastAsia="仿宋_GB2312"/>
          <w:b w:val="0"/>
          <w:sz w:val="32"/>
        </w:rPr>
        <w:t>其中：年末财政拨款结转和结余0.00万元，本年财政拨款支出182.91万元。</w:t>
      </w:r>
    </w:p>
    <w:p w14:paraId="2CAB7D1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增加14.11万元，增长8.36%，主要原因是：本年在职人员增加，人员工资调增，社保、公积金基数调增，相关支出增加。</w:t>
      </w:r>
      <w:r>
        <w:rPr>
          <w:rFonts w:ascii="仿宋_GB2312" w:hAnsi="仿宋_GB2312" w:eastAsia="仿宋_GB2312"/>
          <w:b/>
          <w:sz w:val="32"/>
        </w:rPr>
        <w:t>与年初预算相比，</w:t>
      </w:r>
      <w:r>
        <w:rPr>
          <w:rFonts w:ascii="仿宋_GB2312" w:hAnsi="仿宋_GB2312" w:eastAsia="仿宋_GB2312"/>
          <w:b w:val="0"/>
          <w:sz w:val="32"/>
        </w:rPr>
        <w:t>年初预算数119.51万元，决算数182.91万元，预决算差异率53.05%，主要原因是：年中追加人员工资、社保、公积金基数调增部分资金，导致预决算存在差异。</w:t>
      </w:r>
    </w:p>
    <w:p w14:paraId="47D7339A">
      <w:pPr>
        <w:spacing w:line="640" w:lineRule="exact"/>
        <w:ind w:firstLine="640"/>
        <w:jc w:val="both"/>
        <w:outlineLvl w:val="2"/>
      </w:pPr>
      <w:r>
        <w:rPr>
          <w:rFonts w:ascii="黑体" w:hAnsi="黑体" w:eastAsia="黑体"/>
          <w:sz w:val="32"/>
        </w:rPr>
        <w:t>五、一般公共预算财政拨款支出决算情况说明</w:t>
      </w:r>
    </w:p>
    <w:p w14:paraId="6FF4AA32">
      <w:pPr>
        <w:spacing w:line="640" w:lineRule="exact"/>
        <w:ind w:firstLine="640"/>
        <w:jc w:val="both"/>
        <w:outlineLvl w:val="3"/>
      </w:pPr>
      <w:r>
        <w:rPr>
          <w:rFonts w:ascii="楷体_GB2312" w:hAnsi="楷体_GB2312" w:eastAsia="楷体_GB2312"/>
          <w:b/>
          <w:sz w:val="32"/>
        </w:rPr>
        <w:t>（一）一般公共预算财政拨款支出决算总体情况</w:t>
      </w:r>
    </w:p>
    <w:p w14:paraId="0A8DA303">
      <w:pPr>
        <w:spacing w:line="580" w:lineRule="exact"/>
        <w:ind w:firstLine="640"/>
        <w:jc w:val="both"/>
      </w:pPr>
      <w:r>
        <w:rPr>
          <w:rFonts w:ascii="仿宋_GB2312" w:hAnsi="仿宋_GB2312" w:eastAsia="仿宋_GB2312"/>
          <w:b/>
          <w:sz w:val="32"/>
        </w:rPr>
        <w:t>2024年度一般公共预算财政拨款支出182.91万元，</w:t>
      </w:r>
      <w:r>
        <w:rPr>
          <w:rFonts w:ascii="仿宋_GB2312" w:hAnsi="仿宋_GB2312" w:eastAsia="仿宋_GB2312"/>
          <w:b w:val="0"/>
          <w:sz w:val="32"/>
        </w:rPr>
        <w:t>占本年支出合计的99.46%。</w:t>
      </w:r>
      <w:r>
        <w:rPr>
          <w:rFonts w:ascii="仿宋_GB2312" w:hAnsi="仿宋_GB2312" w:eastAsia="仿宋_GB2312"/>
          <w:b/>
          <w:sz w:val="32"/>
        </w:rPr>
        <w:t>与上年相比，</w:t>
      </w:r>
      <w:r>
        <w:rPr>
          <w:rFonts w:ascii="仿宋_GB2312" w:hAnsi="仿宋_GB2312" w:eastAsia="仿宋_GB2312"/>
          <w:b w:val="0"/>
          <w:sz w:val="32"/>
        </w:rPr>
        <w:t>增加14.11万元，增长8.36%，主要原因是：本年在职人员增加，人员工资调增，社保、公积金基数调增，相关支出增加。</w:t>
      </w:r>
      <w:r>
        <w:rPr>
          <w:rFonts w:ascii="仿宋_GB2312" w:hAnsi="仿宋_GB2312" w:eastAsia="仿宋_GB2312"/>
          <w:b/>
          <w:sz w:val="32"/>
        </w:rPr>
        <w:t>与年初预算相比,</w:t>
      </w:r>
      <w:r>
        <w:rPr>
          <w:rFonts w:ascii="仿宋_GB2312" w:hAnsi="仿宋_GB2312" w:eastAsia="仿宋_GB2312"/>
          <w:b w:val="0"/>
          <w:sz w:val="32"/>
        </w:rPr>
        <w:t>年初预算数119.51万元，决算数182.91万元，预决算差异率53.05%，主要原因是：年中追加人员工资、社保、公积金基数调增部分资金，导致预决算存在差异。</w:t>
      </w:r>
    </w:p>
    <w:p w14:paraId="486E0905">
      <w:pPr>
        <w:spacing w:line="640" w:lineRule="exact"/>
        <w:ind w:firstLine="640"/>
        <w:jc w:val="both"/>
        <w:outlineLvl w:val="3"/>
      </w:pPr>
      <w:r>
        <w:rPr>
          <w:rFonts w:ascii="楷体_GB2312" w:hAnsi="楷体_GB2312" w:eastAsia="楷体_GB2312"/>
          <w:b/>
          <w:sz w:val="32"/>
        </w:rPr>
        <w:t>（二）一般公共预算财政拨款支出决算结构情况</w:t>
      </w:r>
    </w:p>
    <w:p w14:paraId="2547D297">
      <w:pPr>
        <w:spacing w:line="580" w:lineRule="exact"/>
        <w:ind w:firstLine="640"/>
        <w:jc w:val="both"/>
      </w:pPr>
      <w:r>
        <w:rPr>
          <w:rFonts w:ascii="仿宋_GB2312" w:hAnsi="仿宋_GB2312" w:eastAsia="仿宋_GB2312"/>
          <w:b w:val="0"/>
          <w:sz w:val="32"/>
        </w:rPr>
        <w:t>1.一般公共服务支出(类)165.10万元,占90.26%。</w:t>
      </w:r>
    </w:p>
    <w:p w14:paraId="1FD0FBFB">
      <w:pPr>
        <w:spacing w:line="580" w:lineRule="exact"/>
        <w:ind w:firstLine="640"/>
        <w:jc w:val="both"/>
      </w:pPr>
      <w:r>
        <w:rPr>
          <w:rFonts w:ascii="仿宋_GB2312" w:hAnsi="仿宋_GB2312" w:eastAsia="仿宋_GB2312"/>
          <w:b w:val="0"/>
          <w:sz w:val="32"/>
        </w:rPr>
        <w:t>2.社会保障和就业支出(类)17.81万元,占9.74%。</w:t>
      </w:r>
    </w:p>
    <w:p w14:paraId="7FE8F25B">
      <w:pPr>
        <w:spacing w:line="640" w:lineRule="exact"/>
        <w:ind w:firstLine="640"/>
        <w:jc w:val="both"/>
        <w:outlineLvl w:val="3"/>
      </w:pPr>
      <w:r>
        <w:rPr>
          <w:rFonts w:ascii="楷体_GB2312" w:hAnsi="楷体_GB2312" w:eastAsia="楷体_GB2312"/>
          <w:b/>
          <w:sz w:val="32"/>
        </w:rPr>
        <w:t>（三）一般公共预算财政拨款支出决算具体情况</w:t>
      </w:r>
    </w:p>
    <w:p w14:paraId="4EA47D64">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1.一般公共服务支出(类)政府办公厅（室）及相关机构事务(款)行政运行(项):支出决算数为0.29万元，比上年决算增加0.29万元，增长100.00%,主要原因是：本年新增其他商品和福利支出，导致经费较上年增加。</w:t>
      </w:r>
    </w:p>
    <w:p w14:paraId="5634A91D">
      <w:pPr>
        <w:spacing w:line="580" w:lineRule="exact"/>
        <w:ind w:firstLine="640"/>
        <w:jc w:val="both"/>
      </w:pPr>
      <w:r>
        <w:rPr>
          <w:rFonts w:ascii="仿宋_GB2312" w:hAnsi="仿宋_GB2312" w:eastAsia="仿宋_GB2312"/>
          <w:b w:val="0"/>
          <w:sz w:val="32"/>
        </w:rPr>
        <w:t>2.一般公共服务支出(类)政府办公厅（室）及相关机构事务(款)事业运行(项):支出决算数为164.82万元，比上年决算增加10.69万元，增长6.94%,主要原因是：本年新增在职人员，人员经费增加，导致经费较上年有所增加。</w:t>
      </w:r>
    </w:p>
    <w:p w14:paraId="76D6CC36">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3.社会保障和就业支出(类)行政事业单位养老支出(款)行政单位离退休(项):支出决算数为3.04万元，比上年决算增加0.51万元，增长20.16%,主要原因是：本年增加行政单位退休人员基础绩效奖，退休费支出增加。</w:t>
      </w:r>
    </w:p>
    <w:p w14:paraId="2404C2F8">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4.社会保障和就业支出(类)行政事业单位养老支出(款)事业单位离退休(项):支出决算数为1.60万元，比上年决算增加0.30万元，增长23.08%,主要原因是：本年增加事业单位退休人员基础绩效奖，退休费支出增加。</w:t>
      </w:r>
    </w:p>
    <w:p w14:paraId="78111565">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13.16万元，比上年决算增加2.33万元，增长21.51%,主要原因是：本年人员工资基数调增，养老缴费基数上涨，相应支出增加。</w:t>
      </w:r>
    </w:p>
    <w:p w14:paraId="7987294E">
      <w:pPr>
        <w:spacing w:line="640" w:lineRule="exact"/>
        <w:ind w:firstLine="640"/>
        <w:jc w:val="both"/>
        <w:outlineLvl w:val="2"/>
      </w:pPr>
      <w:r>
        <w:rPr>
          <w:rFonts w:ascii="黑体" w:hAnsi="黑体" w:eastAsia="黑体"/>
          <w:sz w:val="32"/>
        </w:rPr>
        <w:t>六、一般公共预算财政拨款基本支出决算情况说明</w:t>
      </w:r>
    </w:p>
    <w:p w14:paraId="53701A34">
      <w:pPr>
        <w:spacing w:line="580" w:lineRule="exact"/>
        <w:ind w:firstLine="640"/>
        <w:jc w:val="both"/>
      </w:pPr>
      <w:r>
        <w:rPr>
          <w:rFonts w:ascii="仿宋_GB2312" w:hAnsi="仿宋_GB2312" w:eastAsia="仿宋_GB2312"/>
          <w:b w:val="0"/>
          <w:sz w:val="32"/>
        </w:rPr>
        <w:t>2024年度一般公共预算财政拨款基本支出182.91万元，其中：</w:t>
      </w:r>
      <w:r>
        <w:rPr>
          <w:rFonts w:ascii="仿宋_GB2312" w:hAnsi="仿宋_GB2312" w:eastAsia="仿宋_GB2312"/>
          <w:b/>
          <w:sz w:val="32"/>
        </w:rPr>
        <w:t>人员经费131.24万元，</w:t>
      </w:r>
      <w:r>
        <w:rPr>
          <w:rFonts w:ascii="仿宋_GB2312" w:hAnsi="仿宋_GB2312" w:eastAsia="仿宋_GB2312"/>
          <w:b w:val="0"/>
          <w:sz w:val="32"/>
        </w:rPr>
        <w:t>包括：基本工资、津贴补贴、奖金、机关事业单位基本养老保险缴费、职工基本医疗保险缴费、其他社会保障缴费、住房公积金、其他工资福利支出、退休费。</w:t>
      </w:r>
    </w:p>
    <w:p w14:paraId="3BE8F266">
      <w:pPr>
        <w:spacing w:line="580" w:lineRule="exact"/>
        <w:ind w:firstLine="640"/>
        <w:jc w:val="both"/>
      </w:pPr>
      <w:r>
        <w:rPr>
          <w:rFonts w:ascii="仿宋_GB2312" w:hAnsi="仿宋_GB2312" w:eastAsia="仿宋_GB2312"/>
          <w:b/>
          <w:sz w:val="32"/>
        </w:rPr>
        <w:t>公用经费51.67万元，</w:t>
      </w:r>
      <w:r>
        <w:rPr>
          <w:rFonts w:ascii="仿宋_GB2312" w:hAnsi="仿宋_GB2312" w:eastAsia="仿宋_GB2312"/>
          <w:b w:val="0"/>
          <w:sz w:val="32"/>
        </w:rPr>
        <w:t>包括：办公费、工会经费、福利费、公务用车运行维护费、其他商品和服务支出。</w:t>
      </w:r>
    </w:p>
    <w:p w14:paraId="4CF78BDF">
      <w:pPr>
        <w:spacing w:line="640" w:lineRule="exact"/>
        <w:ind w:firstLine="640"/>
        <w:jc w:val="both"/>
        <w:outlineLvl w:val="2"/>
      </w:pPr>
      <w:r>
        <w:rPr>
          <w:rFonts w:ascii="黑体" w:hAnsi="黑体" w:eastAsia="黑体"/>
          <w:sz w:val="32"/>
        </w:rPr>
        <w:t>七、政府性基金预算财政拨款收入支出决算情况说明</w:t>
      </w:r>
    </w:p>
    <w:p w14:paraId="0B70481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AAD74C8">
      <w:pPr>
        <w:spacing w:line="640" w:lineRule="exact"/>
        <w:ind w:firstLine="640"/>
        <w:jc w:val="both"/>
        <w:outlineLvl w:val="2"/>
      </w:pPr>
      <w:r>
        <w:rPr>
          <w:rFonts w:ascii="黑体" w:hAnsi="黑体" w:eastAsia="黑体"/>
          <w:sz w:val="32"/>
        </w:rPr>
        <w:t>八、国有资本经营预算财政拨款收入支出决算情况说明</w:t>
      </w:r>
    </w:p>
    <w:p w14:paraId="322032E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3859896">
      <w:pPr>
        <w:spacing w:line="640" w:lineRule="exact"/>
        <w:ind w:firstLine="640"/>
        <w:jc w:val="both"/>
        <w:outlineLvl w:val="2"/>
      </w:pPr>
      <w:r>
        <w:rPr>
          <w:rFonts w:ascii="黑体" w:hAnsi="黑体" w:eastAsia="黑体"/>
          <w:sz w:val="32"/>
        </w:rPr>
        <w:t>九、财政拨款“三公”经费支出决算情况说明</w:t>
      </w:r>
    </w:p>
    <w:p w14:paraId="01AFDE69">
      <w:pPr>
        <w:spacing w:line="580" w:lineRule="exact"/>
        <w:ind w:firstLine="640"/>
        <w:jc w:val="both"/>
      </w:pPr>
      <w:r>
        <w:rPr>
          <w:rFonts w:ascii="仿宋_GB2312" w:hAnsi="仿宋_GB2312" w:eastAsia="仿宋_GB2312"/>
          <w:b/>
          <w:sz w:val="32"/>
        </w:rPr>
        <w:t>2024年度财政拨款“三公”经费支出0.07万元，</w:t>
      </w:r>
      <w:r>
        <w:rPr>
          <w:rFonts w:ascii="仿宋_GB2312" w:hAnsi="仿宋_GB2312" w:eastAsia="仿宋_GB2312"/>
          <w:b w:val="0"/>
          <w:sz w:val="32"/>
        </w:rPr>
        <w:t>比上年增加0.07万元，增长100.00%，主要原因是：本年新增公务用车1辆，导致财政拨款“三公”经费较上年增加。其中：因公出国（境）费支出0.00万元，占0.00%，比上年增加0.00万元，增长0.00%，主要原因是：2023年与2024年均未安排因公出国（境）费支出。公务用车购置及运行维护费支出0.07万元，占100.00%，比上年增加0.07万元，增长100.00%，主要原因是：本年新增公务用车1辆，导致公务用车运行维护费较上年增加。公务接待费支出0.00万元，占0.00%，比上年增加0.00万元，增长0.00%，主要原因是：2023年与2024年均未安排公务接待费支出。</w:t>
      </w:r>
    </w:p>
    <w:p w14:paraId="287DA99D">
      <w:pPr>
        <w:spacing w:line="580" w:lineRule="exact"/>
        <w:ind w:firstLine="640"/>
        <w:jc w:val="both"/>
      </w:pPr>
      <w:r>
        <w:rPr>
          <w:rFonts w:ascii="仿宋_GB2312" w:hAnsi="仿宋_GB2312" w:eastAsia="仿宋_GB2312"/>
          <w:b/>
          <w:sz w:val="32"/>
        </w:rPr>
        <w:t>具体情况如下：</w:t>
      </w:r>
    </w:p>
    <w:p w14:paraId="227FFE2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F2BCC97">
      <w:pPr>
        <w:spacing w:line="580" w:lineRule="exact"/>
        <w:ind w:firstLine="640"/>
        <w:jc w:val="both"/>
      </w:pPr>
      <w:r>
        <w:rPr>
          <w:rFonts w:ascii="仿宋_GB2312" w:hAnsi="仿宋_GB2312" w:eastAsia="仿宋_GB2312"/>
          <w:b w:val="0"/>
          <w:sz w:val="32"/>
        </w:rPr>
        <w:t>公务用车购置及运行维护费0.07万元，其中：公务用车购置费0.00万元，公务用车运行维护费0.07万元。公务用车运行维护费开支内容包括车辆加油费。公务用车购置数0辆，公务用车保有量1辆。国有资产占用情况中固定资产车辆2辆，与公务用车保有量差异原因是：差异车辆为一般业务用车，预算未安排该车辆公务用车运行维护费。</w:t>
      </w:r>
    </w:p>
    <w:p w14:paraId="3E6CC78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66E90D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0.07万元，决算数0.07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0.07万元，决算数0.07万元，预决算差异率0.00%，主要原因是：严格按照预算执行，预决算无差异。公务接待费全年预算数0.00万元，决算数0.00万元，预决算差异率0.00%，主要原因是：本单位无公务接待费。</w:t>
      </w:r>
    </w:p>
    <w:p w14:paraId="1765C8A6">
      <w:pPr>
        <w:spacing w:line="640" w:lineRule="exact"/>
        <w:ind w:firstLine="640"/>
        <w:jc w:val="both"/>
        <w:outlineLvl w:val="2"/>
      </w:pPr>
      <w:r>
        <w:rPr>
          <w:rFonts w:ascii="黑体" w:hAnsi="黑体" w:eastAsia="黑体"/>
          <w:sz w:val="32"/>
        </w:rPr>
        <w:t>十、其他重要事项的情况说明</w:t>
      </w:r>
    </w:p>
    <w:p w14:paraId="582906BA">
      <w:pPr>
        <w:spacing w:line="640" w:lineRule="exact"/>
        <w:ind w:firstLine="640"/>
        <w:jc w:val="both"/>
        <w:outlineLvl w:val="3"/>
      </w:pPr>
      <w:r>
        <w:rPr>
          <w:rFonts w:ascii="楷体_GB2312" w:hAnsi="楷体_GB2312" w:eastAsia="楷体_GB2312"/>
          <w:b/>
          <w:sz w:val="32"/>
        </w:rPr>
        <w:t>（一）机关运行经费及公用经费支出情况</w:t>
      </w:r>
    </w:p>
    <w:p w14:paraId="1E68AE1E">
      <w:pPr>
        <w:spacing w:line="580" w:lineRule="exact"/>
        <w:ind w:firstLine="640"/>
        <w:jc w:val="both"/>
      </w:pPr>
      <w:r>
        <w:rPr>
          <w:rFonts w:ascii="仿宋_GB2312" w:hAnsi="仿宋_GB2312" w:eastAsia="仿宋_GB2312"/>
          <w:b w:val="0"/>
          <w:sz w:val="32"/>
        </w:rPr>
        <w:t>2024年度克孜勒苏柯尔克孜自治州边贸公司联合驻吉尔吉斯共和国代表处（事业单位）公用经费支出51.67万元，比上年减少3.82万元，下降6.88%，主要原因是：严格控制公用经费，合理节约办公用品，减少不必要开支。</w:t>
      </w:r>
    </w:p>
    <w:p w14:paraId="07F906A4">
      <w:pPr>
        <w:spacing w:line="640" w:lineRule="exact"/>
        <w:ind w:firstLine="640"/>
        <w:jc w:val="both"/>
        <w:outlineLvl w:val="3"/>
      </w:pPr>
      <w:r>
        <w:rPr>
          <w:rFonts w:ascii="楷体_GB2312" w:hAnsi="楷体_GB2312" w:eastAsia="楷体_GB2312"/>
          <w:b/>
          <w:sz w:val="32"/>
        </w:rPr>
        <w:t>（二）政府采购情况</w:t>
      </w:r>
    </w:p>
    <w:p w14:paraId="137E5F54">
      <w:pPr>
        <w:spacing w:line="580" w:lineRule="exact"/>
        <w:ind w:firstLine="640"/>
        <w:jc w:val="both"/>
      </w:pPr>
      <w:r>
        <w:rPr>
          <w:rFonts w:ascii="仿宋_GB2312" w:hAnsi="仿宋_GB2312" w:eastAsia="仿宋_GB2312"/>
          <w:b w:val="0"/>
          <w:sz w:val="32"/>
        </w:rPr>
        <w:t>2024年度政府采购支出总额0.29万元，其中：政府采购货物支出0.29万元、政府采购工程支出0.00万元、政府采购服务支出0.00万元。</w:t>
      </w:r>
    </w:p>
    <w:p w14:paraId="6BDC3ABC">
      <w:pPr>
        <w:spacing w:line="580" w:lineRule="exact"/>
        <w:ind w:firstLine="640"/>
        <w:jc w:val="both"/>
      </w:pPr>
      <w:r>
        <w:rPr>
          <w:rFonts w:ascii="仿宋_GB2312" w:hAnsi="仿宋_GB2312" w:eastAsia="仿宋_GB2312"/>
          <w:b w:val="0"/>
          <w:sz w:val="32"/>
        </w:rPr>
        <w:t>授予中小企业合同金额0.29万元，占政府采购支出总额的100.00%，其中：授予小微企业合同金额0.29万元，占政府采购支出总额的100.00%。</w:t>
      </w:r>
    </w:p>
    <w:p w14:paraId="23DEB771">
      <w:pPr>
        <w:spacing w:line="640" w:lineRule="exact"/>
        <w:ind w:firstLine="640"/>
        <w:jc w:val="both"/>
        <w:outlineLvl w:val="3"/>
      </w:pPr>
      <w:r>
        <w:rPr>
          <w:rFonts w:ascii="楷体_GB2312" w:hAnsi="楷体_GB2312" w:eastAsia="楷体_GB2312"/>
          <w:b/>
          <w:sz w:val="32"/>
        </w:rPr>
        <w:t>（三）国有资产占用情况说明</w:t>
      </w:r>
    </w:p>
    <w:p w14:paraId="1B830547">
      <w:pPr>
        <w:spacing w:line="580" w:lineRule="exact"/>
        <w:ind w:firstLine="640"/>
        <w:jc w:val="both"/>
      </w:pPr>
      <w:r>
        <w:rPr>
          <w:rFonts w:ascii="仿宋_GB2312" w:hAnsi="仿宋_GB2312" w:eastAsia="仿宋_GB2312"/>
          <w:b w:val="0"/>
          <w:sz w:val="32"/>
        </w:rPr>
        <w:t>截至2024年12月31日，房屋1,000.00平方米，价值31.89万元。车辆2辆，价值36.55万元，其中：副部（省）级及以上领导用车0辆、主要负责人用车0辆、机要通信用车0辆、应急保障用车0辆、执法执勤用车0辆、特种专业技术用车0辆、离退休干部服务用车0辆、其他用车2辆，其他用车主要是：单位公务用车。单价100万元（含）以上设备（不含车辆）0台（套）。</w:t>
      </w:r>
    </w:p>
    <w:p w14:paraId="0C708366">
      <w:pPr>
        <w:spacing w:line="640" w:lineRule="exact"/>
        <w:ind w:firstLine="640"/>
        <w:jc w:val="both"/>
        <w:outlineLvl w:val="2"/>
      </w:pPr>
      <w:r>
        <w:rPr>
          <w:rFonts w:ascii="黑体" w:hAnsi="黑体" w:eastAsia="黑体"/>
          <w:sz w:val="32"/>
        </w:rPr>
        <w:t>十一、预算绩效的情况说明</w:t>
      </w:r>
    </w:p>
    <w:p w14:paraId="3F54D4A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183.91万元，实际执行总额183.91万元；预算绩效评价项目0个，全年预算数0.00万元，全年执行数0.00万元。预算绩效管理取得的成效：本单位无绩效自评项目。发现的问题及原因：本单位无绩效自评项目。下一步改进措施：本单位无绩效自评项目。具体附整体支出绩效自评表。</w:t>
      </w:r>
    </w:p>
    <w:p w14:paraId="4CF0ECD3">
      <w:r>
        <w:br w:type="page"/>
      </w:r>
    </w:p>
    <w:tbl>
      <w:tblPr>
        <w:tblStyle w:val="9"/>
        <w:tblW w:w="0" w:type="auto"/>
        <w:tblInd w:w="0" w:type="dxa"/>
        <w:tblLayout w:type="autofit"/>
        <w:tblCellMar>
          <w:top w:w="0" w:type="dxa"/>
          <w:left w:w="108" w:type="dxa"/>
          <w:bottom w:w="0" w:type="dxa"/>
          <w:right w:w="108" w:type="dxa"/>
        </w:tblCellMar>
      </w:tblPr>
      <w:tblGrid>
        <w:gridCol w:w="1105"/>
        <w:gridCol w:w="835"/>
        <w:gridCol w:w="1375"/>
        <w:gridCol w:w="1105"/>
        <w:gridCol w:w="1105"/>
        <w:gridCol w:w="1105"/>
        <w:gridCol w:w="1105"/>
        <w:gridCol w:w="1105"/>
      </w:tblGrid>
      <w:tr w14:paraId="0A8F1CF0">
        <w:tblPrEx>
          <w:tblCellMar>
            <w:top w:w="0" w:type="dxa"/>
            <w:left w:w="108" w:type="dxa"/>
            <w:bottom w:w="0" w:type="dxa"/>
            <w:right w:w="108" w:type="dxa"/>
          </w:tblCellMar>
        </w:tblPrEx>
        <w:tc>
          <w:tcPr>
            <w:tcW w:w="8840" w:type="dxa"/>
            <w:gridSpan w:val="8"/>
            <w:vAlign w:val="center"/>
          </w:tcPr>
          <w:p w14:paraId="0CE2DCB2">
            <w:pPr>
              <w:jc w:val="center"/>
            </w:pPr>
            <w:r>
              <w:rPr>
                <w:rFonts w:ascii="宋体" w:hAnsi="宋体" w:eastAsia="宋体"/>
                <w:sz w:val="24"/>
              </w:rPr>
              <w:t>单位整体支出绩效自评表</w:t>
            </w:r>
          </w:p>
        </w:tc>
      </w:tr>
      <w:tr w14:paraId="500BBFA5">
        <w:tblPrEx>
          <w:tblCellMar>
            <w:top w:w="0" w:type="dxa"/>
            <w:left w:w="108" w:type="dxa"/>
            <w:bottom w:w="0" w:type="dxa"/>
            <w:right w:w="108" w:type="dxa"/>
          </w:tblCellMar>
        </w:tblPrEx>
        <w:tc>
          <w:tcPr>
            <w:tcW w:w="8840" w:type="dxa"/>
            <w:gridSpan w:val="8"/>
            <w:vAlign w:val="center"/>
          </w:tcPr>
          <w:p w14:paraId="5E19A82E">
            <w:pPr>
              <w:jc w:val="center"/>
            </w:pPr>
            <w:r>
              <w:rPr>
                <w:rFonts w:ascii="宋体" w:hAnsi="宋体" w:eastAsia="宋体"/>
                <w:sz w:val="24"/>
              </w:rPr>
              <w:t>（2024年度）</w:t>
            </w:r>
          </w:p>
        </w:tc>
      </w:tr>
      <w:tr w14:paraId="572C061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4CB39">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612A70">
            <w:pPr>
              <w:jc w:val="center"/>
            </w:pPr>
            <w:r>
              <w:rPr>
                <w:rFonts w:ascii="宋体" w:hAnsi="宋体" w:eastAsia="宋体"/>
                <w:sz w:val="16"/>
              </w:rPr>
              <w:t>克孜勒苏柯尔克孜自治州边贸公司联合驻吉尔吉斯共和国代表处</w:t>
            </w:r>
          </w:p>
        </w:tc>
      </w:tr>
      <w:tr w14:paraId="0354469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1A9019">
            <w:pPr>
              <w:jc w:val="center"/>
            </w:pPr>
            <w:r>
              <w:rPr>
                <w:rFonts w:ascii="宋体" w:hAnsi="宋体" w:eastAsia="宋体"/>
                <w:sz w:val="16"/>
              </w:rPr>
              <w:t>年度预算（万元）</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124A7274">
            <w:pPr>
              <w:jc w:val="center"/>
            </w:pPr>
            <w:r>
              <w:rPr>
                <w:rFonts w:ascii="宋体" w:hAnsi="宋体" w:eastAsia="宋体"/>
                <w:sz w:val="16"/>
              </w:rPr>
              <w:t>资金来源</w:t>
            </w:r>
          </w:p>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15AA318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D721A9">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C52313">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92894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3B71AE">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5EBA5C">
            <w:pPr>
              <w:jc w:val="center"/>
            </w:pPr>
            <w:r>
              <w:rPr>
                <w:rFonts w:ascii="宋体" w:hAnsi="宋体" w:eastAsia="宋体"/>
                <w:sz w:val="16"/>
              </w:rPr>
              <w:t>得分</w:t>
            </w:r>
          </w:p>
        </w:tc>
      </w:tr>
      <w:tr w14:paraId="0C70F92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5B1FFE"/>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43DBE66E">
            <w:pPr>
              <w:jc w:val="center"/>
            </w:pPr>
            <w:r>
              <w:rPr>
                <w:rFonts w:ascii="宋体" w:hAnsi="宋体" w:eastAsia="宋体"/>
                <w:sz w:val="16"/>
              </w:rPr>
              <w:t>年度总资金：</w:t>
            </w:r>
          </w:p>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0E889372">
            <w:pPr>
              <w:jc w:val="center"/>
            </w:pPr>
            <w:r>
              <w:rPr>
                <w:rFonts w:ascii="宋体" w:hAnsi="宋体" w:eastAsia="宋体"/>
                <w:sz w:val="16"/>
              </w:rPr>
              <w:t>227.83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BEE0A4">
            <w:pPr>
              <w:jc w:val="center"/>
            </w:pPr>
            <w:r>
              <w:rPr>
                <w:rFonts w:ascii="宋体" w:hAnsi="宋体" w:eastAsia="宋体"/>
                <w:sz w:val="16"/>
              </w:rPr>
              <w:t>183.91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B423B5">
            <w:pPr>
              <w:jc w:val="center"/>
            </w:pPr>
            <w:r>
              <w:rPr>
                <w:rFonts w:ascii="宋体" w:hAnsi="宋体" w:eastAsia="宋体"/>
                <w:sz w:val="16"/>
              </w:rPr>
              <w:t>183.91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5B198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CAC541">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A877FD">
            <w:pPr>
              <w:jc w:val="center"/>
              <w:rPr>
                <w:rFonts w:hint="default" w:eastAsia="宋体"/>
                <w:lang w:val="en-US" w:eastAsia="zh-CN"/>
              </w:rPr>
            </w:pPr>
            <w:r>
              <w:rPr>
                <w:rFonts w:ascii="宋体" w:hAnsi="宋体" w:eastAsia="宋体"/>
                <w:sz w:val="16"/>
              </w:rPr>
              <w:t>10</w:t>
            </w:r>
            <w:r>
              <w:rPr>
                <w:rFonts w:hint="eastAsia" w:ascii="宋体" w:hAnsi="宋体"/>
                <w:sz w:val="16"/>
                <w:lang w:val="en-US" w:eastAsia="zh-CN"/>
              </w:rPr>
              <w:t>.00分</w:t>
            </w:r>
            <w:bookmarkStart w:id="0" w:name="_GoBack"/>
            <w:bookmarkEnd w:id="0"/>
          </w:p>
        </w:tc>
      </w:tr>
      <w:tr w14:paraId="4C959E0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51556C0"/>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3F932A03">
            <w:pPr>
              <w:jc w:val="center"/>
            </w:pPr>
            <w:r>
              <w:rPr>
                <w:rFonts w:ascii="宋体" w:hAnsi="宋体" w:eastAsia="宋体"/>
                <w:sz w:val="16"/>
              </w:rPr>
              <w:t>上级资金：</w:t>
            </w:r>
          </w:p>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12A70F8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FC4A9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589BF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1ADF5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1928E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7BF96B">
            <w:pPr>
              <w:jc w:val="center"/>
            </w:pPr>
            <w:r>
              <w:rPr>
                <w:rFonts w:ascii="宋体" w:hAnsi="宋体" w:eastAsia="宋体"/>
                <w:sz w:val="16"/>
              </w:rPr>
              <w:t>—</w:t>
            </w:r>
          </w:p>
        </w:tc>
      </w:tr>
      <w:tr w14:paraId="4D45F41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06B2FE"/>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5A3B2774">
            <w:pPr>
              <w:jc w:val="center"/>
            </w:pPr>
            <w:r>
              <w:rPr>
                <w:rFonts w:ascii="宋体" w:hAnsi="宋体" w:eastAsia="宋体"/>
                <w:sz w:val="16"/>
              </w:rPr>
              <w:t>本级资金：</w:t>
            </w:r>
          </w:p>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74414645">
            <w:pPr>
              <w:jc w:val="center"/>
            </w:pPr>
            <w:r>
              <w:rPr>
                <w:rFonts w:ascii="宋体" w:hAnsi="宋体" w:eastAsia="宋体"/>
                <w:sz w:val="16"/>
              </w:rPr>
              <w:t>119.51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C59C97">
            <w:pPr>
              <w:jc w:val="center"/>
            </w:pPr>
            <w:r>
              <w:rPr>
                <w:rFonts w:ascii="宋体" w:hAnsi="宋体" w:eastAsia="宋体"/>
                <w:sz w:val="16"/>
              </w:rPr>
              <w:t>183.91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C094E8">
            <w:pPr>
              <w:jc w:val="center"/>
            </w:pPr>
            <w:r>
              <w:rPr>
                <w:rFonts w:ascii="宋体" w:hAnsi="宋体" w:eastAsia="宋体"/>
                <w:sz w:val="16"/>
              </w:rPr>
              <w:t>183.91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CF47E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AD20D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A9289C">
            <w:pPr>
              <w:jc w:val="center"/>
            </w:pPr>
            <w:r>
              <w:rPr>
                <w:rFonts w:ascii="宋体" w:hAnsi="宋体" w:eastAsia="宋体"/>
                <w:sz w:val="16"/>
              </w:rPr>
              <w:t>—</w:t>
            </w:r>
          </w:p>
        </w:tc>
      </w:tr>
      <w:tr w14:paraId="42BBB32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ECA707"/>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691D7111">
            <w:pPr>
              <w:jc w:val="center"/>
            </w:pPr>
            <w:r>
              <w:rPr>
                <w:rFonts w:ascii="宋体" w:hAnsi="宋体" w:eastAsia="宋体"/>
                <w:sz w:val="16"/>
              </w:rPr>
              <w:t>其他资金：</w:t>
            </w:r>
          </w:p>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748016C2">
            <w:pPr>
              <w:jc w:val="center"/>
            </w:pPr>
            <w:r>
              <w:rPr>
                <w:rFonts w:ascii="宋体" w:hAnsi="宋体" w:eastAsia="宋体"/>
                <w:sz w:val="16"/>
              </w:rPr>
              <w:t>108.32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82BF3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A6A97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18507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6ADE2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4F8A50">
            <w:pPr>
              <w:jc w:val="center"/>
            </w:pPr>
            <w:r>
              <w:rPr>
                <w:rFonts w:ascii="宋体" w:hAnsi="宋体" w:eastAsia="宋体"/>
                <w:sz w:val="16"/>
              </w:rPr>
              <w:t>—</w:t>
            </w:r>
          </w:p>
        </w:tc>
      </w:tr>
      <w:tr w14:paraId="42C63BC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1185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65292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DF1ADC">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068B131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0579B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419FB1">
            <w:pPr>
              <w:jc w:val="both"/>
            </w:pPr>
            <w:r>
              <w:rPr>
                <w:rFonts w:ascii="宋体" w:hAnsi="宋体" w:eastAsia="宋体"/>
                <w:sz w:val="16"/>
              </w:rPr>
              <w:t>1.主动做好在吉企业服务工作，加强沟通联系，提供“保姆式”“全程式”服务，切实为投资者排忧解难，增强我州企业赴吉开展投资信心，协调解决在吉开展对外投资项目引进和建设过程中存在的困难和问题，努力为投资企业营造良好服务环境，确保项目落地建成投产。</w:t>
            </w:r>
            <w:r>
              <w:rPr>
                <w:rFonts w:ascii="宋体" w:hAnsi="宋体" w:eastAsia="宋体"/>
                <w:sz w:val="16"/>
              </w:rPr>
              <w:br w:type="textWrapping"/>
            </w:r>
            <w:r>
              <w:rPr>
                <w:rFonts w:ascii="宋体" w:hAnsi="宋体" w:eastAsia="宋体"/>
                <w:sz w:val="16"/>
              </w:rPr>
              <w:t>2.持续强化党的理论知识学习，</w:t>
            </w:r>
            <w:r>
              <w:rPr>
                <w:rFonts w:hint="eastAsia" w:ascii="宋体" w:hAnsi="宋体"/>
                <w:sz w:val="16"/>
                <w:lang w:eastAsia="zh-CN"/>
              </w:rPr>
              <w:t>坚持党的全面领导不动摇</w:t>
            </w:r>
            <w:r>
              <w:rPr>
                <w:rFonts w:ascii="宋体" w:hAnsi="宋体" w:eastAsia="宋体"/>
                <w:sz w:val="16"/>
              </w:rPr>
              <w:t>，持续加强思想政治建设，常态化开展党纪法规</w:t>
            </w:r>
            <w:r>
              <w:rPr>
                <w:rFonts w:hint="eastAsia" w:ascii="宋体" w:hAnsi="宋体"/>
                <w:sz w:val="16"/>
                <w:lang w:eastAsia="zh-CN"/>
              </w:rPr>
              <w:t>主题</w:t>
            </w:r>
            <w:r>
              <w:rPr>
                <w:rFonts w:ascii="宋体" w:hAnsi="宋体" w:eastAsia="宋体"/>
                <w:sz w:val="16"/>
              </w:rPr>
              <w:t>教育，深入开展党建工作和党风廉政建设，认真落实“三会一课”制度，不断规范机关党支部建设。</w:t>
            </w:r>
            <w:r>
              <w:rPr>
                <w:rFonts w:ascii="宋体" w:hAnsi="宋体" w:eastAsia="宋体"/>
                <w:sz w:val="16"/>
              </w:rPr>
              <w:br w:type="textWrapping"/>
            </w:r>
            <w:r>
              <w:rPr>
                <w:rFonts w:ascii="宋体" w:hAnsi="宋体" w:eastAsia="宋体"/>
                <w:sz w:val="16"/>
              </w:rPr>
              <w:t>3.积极配合开展吉尔吉斯斯坦商品展，充分发挥驻外优势，积极配合州贸促会、商务局开展吉尔吉斯斯坦商品展参展筹备等工作，利用展会平台助力我州外贸企业开拓吉尔吉斯斯坦海外市场。</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7375F0">
            <w:pPr>
              <w:jc w:val="both"/>
            </w:pPr>
            <w:r>
              <w:rPr>
                <w:rFonts w:ascii="宋体" w:hAnsi="宋体" w:eastAsia="宋体"/>
                <w:sz w:val="16"/>
              </w:rPr>
              <w:t>截至2024年12月31，　2024年克州驻吉代表处协助参展会数1次，依托驻外工作组的优势，协助州商务局做好克州代表团赴吉尔吉斯斯坦参加第八届伊塞克湖经济论坛暨第八届丝绸之路国家商品展有关工作；二是协助举办招商推介会4次，2024年发挥国内国外的优势，协助州商务局做好“共商合作、共谋发展招商推介暨第一批重大项目集中签约仪式”、“克州第十届玛纳斯国际文化旅游节招商推介暨项目签约仪式”招商推介工作等</w:t>
            </w:r>
            <w:r>
              <w:rPr>
                <w:rFonts w:hint="eastAsia" w:ascii="宋体" w:hAnsi="宋体"/>
                <w:sz w:val="16"/>
                <w:lang w:eastAsia="zh-CN"/>
              </w:rPr>
              <w:t>招</w:t>
            </w:r>
            <w:r>
              <w:rPr>
                <w:rFonts w:ascii="宋体" w:hAnsi="宋体" w:eastAsia="宋体"/>
                <w:sz w:val="16"/>
              </w:rPr>
              <w:t>商引资活动，对大美克州，商机无限进行了推介；三是配合服务外经贸企业10家。现2024年克州完成外贸进出口总额94.71亿元，创历史新高，总量居全疆第八位，同比增长81.6%，增速列全疆第二位，高于全区59.8%，其中出口89.32亿元，进口5.39亿元，同比增长68.2%；四是协助开展经贸交流合作会议1次。2024年依托第九届玛纳斯国际文化旅游节集聚人流的契机，积极配合州商务局开展了“招招招招商引资暨中亚客商投资贸易洽谈会”，同吉方有关人员就经贸交流合作交换了意见。通过以上工作的实施，保障了我单位8名职工的工资、福利及社保正常发放及缴纳，确保民生工作落实到位；保障我单位2辆公务用车的运行及维护，保障单位各项工作的正常运转，确保机构运转正常。</w:t>
            </w:r>
          </w:p>
        </w:tc>
      </w:tr>
      <w:tr w14:paraId="3540F62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1E770A">
            <w:pPr>
              <w:jc w:val="center"/>
            </w:pPr>
            <w:r>
              <w:rPr>
                <w:rFonts w:ascii="宋体" w:hAnsi="宋体" w:eastAsia="宋体"/>
                <w:sz w:val="16"/>
              </w:rPr>
              <w:t>一级指标</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2A9033AF">
            <w:pPr>
              <w:jc w:val="center"/>
            </w:pPr>
            <w:r>
              <w:rPr>
                <w:rFonts w:ascii="宋体" w:hAnsi="宋体" w:eastAsia="宋体"/>
                <w:sz w:val="16"/>
              </w:rPr>
              <w:t>二级指标</w:t>
            </w:r>
          </w:p>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40767723">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B1BB47">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346C8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A7E37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2F72CD">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57FC64">
            <w:pPr>
              <w:jc w:val="center"/>
            </w:pPr>
            <w:r>
              <w:rPr>
                <w:rFonts w:ascii="宋体" w:hAnsi="宋体" w:eastAsia="宋体"/>
                <w:sz w:val="16"/>
              </w:rPr>
              <w:t>得分</w:t>
            </w:r>
          </w:p>
        </w:tc>
      </w:tr>
      <w:tr w14:paraId="6E9AE54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93B87">
            <w:pPr>
              <w:jc w:val="center"/>
            </w:pPr>
            <w:r>
              <w:rPr>
                <w:rFonts w:ascii="宋体" w:hAnsi="宋体" w:eastAsia="宋体"/>
                <w:sz w:val="16"/>
              </w:rPr>
              <w:t>履职效能</w:t>
            </w:r>
          </w:p>
        </w:tc>
        <w:tc>
          <w:tcPr>
            <w:tcW w:w="83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D02C1">
            <w:pPr>
              <w:jc w:val="center"/>
            </w:pPr>
            <w:r>
              <w:rPr>
                <w:rFonts w:ascii="宋体" w:hAnsi="宋体" w:eastAsia="宋体"/>
                <w:sz w:val="16"/>
              </w:rPr>
              <w:t>数量指标</w:t>
            </w:r>
          </w:p>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17090DB4">
            <w:pPr>
              <w:jc w:val="center"/>
            </w:pPr>
            <w:r>
              <w:rPr>
                <w:rFonts w:ascii="宋体" w:hAnsi="宋体" w:eastAsia="宋体"/>
                <w:sz w:val="16"/>
              </w:rPr>
              <w:t>协助参加展会数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CB8607">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56934C">
            <w:pPr>
              <w:jc w:val="center"/>
            </w:pPr>
            <w:r>
              <w:rPr>
                <w:rFonts w:ascii="宋体" w:hAnsi="宋体" w:eastAsia="宋体"/>
                <w:sz w:val="16"/>
              </w:rPr>
              <w:t>会议纪要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40DDF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08105C">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07B05E">
            <w:pPr>
              <w:jc w:val="center"/>
            </w:pPr>
            <w:r>
              <w:rPr>
                <w:rFonts w:ascii="宋体" w:hAnsi="宋体" w:eastAsia="宋体"/>
                <w:sz w:val="16"/>
              </w:rPr>
              <w:t>20</w:t>
            </w:r>
          </w:p>
        </w:tc>
      </w:tr>
      <w:tr w14:paraId="6CDA374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1D7C05"/>
        </w:tc>
        <w:tc>
          <w:tcPr>
            <w:tcW w:w="835" w:type="dxa"/>
            <w:vMerge w:val="continue"/>
            <w:tcBorders>
              <w:top w:val="single" w:color="auto" w:sz="10" w:space="0"/>
              <w:left w:val="single" w:color="auto" w:sz="10" w:space="0"/>
              <w:bottom w:val="single" w:color="auto" w:sz="10" w:space="0"/>
              <w:right w:val="single" w:color="auto" w:sz="10" w:space="0"/>
              <w:insideV w:val="single" w:sz="10" w:space="0"/>
            </w:tcBorders>
          </w:tcPr>
          <w:p w14:paraId="09AA31C7"/>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40F9C222">
            <w:pPr>
              <w:jc w:val="center"/>
            </w:pPr>
            <w:r>
              <w:rPr>
                <w:rFonts w:ascii="宋体" w:hAnsi="宋体" w:eastAsia="宋体"/>
                <w:sz w:val="16"/>
              </w:rPr>
              <w:t>协助举办招商推介会数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D470DD">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7E6054">
            <w:pPr>
              <w:jc w:val="center"/>
            </w:pPr>
            <w:r>
              <w:rPr>
                <w:rFonts w:ascii="宋体" w:hAnsi="宋体" w:eastAsia="宋体"/>
                <w:sz w:val="16"/>
              </w:rPr>
              <w:t>会议纪要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3446BC">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F55620">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C88946">
            <w:pPr>
              <w:jc w:val="center"/>
            </w:pPr>
            <w:r>
              <w:rPr>
                <w:rFonts w:ascii="宋体" w:hAnsi="宋体" w:eastAsia="宋体"/>
                <w:sz w:val="16"/>
              </w:rPr>
              <w:t>25</w:t>
            </w:r>
          </w:p>
        </w:tc>
      </w:tr>
      <w:tr w14:paraId="6FB8B14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9E8028"/>
        </w:tc>
        <w:tc>
          <w:tcPr>
            <w:tcW w:w="835" w:type="dxa"/>
            <w:vMerge w:val="continue"/>
            <w:tcBorders>
              <w:top w:val="single" w:color="auto" w:sz="10" w:space="0"/>
              <w:left w:val="single" w:color="auto" w:sz="10" w:space="0"/>
              <w:bottom w:val="single" w:color="auto" w:sz="10" w:space="0"/>
              <w:right w:val="single" w:color="auto" w:sz="10" w:space="0"/>
              <w:insideV w:val="single" w:sz="10" w:space="0"/>
            </w:tcBorders>
          </w:tcPr>
          <w:p w14:paraId="6CF9F042"/>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0737A4F5">
            <w:pPr>
              <w:jc w:val="center"/>
            </w:pPr>
            <w:r>
              <w:rPr>
                <w:rFonts w:ascii="宋体" w:hAnsi="宋体" w:eastAsia="宋体"/>
                <w:sz w:val="16"/>
              </w:rPr>
              <w:t>配合服务外经贸企业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4B83F7">
            <w:pPr>
              <w:jc w:val="center"/>
            </w:pPr>
            <w:r>
              <w:rPr>
                <w:rFonts w:ascii="宋体" w:hAnsi="宋体" w:eastAsia="宋体"/>
                <w:sz w:val="16"/>
              </w:rPr>
              <w:t>&gt;=10家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417FAC">
            <w:pPr>
              <w:jc w:val="center"/>
            </w:pPr>
            <w:r>
              <w:rPr>
                <w:rFonts w:ascii="宋体" w:hAnsi="宋体" w:eastAsia="宋体"/>
                <w:sz w:val="16"/>
              </w:rPr>
              <w:t>会议纪要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EFF667">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55AE9E">
            <w:pPr>
              <w:jc w:val="center"/>
            </w:pPr>
            <w:r>
              <w:rPr>
                <w:rFonts w:ascii="宋体" w:hAnsi="宋体" w:eastAsia="宋体"/>
                <w:sz w:val="16"/>
              </w:rPr>
              <w:t>10家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E69573">
            <w:pPr>
              <w:jc w:val="center"/>
            </w:pPr>
            <w:r>
              <w:rPr>
                <w:rFonts w:ascii="宋体" w:hAnsi="宋体" w:eastAsia="宋体"/>
                <w:sz w:val="16"/>
              </w:rPr>
              <w:t>25</w:t>
            </w:r>
          </w:p>
        </w:tc>
      </w:tr>
      <w:tr w14:paraId="548936D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254991"/>
        </w:tc>
        <w:tc>
          <w:tcPr>
            <w:tcW w:w="835" w:type="dxa"/>
            <w:vMerge w:val="continue"/>
            <w:tcBorders>
              <w:top w:val="single" w:color="auto" w:sz="10" w:space="0"/>
              <w:left w:val="single" w:color="auto" w:sz="10" w:space="0"/>
              <w:bottom w:val="single" w:color="auto" w:sz="10" w:space="0"/>
              <w:right w:val="single" w:color="auto" w:sz="10" w:space="0"/>
              <w:insideV w:val="single" w:sz="10" w:space="0"/>
            </w:tcBorders>
          </w:tcPr>
          <w:p w14:paraId="5870513B"/>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74DA2AFC">
            <w:pPr>
              <w:jc w:val="center"/>
            </w:pPr>
            <w:r>
              <w:rPr>
                <w:rFonts w:ascii="宋体" w:hAnsi="宋体" w:eastAsia="宋体"/>
                <w:sz w:val="16"/>
              </w:rPr>
              <w:t>协助开展经贸交流合作会议次数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C05F86">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E92B11">
            <w:pPr>
              <w:jc w:val="center"/>
            </w:pPr>
            <w:r>
              <w:rPr>
                <w:rFonts w:ascii="宋体" w:hAnsi="宋体" w:eastAsia="宋体"/>
                <w:sz w:val="16"/>
              </w:rPr>
              <w:t>会议纪要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0C1524">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4F86A5">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E79C90">
            <w:pPr>
              <w:jc w:val="center"/>
            </w:pPr>
            <w:r>
              <w:rPr>
                <w:rFonts w:ascii="宋体" w:hAnsi="宋体" w:eastAsia="宋体"/>
                <w:sz w:val="16"/>
              </w:rPr>
              <w:t>20</w:t>
            </w:r>
          </w:p>
        </w:tc>
      </w:tr>
    </w:tbl>
    <w:p w14:paraId="791C1592">
      <w:r>
        <w:br w:type="page"/>
      </w:r>
    </w:p>
    <w:p w14:paraId="7C94D763">
      <w:pPr>
        <w:spacing w:line="640" w:lineRule="exact"/>
        <w:ind w:firstLine="640"/>
        <w:jc w:val="both"/>
        <w:outlineLvl w:val="2"/>
      </w:pPr>
      <w:r>
        <w:rPr>
          <w:rFonts w:ascii="黑体" w:hAnsi="黑体" w:eastAsia="黑体"/>
          <w:sz w:val="32"/>
        </w:rPr>
        <w:t>十二、其他需说明的事项</w:t>
      </w:r>
    </w:p>
    <w:p w14:paraId="2FF98B48">
      <w:pPr>
        <w:spacing w:line="580" w:lineRule="exact"/>
        <w:ind w:firstLine="640"/>
        <w:jc w:val="both"/>
      </w:pPr>
      <w:r>
        <w:rPr>
          <w:rFonts w:ascii="仿宋_GB2312" w:hAnsi="仿宋_GB2312" w:eastAsia="仿宋_GB2312"/>
          <w:b w:val="0"/>
          <w:sz w:val="32"/>
        </w:rPr>
        <w:t>本单位无其他需说明的事项。</w:t>
      </w:r>
    </w:p>
    <w:p w14:paraId="6DAC148B">
      <w:r>
        <w:br w:type="page"/>
      </w:r>
    </w:p>
    <w:p w14:paraId="34028983">
      <w:pPr>
        <w:spacing w:line="240" w:lineRule="auto"/>
        <w:jc w:val="center"/>
        <w:outlineLvl w:val="1"/>
      </w:pPr>
      <w:r>
        <w:rPr>
          <w:rFonts w:ascii="黑体" w:hAnsi="黑体" w:eastAsia="黑体"/>
          <w:sz w:val="32"/>
        </w:rPr>
        <w:t>第三部分 专业名词解释</w:t>
      </w:r>
    </w:p>
    <w:p w14:paraId="36DEFC2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73637C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787965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2DC2B4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90EE37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ED4D93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6728F7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A7909C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2A5BF8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F86D3E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44153F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27927E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739D7E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FF5810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9F09F97">
      <w:r>
        <w:br w:type="page"/>
      </w:r>
    </w:p>
    <w:p w14:paraId="11E61FA0">
      <w:pPr>
        <w:spacing w:line="240" w:lineRule="auto"/>
        <w:jc w:val="center"/>
        <w:outlineLvl w:val="1"/>
      </w:pPr>
      <w:r>
        <w:rPr>
          <w:rFonts w:ascii="黑体" w:hAnsi="黑体" w:eastAsia="黑体"/>
          <w:sz w:val="32"/>
        </w:rPr>
        <w:t>第四部分 部门决算报表（见附表）</w:t>
      </w:r>
    </w:p>
    <w:p w14:paraId="6C57361D">
      <w:pPr>
        <w:spacing w:line="240" w:lineRule="auto"/>
        <w:ind w:firstLine="640"/>
        <w:jc w:val="both"/>
      </w:pPr>
      <w:r>
        <w:rPr>
          <w:rFonts w:ascii="仿宋_GB2312" w:hAnsi="仿宋_GB2312" w:eastAsia="仿宋_GB2312"/>
          <w:b w:val="0"/>
          <w:sz w:val="32"/>
        </w:rPr>
        <w:t>一、《收入支出决算总表》</w:t>
      </w:r>
    </w:p>
    <w:p w14:paraId="3C628191">
      <w:pPr>
        <w:spacing w:line="240" w:lineRule="auto"/>
        <w:ind w:firstLine="640"/>
        <w:jc w:val="both"/>
      </w:pPr>
      <w:r>
        <w:rPr>
          <w:rFonts w:ascii="仿宋_GB2312" w:hAnsi="仿宋_GB2312" w:eastAsia="仿宋_GB2312"/>
          <w:b w:val="0"/>
          <w:sz w:val="32"/>
        </w:rPr>
        <w:t>二、《收入决算表》</w:t>
      </w:r>
    </w:p>
    <w:p w14:paraId="084EA887">
      <w:pPr>
        <w:spacing w:line="240" w:lineRule="auto"/>
        <w:ind w:firstLine="640"/>
        <w:jc w:val="both"/>
      </w:pPr>
      <w:r>
        <w:rPr>
          <w:rFonts w:ascii="仿宋_GB2312" w:hAnsi="仿宋_GB2312" w:eastAsia="仿宋_GB2312"/>
          <w:b w:val="0"/>
          <w:sz w:val="32"/>
        </w:rPr>
        <w:t>三、《支出决算表》</w:t>
      </w:r>
    </w:p>
    <w:p w14:paraId="5E02962F">
      <w:pPr>
        <w:spacing w:line="240" w:lineRule="auto"/>
        <w:ind w:firstLine="640"/>
        <w:jc w:val="both"/>
      </w:pPr>
      <w:r>
        <w:rPr>
          <w:rFonts w:ascii="仿宋_GB2312" w:hAnsi="仿宋_GB2312" w:eastAsia="仿宋_GB2312"/>
          <w:b w:val="0"/>
          <w:sz w:val="32"/>
        </w:rPr>
        <w:t>四、《财政拨款收入支出决算总表》</w:t>
      </w:r>
    </w:p>
    <w:p w14:paraId="255A038C">
      <w:pPr>
        <w:spacing w:line="240" w:lineRule="auto"/>
        <w:ind w:firstLine="640"/>
        <w:jc w:val="both"/>
      </w:pPr>
      <w:r>
        <w:rPr>
          <w:rFonts w:ascii="仿宋_GB2312" w:hAnsi="仿宋_GB2312" w:eastAsia="仿宋_GB2312"/>
          <w:b w:val="0"/>
          <w:sz w:val="32"/>
        </w:rPr>
        <w:t>五、《一般公共预算财政拨款支出决算表》</w:t>
      </w:r>
    </w:p>
    <w:p w14:paraId="1AE4D918">
      <w:pPr>
        <w:spacing w:line="240" w:lineRule="auto"/>
        <w:ind w:firstLine="640"/>
        <w:jc w:val="both"/>
      </w:pPr>
      <w:r>
        <w:rPr>
          <w:rFonts w:ascii="仿宋_GB2312" w:hAnsi="仿宋_GB2312" w:eastAsia="仿宋_GB2312"/>
          <w:b w:val="0"/>
          <w:sz w:val="32"/>
        </w:rPr>
        <w:t>六、《一般公共预算财政拨款基本支出决算表》</w:t>
      </w:r>
    </w:p>
    <w:p w14:paraId="0C729B49">
      <w:pPr>
        <w:spacing w:line="240" w:lineRule="auto"/>
        <w:ind w:firstLine="640"/>
        <w:jc w:val="both"/>
      </w:pPr>
      <w:r>
        <w:rPr>
          <w:rFonts w:ascii="仿宋_GB2312" w:hAnsi="仿宋_GB2312" w:eastAsia="仿宋_GB2312"/>
          <w:b w:val="0"/>
          <w:sz w:val="32"/>
        </w:rPr>
        <w:t>七、《政府性基金预算财政拨款收入支出决算表》</w:t>
      </w:r>
    </w:p>
    <w:p w14:paraId="35393297">
      <w:pPr>
        <w:spacing w:line="240" w:lineRule="auto"/>
        <w:ind w:firstLine="640"/>
        <w:jc w:val="both"/>
      </w:pPr>
      <w:r>
        <w:rPr>
          <w:rFonts w:ascii="仿宋_GB2312" w:hAnsi="仿宋_GB2312" w:eastAsia="仿宋_GB2312"/>
          <w:b w:val="0"/>
          <w:sz w:val="32"/>
        </w:rPr>
        <w:t>八、《国有资本经营预算财政拨款收入支出决算表》</w:t>
      </w:r>
    </w:p>
    <w:p w14:paraId="20B4278B">
      <w:pPr>
        <w:spacing w:line="240" w:lineRule="auto"/>
        <w:ind w:firstLine="640"/>
        <w:jc w:val="both"/>
      </w:pPr>
      <w:r>
        <w:rPr>
          <w:rFonts w:ascii="仿宋_GB2312" w:hAnsi="仿宋_GB2312" w:eastAsia="仿宋_GB2312"/>
          <w:b w:val="0"/>
          <w:sz w:val="32"/>
        </w:rPr>
        <w:t>九、《财政拨款“三公”经费支出决算表》</w:t>
      </w:r>
    </w:p>
    <w:p w14:paraId="6324456B">
      <w:pPr>
        <w:spacing w:line="240" w:lineRule="auto"/>
        <w:ind w:firstLine="640"/>
        <w:jc w:val="both"/>
      </w:pPr>
    </w:p>
    <w:p w14:paraId="79D400F5">
      <w:pPr>
        <w:spacing w:line="240" w:lineRule="auto"/>
        <w:ind w:firstLine="640"/>
        <w:jc w:val="both"/>
      </w:pPr>
    </w:p>
    <w:p w14:paraId="2BF7914C">
      <w:pPr>
        <w:spacing w:line="240" w:lineRule="auto"/>
        <w:ind w:firstLine="640"/>
        <w:jc w:val="both"/>
      </w:pPr>
    </w:p>
    <w:p w14:paraId="4386792A">
      <w:pPr>
        <w:spacing w:line="240" w:lineRule="auto"/>
        <w:ind w:firstLine="640"/>
        <w:jc w:val="both"/>
      </w:pPr>
    </w:p>
    <w:p w14:paraId="4163155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35EE163-6AD3-469D-BF15-629B35292C3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348D02B-7534-432D-8E20-EDBC1D9B0D34}"/>
  </w:font>
  <w:font w:name="仿宋_GB2312">
    <w:panose1 w:val="02010609030101010101"/>
    <w:charset w:val="86"/>
    <w:family w:val="auto"/>
    <w:pitch w:val="default"/>
    <w:sig w:usb0="00000001" w:usb1="080E0000" w:usb2="00000000" w:usb3="00000000" w:csb0="00040000" w:csb1="00000000"/>
    <w:embedRegular r:id="rId3" w:fontKey="{1C4F64DC-65D7-4E1D-8213-3F60AC35A666}"/>
  </w:font>
  <w:font w:name="楷体_GB2312">
    <w:panose1 w:val="02010609030101010101"/>
    <w:charset w:val="86"/>
    <w:family w:val="auto"/>
    <w:pitch w:val="default"/>
    <w:sig w:usb0="00000001" w:usb1="080E0000" w:usb2="00000000" w:usb3="00000000" w:csb0="00040000" w:csb1="00000000"/>
    <w:embedRegular r:id="rId4" w:fontKey="{DAC9A0EF-DD7C-4624-90E3-405E6335FA0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44119B"/>
    <w:rsid w:val="21F317F2"/>
    <w:rsid w:val="2241392C"/>
    <w:rsid w:val="23BC04D2"/>
    <w:rsid w:val="25275618"/>
    <w:rsid w:val="27CE017C"/>
    <w:rsid w:val="27CF2642"/>
    <w:rsid w:val="280A6566"/>
    <w:rsid w:val="282459E2"/>
    <w:rsid w:val="29116777"/>
    <w:rsid w:val="2A053397"/>
    <w:rsid w:val="2A444FB1"/>
    <w:rsid w:val="2A6064E2"/>
    <w:rsid w:val="2C1965E9"/>
    <w:rsid w:val="2D1136DF"/>
    <w:rsid w:val="2DAE0E44"/>
    <w:rsid w:val="2F053B8A"/>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16891"/>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8F1350B"/>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3932</Words>
  <Characters>4510</Characters>
  <Lines>0</Lines>
  <Paragraphs>0</Paragraphs>
  <TotalTime>3</TotalTime>
  <ScaleCrop>false</ScaleCrop>
  <LinksUpToDate>false</LinksUpToDate>
  <CharactersWithSpaces>4518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2025-09-02T05:19:38Z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