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克孜勒苏柯尔克孜自治州体育中心2024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61AE77">
      <w:r>
        <w:br w:type="page"/>
      </w:r>
    </w:p>
    <w:p w14:paraId="3C3D2303">
      <w:pPr>
        <w:spacing w:line="640" w:lineRule="exact"/>
        <w:jc w:val="center"/>
        <w:outlineLvl w:val="1"/>
      </w:pPr>
      <w:r>
        <w:rPr>
          <w:rFonts w:ascii="黑体" w:hAnsi="黑体" w:eastAsia="黑体"/>
          <w:sz w:val="32"/>
        </w:rPr>
        <w:t>第一部分 单位概况</w:t>
      </w:r>
    </w:p>
    <w:p w14:paraId="62FC87CE">
      <w:pPr>
        <w:spacing w:line="640" w:lineRule="exact"/>
        <w:ind w:firstLine="640"/>
        <w:jc w:val="both"/>
        <w:outlineLvl w:val="2"/>
      </w:pPr>
      <w:r>
        <w:rPr>
          <w:rFonts w:ascii="黑体" w:hAnsi="黑体" w:eastAsia="黑体"/>
          <w:sz w:val="32"/>
        </w:rPr>
        <w:t>一、主要职能</w:t>
      </w:r>
    </w:p>
    <w:p w14:paraId="5366145B">
      <w:pPr>
        <w:spacing w:line="580" w:lineRule="exact"/>
        <w:ind w:firstLine="640"/>
        <w:jc w:val="both"/>
      </w:pPr>
      <w:r>
        <w:rPr>
          <w:rFonts w:ascii="仿宋_GB2312" w:hAnsi="仿宋_GB2312" w:eastAsia="仿宋_GB2312"/>
          <w:sz w:val="32"/>
        </w:rPr>
        <w:t>依据《</w:t>
      </w:r>
      <w:r>
        <w:rPr>
          <w:rFonts w:hint="eastAsia" w:ascii="仿宋_GB2312" w:hAnsi="仿宋_GB2312" w:eastAsia="仿宋_GB2312"/>
          <w:sz w:val="32"/>
          <w:lang w:eastAsia="zh-CN"/>
        </w:rPr>
        <w:t>中华人民共和国体育法</w:t>
      </w:r>
      <w:r>
        <w:rPr>
          <w:rFonts w:ascii="仿宋_GB2312" w:hAnsi="仿宋_GB2312" w:eastAsia="仿宋_GB2312"/>
          <w:sz w:val="32"/>
        </w:rPr>
        <w:t>》规定和《公共文化体育设施条例》的规定，负责体育中心场所的开放、管理工作；负责开展群众性的健身活动，丰富广大人民群众的业余文化生活，增强体质，适应国民经济和社会发展的需要；负责承办自治区、自治州竞技体育比赛和群体活动；负责为自治州的竞技体育和群众体育代表队提供训练场地和技术服务；负责为青少年和学校体育活动提供场地和技术服务；负责完成上级部门交办的各种文化活动、展演活动等社会和</w:t>
      </w:r>
      <w:r>
        <w:rPr>
          <w:rFonts w:hint="eastAsia" w:ascii="仿宋_GB2312" w:hAnsi="仿宋_GB2312" w:eastAsia="仿宋_GB2312"/>
          <w:sz w:val="32"/>
          <w:lang w:eastAsia="zh-CN"/>
        </w:rPr>
        <w:t>其他</w:t>
      </w:r>
      <w:r>
        <w:rPr>
          <w:rFonts w:ascii="仿宋_GB2312" w:hAnsi="仿宋_GB2312" w:eastAsia="仿宋_GB2312"/>
          <w:sz w:val="32"/>
        </w:rPr>
        <w:t>活动；负责对体育馆、体育广场、运动场、体育公园、赛马场的管理。</w:t>
      </w:r>
    </w:p>
    <w:p w14:paraId="3C4F963A">
      <w:pPr>
        <w:spacing w:line="640" w:lineRule="exact"/>
        <w:ind w:firstLine="640"/>
        <w:jc w:val="both"/>
        <w:outlineLvl w:val="2"/>
      </w:pPr>
      <w:r>
        <w:rPr>
          <w:rFonts w:ascii="黑体" w:hAnsi="黑体" w:eastAsia="黑体"/>
          <w:sz w:val="32"/>
        </w:rPr>
        <w:t>二、机构设置及人员情况</w:t>
      </w:r>
    </w:p>
    <w:p w14:paraId="3A2ABF98">
      <w:pPr>
        <w:spacing w:line="580" w:lineRule="exact"/>
        <w:ind w:firstLine="640"/>
        <w:jc w:val="both"/>
      </w:pPr>
      <w:r>
        <w:rPr>
          <w:rFonts w:ascii="仿宋_GB2312" w:hAnsi="仿宋_GB2312" w:eastAsia="仿宋_GB2312"/>
          <w:sz w:val="32"/>
        </w:rPr>
        <w:t>克孜勒苏柯尔克孜自治州体育中心2024年度，实有人数11人，其中：在职人员9人，增加0人；离休人员0人，增加0人；退休人员2人,增加0人。</w:t>
      </w:r>
    </w:p>
    <w:p w14:paraId="21480B93">
      <w:pPr>
        <w:spacing w:line="580" w:lineRule="exact"/>
        <w:ind w:firstLine="640"/>
        <w:jc w:val="both"/>
      </w:pPr>
      <w:r>
        <w:rPr>
          <w:rFonts w:ascii="仿宋_GB2312" w:hAnsi="仿宋_GB2312" w:eastAsia="仿宋_GB2312"/>
          <w:sz w:val="32"/>
        </w:rPr>
        <w:t>克孜勒苏柯尔克孜自治州体育中心无下属预算单位，下设1个科室，分别是：财务室。</w:t>
      </w:r>
    </w:p>
    <w:p w14:paraId="16CB5B3A">
      <w:r>
        <w:br w:type="page"/>
      </w:r>
    </w:p>
    <w:p w14:paraId="56B55A18">
      <w:pPr>
        <w:spacing w:line="240" w:lineRule="auto"/>
        <w:jc w:val="center"/>
        <w:outlineLvl w:val="1"/>
      </w:pPr>
      <w:r>
        <w:rPr>
          <w:rFonts w:ascii="黑体" w:hAnsi="黑体" w:eastAsia="黑体"/>
          <w:sz w:val="32"/>
        </w:rPr>
        <w:t>第二部分 部门决算情况说明</w:t>
      </w:r>
    </w:p>
    <w:p w14:paraId="2E8DF39E">
      <w:pPr>
        <w:spacing w:line="640" w:lineRule="exact"/>
        <w:ind w:firstLine="640"/>
        <w:jc w:val="both"/>
        <w:outlineLvl w:val="2"/>
      </w:pPr>
      <w:r>
        <w:rPr>
          <w:rFonts w:ascii="黑体" w:hAnsi="黑体" w:eastAsia="黑体"/>
          <w:sz w:val="32"/>
        </w:rPr>
        <w:t>一、收入支出决算总体情况说明</w:t>
      </w:r>
    </w:p>
    <w:p w14:paraId="33716220">
      <w:pPr>
        <w:spacing w:line="580" w:lineRule="exact"/>
        <w:ind w:firstLine="640"/>
        <w:jc w:val="both"/>
      </w:pPr>
      <w:r>
        <w:rPr>
          <w:rFonts w:ascii="仿宋_GB2312" w:hAnsi="仿宋_GB2312" w:eastAsia="仿宋_GB2312"/>
          <w:b/>
          <w:sz w:val="32"/>
        </w:rPr>
        <w:t>2024年度收入总计260.23万元，</w:t>
      </w:r>
      <w:r>
        <w:rPr>
          <w:rFonts w:ascii="仿宋_GB2312" w:hAnsi="仿宋_GB2312" w:eastAsia="仿宋_GB2312"/>
          <w:b w:val="0"/>
          <w:sz w:val="32"/>
        </w:rPr>
        <w:t>其中：本年收入合计255.47万元，使用非财政拨款结余（含专用结余）0.00万元，年初结转和结余4.76万元。</w:t>
      </w:r>
    </w:p>
    <w:p w14:paraId="13E9361D">
      <w:pPr>
        <w:spacing w:line="580" w:lineRule="exact"/>
        <w:ind w:firstLine="640"/>
        <w:jc w:val="both"/>
      </w:pPr>
      <w:r>
        <w:rPr>
          <w:rFonts w:ascii="仿宋_GB2312" w:hAnsi="仿宋_GB2312" w:eastAsia="仿宋_GB2312"/>
          <w:b/>
          <w:sz w:val="32"/>
        </w:rPr>
        <w:t>2024年度支出总计260.23万元，</w:t>
      </w:r>
      <w:r>
        <w:rPr>
          <w:rFonts w:ascii="仿宋_GB2312" w:hAnsi="仿宋_GB2312" w:eastAsia="仿宋_GB2312"/>
          <w:b w:val="0"/>
          <w:sz w:val="32"/>
        </w:rPr>
        <w:t>其中：本年支出合计258.65万元，结余分配0.00万元，年末结转和结余1.58万元。</w:t>
      </w:r>
    </w:p>
    <w:p w14:paraId="7208BBB3">
      <w:pPr>
        <w:spacing w:line="580" w:lineRule="exact"/>
        <w:ind w:firstLine="640"/>
        <w:jc w:val="both"/>
      </w:pPr>
      <w:r>
        <w:rPr>
          <w:rFonts w:ascii="仿宋_GB2312" w:hAnsi="仿宋_GB2312" w:eastAsia="仿宋_GB2312"/>
          <w:b w:val="0"/>
          <w:sz w:val="32"/>
        </w:rPr>
        <w:t>收入支出总体与上年相比，减少194.70万元，下降42.80%，主要原因是：本年减少克州文旅局拨付款用于场馆运维保洁、物业管理费。</w:t>
      </w:r>
    </w:p>
    <w:p w14:paraId="4951AFAD">
      <w:pPr>
        <w:spacing w:line="640" w:lineRule="exact"/>
        <w:ind w:firstLine="640"/>
        <w:jc w:val="both"/>
        <w:outlineLvl w:val="2"/>
      </w:pPr>
      <w:r>
        <w:rPr>
          <w:rFonts w:ascii="黑体" w:hAnsi="黑体" w:eastAsia="黑体"/>
          <w:sz w:val="32"/>
        </w:rPr>
        <w:t>二、收入决算情况说明</w:t>
      </w:r>
    </w:p>
    <w:p w14:paraId="10801F88">
      <w:pPr>
        <w:spacing w:line="580" w:lineRule="exact"/>
        <w:ind w:firstLine="640"/>
        <w:jc w:val="both"/>
      </w:pPr>
      <w:r>
        <w:rPr>
          <w:rFonts w:ascii="仿宋_GB2312" w:hAnsi="仿宋_GB2312" w:eastAsia="仿宋_GB2312"/>
          <w:b/>
          <w:sz w:val="32"/>
        </w:rPr>
        <w:t>本年收入255.47万元，</w:t>
      </w:r>
      <w:r>
        <w:rPr>
          <w:rFonts w:ascii="仿宋_GB2312" w:hAnsi="仿宋_GB2312" w:eastAsia="仿宋_GB2312"/>
          <w:b w:val="0"/>
          <w:sz w:val="32"/>
        </w:rPr>
        <w:t>其中：财政拨款收入255.46万元，占100.00%；上级补助收入0.00万元，占0.00%；事业收入0.00万元，占0.00%；经营收入0.00万元，占0.00%；附属单位上缴收入0.00万元，占0.00%；其他收入0.01万元，占0.004%。</w:t>
      </w:r>
    </w:p>
    <w:p w14:paraId="6D8F3A25">
      <w:pPr>
        <w:spacing w:line="640" w:lineRule="exact"/>
        <w:ind w:firstLine="640"/>
        <w:jc w:val="both"/>
        <w:outlineLvl w:val="2"/>
      </w:pPr>
      <w:r>
        <w:rPr>
          <w:rFonts w:ascii="黑体" w:hAnsi="黑体" w:eastAsia="黑体"/>
          <w:sz w:val="32"/>
        </w:rPr>
        <w:t>三、支出决算情况说明</w:t>
      </w:r>
    </w:p>
    <w:p w14:paraId="4573D82C">
      <w:pPr>
        <w:spacing w:line="580" w:lineRule="exact"/>
        <w:ind w:firstLine="640"/>
        <w:jc w:val="both"/>
      </w:pPr>
      <w:r>
        <w:rPr>
          <w:rFonts w:ascii="仿宋_GB2312" w:hAnsi="仿宋_GB2312" w:eastAsia="仿宋_GB2312"/>
          <w:b/>
          <w:sz w:val="32"/>
        </w:rPr>
        <w:t>本年支出258.65万元，</w:t>
      </w:r>
      <w:r>
        <w:rPr>
          <w:rFonts w:ascii="仿宋_GB2312" w:hAnsi="仿宋_GB2312" w:eastAsia="仿宋_GB2312"/>
          <w:b w:val="0"/>
          <w:sz w:val="32"/>
        </w:rPr>
        <w:t>其中：基本支出148.29万元，占57.33%；项目支出110.36万元，占42.67%；上缴上级支出0.00万元，占0.00%；经营支出0.00万元，占0.00%；对附属单位补助支出0.00万元，占0.00%。</w:t>
      </w:r>
    </w:p>
    <w:p w14:paraId="6BBE316A">
      <w:pPr>
        <w:spacing w:line="640" w:lineRule="exact"/>
        <w:ind w:firstLine="640"/>
        <w:jc w:val="both"/>
        <w:outlineLvl w:val="2"/>
      </w:pPr>
      <w:r>
        <w:rPr>
          <w:rFonts w:ascii="黑体" w:hAnsi="黑体" w:eastAsia="黑体"/>
          <w:sz w:val="32"/>
        </w:rPr>
        <w:t>四、财政拨款收入支出决算总体情况说明</w:t>
      </w:r>
    </w:p>
    <w:p w14:paraId="1AB3970B">
      <w:pPr>
        <w:spacing w:line="580" w:lineRule="exact"/>
        <w:ind w:firstLine="640"/>
        <w:jc w:val="both"/>
      </w:pPr>
      <w:r>
        <w:rPr>
          <w:rFonts w:ascii="仿宋_GB2312" w:hAnsi="仿宋_GB2312" w:eastAsia="仿宋_GB2312"/>
          <w:b/>
          <w:sz w:val="32"/>
        </w:rPr>
        <w:t>2024年度财政拨款收入总计255.46万元，</w:t>
      </w:r>
      <w:r>
        <w:rPr>
          <w:rFonts w:ascii="仿宋_GB2312" w:hAnsi="仿宋_GB2312" w:eastAsia="仿宋_GB2312"/>
          <w:b w:val="0"/>
          <w:sz w:val="32"/>
        </w:rPr>
        <w:t>其中：年初财政拨款结转和结余0.00万元，本年财政拨款收入255.46万元。</w:t>
      </w:r>
      <w:r>
        <w:rPr>
          <w:rFonts w:ascii="仿宋_GB2312" w:hAnsi="仿宋_GB2312" w:eastAsia="仿宋_GB2312"/>
          <w:b/>
          <w:sz w:val="32"/>
        </w:rPr>
        <w:t>财政拨款支出总计255.46万元，</w:t>
      </w:r>
      <w:r>
        <w:rPr>
          <w:rFonts w:ascii="仿宋_GB2312" w:hAnsi="仿宋_GB2312" w:eastAsia="仿宋_GB2312"/>
          <w:b w:val="0"/>
          <w:sz w:val="32"/>
        </w:rPr>
        <w:t>其中：年末财政拨款结转和结余0.00万元，本年财政拨款支出255.46万元。</w:t>
      </w:r>
    </w:p>
    <w:p w14:paraId="2442C5D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减少9.77万元，下降3.68%，主要原因是：本年数字化平台建设项目减少。</w:t>
      </w:r>
      <w:r>
        <w:rPr>
          <w:rFonts w:ascii="仿宋_GB2312" w:hAnsi="仿宋_GB2312" w:eastAsia="仿宋_GB2312"/>
          <w:b/>
          <w:sz w:val="32"/>
        </w:rPr>
        <w:t>与年初预算相比，</w:t>
      </w:r>
      <w:r>
        <w:rPr>
          <w:rFonts w:ascii="仿宋_GB2312" w:hAnsi="仿宋_GB2312" w:eastAsia="仿宋_GB2312"/>
          <w:b w:val="0"/>
          <w:sz w:val="32"/>
        </w:rPr>
        <w:t>年初预算数273.56万元，决算数255.46万元，预决算差异率-6.62%，主要原因是：年中调减克州体育中心场馆免费或低收费开放项目经费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0074DC19">
      <w:pPr>
        <w:spacing w:line="640" w:lineRule="exact"/>
        <w:ind w:firstLine="640"/>
        <w:jc w:val="both"/>
        <w:outlineLvl w:val="2"/>
      </w:pPr>
      <w:r>
        <w:rPr>
          <w:rFonts w:ascii="黑体" w:hAnsi="黑体" w:eastAsia="黑体"/>
          <w:sz w:val="32"/>
        </w:rPr>
        <w:t>五、一般公共预算财政拨款支出决算情况说明</w:t>
      </w:r>
    </w:p>
    <w:p w14:paraId="10281F69">
      <w:pPr>
        <w:spacing w:line="640" w:lineRule="exact"/>
        <w:ind w:firstLine="640"/>
        <w:jc w:val="both"/>
        <w:outlineLvl w:val="3"/>
      </w:pPr>
      <w:r>
        <w:rPr>
          <w:rFonts w:ascii="楷体_GB2312" w:hAnsi="楷体_GB2312" w:eastAsia="楷体_GB2312"/>
          <w:b/>
          <w:sz w:val="32"/>
        </w:rPr>
        <w:t>（一）一般公共预算财政拨款支出决算总体情况</w:t>
      </w:r>
    </w:p>
    <w:p w14:paraId="62BAA14E">
      <w:pPr>
        <w:spacing w:line="580" w:lineRule="exact"/>
        <w:ind w:firstLine="640"/>
        <w:jc w:val="both"/>
      </w:pPr>
      <w:r>
        <w:rPr>
          <w:rFonts w:ascii="仿宋_GB2312" w:hAnsi="仿宋_GB2312" w:eastAsia="仿宋_GB2312"/>
          <w:b/>
          <w:sz w:val="32"/>
        </w:rPr>
        <w:t>2024年度一般公共预算财政拨款支出232.80万元，</w:t>
      </w:r>
      <w:r>
        <w:rPr>
          <w:rFonts w:ascii="仿宋_GB2312" w:hAnsi="仿宋_GB2312" w:eastAsia="仿宋_GB2312"/>
          <w:b w:val="0"/>
          <w:sz w:val="32"/>
        </w:rPr>
        <w:t>占本年支出合计的90.01%。</w:t>
      </w:r>
      <w:r>
        <w:rPr>
          <w:rFonts w:ascii="仿宋_GB2312" w:hAnsi="仿宋_GB2312" w:eastAsia="仿宋_GB2312"/>
          <w:b/>
          <w:sz w:val="32"/>
        </w:rPr>
        <w:t>与上年相比，</w:t>
      </w:r>
      <w:r>
        <w:rPr>
          <w:rFonts w:ascii="仿宋_GB2312" w:hAnsi="仿宋_GB2312" w:eastAsia="仿宋_GB2312"/>
          <w:b w:val="0"/>
          <w:sz w:val="32"/>
        </w:rPr>
        <w:t>减少32.43万元，下降12.23%，主要原因是：本年数字化平台建设项目减少。</w:t>
      </w:r>
      <w:r>
        <w:rPr>
          <w:rFonts w:ascii="仿宋_GB2312" w:hAnsi="仿宋_GB2312" w:eastAsia="仿宋_GB2312"/>
          <w:b/>
          <w:sz w:val="32"/>
        </w:rPr>
        <w:t>与年初预算相比,</w:t>
      </w:r>
      <w:r>
        <w:rPr>
          <w:rFonts w:ascii="仿宋_GB2312" w:hAnsi="仿宋_GB2312" w:eastAsia="仿宋_GB2312"/>
          <w:b w:val="0"/>
          <w:sz w:val="32"/>
        </w:rPr>
        <w:t>年初预算数249.56万元，决算数232.80万元，预决算差异率-6.72%，主要原因是：年中调减克州体育中心场馆免费或低收费开放项目经费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465851D6">
      <w:pPr>
        <w:spacing w:line="640" w:lineRule="exact"/>
        <w:ind w:firstLine="640"/>
        <w:jc w:val="both"/>
        <w:outlineLvl w:val="3"/>
      </w:pPr>
      <w:r>
        <w:rPr>
          <w:rFonts w:ascii="楷体_GB2312" w:hAnsi="楷体_GB2312" w:eastAsia="楷体_GB2312"/>
          <w:b/>
          <w:sz w:val="32"/>
        </w:rPr>
        <w:t>（二）一般公共预算财政拨款支出决算结构情况</w:t>
      </w:r>
    </w:p>
    <w:p w14:paraId="1F0BE307">
      <w:pPr>
        <w:spacing w:line="580" w:lineRule="exact"/>
        <w:ind w:firstLine="640"/>
        <w:jc w:val="both"/>
      </w:pPr>
      <w:r>
        <w:rPr>
          <w:rFonts w:ascii="仿宋_GB2312" w:hAnsi="仿宋_GB2312" w:eastAsia="仿宋_GB2312"/>
          <w:b w:val="0"/>
          <w:sz w:val="32"/>
        </w:rPr>
        <w:t>1.文化旅游体育与传媒支出(类)218.73万元,占93.96%。</w:t>
      </w:r>
    </w:p>
    <w:p w14:paraId="53EAD0CB">
      <w:pPr>
        <w:spacing w:line="580" w:lineRule="exact"/>
        <w:ind w:firstLine="640"/>
        <w:jc w:val="both"/>
      </w:pPr>
      <w:r>
        <w:rPr>
          <w:rFonts w:ascii="仿宋_GB2312" w:hAnsi="仿宋_GB2312" w:eastAsia="仿宋_GB2312"/>
          <w:b w:val="0"/>
          <w:sz w:val="32"/>
        </w:rPr>
        <w:t>2.社会保障和就业支出(类)14.07万元,占6.04%。</w:t>
      </w:r>
    </w:p>
    <w:p w14:paraId="5C31A494">
      <w:pPr>
        <w:spacing w:line="640" w:lineRule="exact"/>
        <w:ind w:firstLine="640"/>
        <w:jc w:val="both"/>
        <w:outlineLvl w:val="3"/>
      </w:pPr>
      <w:r>
        <w:rPr>
          <w:rFonts w:ascii="楷体_GB2312" w:hAnsi="楷体_GB2312" w:eastAsia="楷体_GB2312"/>
          <w:b/>
          <w:sz w:val="32"/>
        </w:rPr>
        <w:t>（三）一般公共预算财政拨款支出决算具体情况</w:t>
      </w:r>
    </w:p>
    <w:p w14:paraId="4F158433">
      <w:pPr>
        <w:spacing w:line="580" w:lineRule="exact"/>
        <w:ind w:firstLine="640"/>
        <w:jc w:val="both"/>
      </w:pPr>
      <w:r>
        <w:rPr>
          <w:rFonts w:ascii="仿宋_GB2312" w:hAnsi="仿宋_GB2312" w:eastAsia="仿宋_GB2312"/>
          <w:b w:val="0"/>
          <w:sz w:val="32"/>
        </w:rPr>
        <w:t>1.文化旅游体育与传媒支出(类)体育(款)运动项目管理(项):支出决算数为134.16万元，比上年决算减少104.25万元，下降43.73%,主要原因是：本年数字化平台建设项目减少。</w:t>
      </w:r>
    </w:p>
    <w:p w14:paraId="65554251">
      <w:pPr>
        <w:spacing w:line="580" w:lineRule="exact"/>
        <w:ind w:firstLine="640"/>
        <w:jc w:val="both"/>
      </w:pPr>
      <w:r>
        <w:rPr>
          <w:rFonts w:ascii="仿宋_GB2312" w:hAnsi="仿宋_GB2312" w:eastAsia="仿宋_GB2312"/>
          <w:b w:val="0"/>
          <w:sz w:val="32"/>
        </w:rPr>
        <w:t>2.文化旅游体育与传媒支出(类)体育(款)体育场馆(项):支出决算数为84.57万元，比上年决算增加70.72万元，增长510.61%,主要原因是：本年增加2024年克州体育中心场馆免费或低收费开放项目。</w:t>
      </w:r>
    </w:p>
    <w:p w14:paraId="5F19E71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14.07万元，比上年决算增加1.10万元，增长8.48%,主要原因是：本年在职人员工资基数调增，养老缴费基数上涨，相应支出增加。</w:t>
      </w:r>
    </w:p>
    <w:p w14:paraId="211E611B">
      <w:pPr>
        <w:spacing w:line="640" w:lineRule="exact"/>
        <w:ind w:firstLine="640"/>
        <w:jc w:val="both"/>
        <w:outlineLvl w:val="2"/>
      </w:pPr>
      <w:r>
        <w:rPr>
          <w:rFonts w:ascii="黑体" w:hAnsi="黑体" w:eastAsia="黑体"/>
          <w:sz w:val="32"/>
        </w:rPr>
        <w:t>六、一般公共预算财政拨款基本支出决算情况说明</w:t>
      </w:r>
    </w:p>
    <w:p w14:paraId="3C3289B4">
      <w:pPr>
        <w:spacing w:line="580" w:lineRule="exact"/>
        <w:ind w:firstLine="640"/>
        <w:jc w:val="both"/>
      </w:pPr>
      <w:r>
        <w:rPr>
          <w:rFonts w:ascii="仿宋_GB2312" w:hAnsi="仿宋_GB2312" w:eastAsia="仿宋_GB2312"/>
          <w:b w:val="0"/>
          <w:sz w:val="32"/>
        </w:rPr>
        <w:t>2024年度一般公共预算财政拨款基本支出148.24万元，其中：</w:t>
      </w:r>
      <w:r>
        <w:rPr>
          <w:rFonts w:ascii="仿宋_GB2312" w:hAnsi="仿宋_GB2312" w:eastAsia="仿宋_GB2312"/>
          <w:b/>
          <w:sz w:val="32"/>
        </w:rPr>
        <w:t>人员经费141.44万元，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w:t>
      </w:r>
    </w:p>
    <w:p w14:paraId="3114258E">
      <w:pPr>
        <w:spacing w:line="580" w:lineRule="exact"/>
        <w:ind w:firstLine="640"/>
        <w:jc w:val="both"/>
      </w:pPr>
      <w:r>
        <w:rPr>
          <w:rFonts w:ascii="仿宋_GB2312" w:hAnsi="仿宋_GB2312" w:eastAsia="仿宋_GB2312"/>
          <w:b/>
          <w:sz w:val="32"/>
        </w:rPr>
        <w:t>公用经费6.79万元，</w:t>
      </w:r>
      <w:r>
        <w:rPr>
          <w:rFonts w:ascii="仿宋_GB2312" w:hAnsi="仿宋_GB2312" w:eastAsia="仿宋_GB2312"/>
          <w:b w:val="0"/>
          <w:sz w:val="32"/>
        </w:rPr>
        <w:t>包括：取暖费、工会经费、福利费、其他商品和服务支出。</w:t>
      </w:r>
    </w:p>
    <w:p w14:paraId="29C27AB0">
      <w:pPr>
        <w:spacing w:line="640" w:lineRule="exact"/>
        <w:ind w:firstLine="640"/>
        <w:jc w:val="both"/>
        <w:outlineLvl w:val="2"/>
      </w:pPr>
      <w:r>
        <w:rPr>
          <w:rFonts w:ascii="黑体" w:hAnsi="黑体" w:eastAsia="黑体"/>
          <w:sz w:val="32"/>
        </w:rPr>
        <w:t>七、政府性基金预算财政拨款收入支出决算情况说明</w:t>
      </w:r>
    </w:p>
    <w:p w14:paraId="6C234DFD">
      <w:pPr>
        <w:spacing w:line="580" w:lineRule="exact"/>
        <w:ind w:firstLine="640"/>
        <w:jc w:val="both"/>
      </w:pPr>
      <w:r>
        <w:rPr>
          <w:rFonts w:ascii="仿宋_GB2312" w:hAnsi="仿宋_GB2312" w:eastAsia="仿宋_GB2312"/>
          <w:b/>
          <w:sz w:val="32"/>
        </w:rPr>
        <w:t>2024年度政府性基金预算财政拨款收入总计22.65万元，</w:t>
      </w:r>
      <w:r>
        <w:rPr>
          <w:rFonts w:ascii="仿宋_GB2312" w:hAnsi="仿宋_GB2312" w:eastAsia="仿宋_GB2312"/>
          <w:b w:val="0"/>
          <w:sz w:val="32"/>
        </w:rPr>
        <w:t>其中：年初结转和结余0.00万元，本年收入22.65万元。</w:t>
      </w:r>
      <w:r>
        <w:rPr>
          <w:rFonts w:ascii="仿宋_GB2312" w:hAnsi="仿宋_GB2312" w:eastAsia="仿宋_GB2312"/>
          <w:b/>
          <w:sz w:val="32"/>
        </w:rPr>
        <w:t>政府性基金预算财政拨款支出总计22.65万元，</w:t>
      </w:r>
      <w:r>
        <w:rPr>
          <w:rFonts w:ascii="仿宋_GB2312" w:hAnsi="仿宋_GB2312" w:eastAsia="仿宋_GB2312"/>
          <w:b w:val="0"/>
          <w:sz w:val="32"/>
        </w:rPr>
        <w:t>其中：年末结转和结余0.00万元，本年支出22.65万元。</w:t>
      </w:r>
    </w:p>
    <w:p w14:paraId="0829C36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增加22.65万元，增长100.00%，主要原因是：本年增加2024年体育场馆免费或低收费开放自治区配套资金项目。</w:t>
      </w:r>
      <w:r>
        <w:rPr>
          <w:rFonts w:ascii="仿宋_GB2312" w:hAnsi="仿宋_GB2312" w:eastAsia="仿宋_GB2312"/>
          <w:b/>
          <w:sz w:val="32"/>
        </w:rPr>
        <w:t>与年初预算相比，</w:t>
      </w:r>
      <w:r>
        <w:rPr>
          <w:rFonts w:ascii="仿宋_GB2312" w:hAnsi="仿宋_GB2312" w:eastAsia="仿宋_GB2312"/>
          <w:b w:val="0"/>
          <w:sz w:val="32"/>
        </w:rPr>
        <w:t>年初预算数24.00万元，决算数22.65万元，预决算差异率-5.63%，主要原因是：严格执行</w:t>
      </w:r>
      <w:r>
        <w:rPr>
          <w:rFonts w:hint="eastAsia" w:ascii="仿宋_GB2312" w:hAnsi="仿宋_GB2312" w:eastAsia="仿宋_GB2312"/>
          <w:b w:val="0"/>
          <w:sz w:val="32"/>
          <w:lang w:eastAsia="zh-CN"/>
        </w:rPr>
        <w:t>中央八项规定精神</w:t>
      </w:r>
      <w:r>
        <w:rPr>
          <w:rFonts w:ascii="仿宋_GB2312" w:hAnsi="仿宋_GB2312" w:eastAsia="仿宋_GB2312"/>
          <w:b w:val="0"/>
          <w:sz w:val="32"/>
        </w:rPr>
        <w:t>，厉行节约，减少不必要的开支。</w:t>
      </w:r>
    </w:p>
    <w:p w14:paraId="2D085C66">
      <w:pPr>
        <w:spacing w:line="580" w:lineRule="exact"/>
        <w:ind w:firstLine="640"/>
        <w:jc w:val="both"/>
      </w:pPr>
      <w:r>
        <w:rPr>
          <w:rFonts w:ascii="仿宋_GB2312" w:hAnsi="仿宋_GB2312" w:eastAsia="仿宋_GB2312"/>
          <w:b w:val="0"/>
          <w:sz w:val="32"/>
        </w:rPr>
        <w:t>政府性基金预算财政拨款支出22.65万元。</w:t>
      </w:r>
    </w:p>
    <w:p w14:paraId="28FBA6BC">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22.65万元，比上年决算增加22.65万元，增长100.00%,主要原因是：本年增加2024年体育场馆免费或低收费开放自治区配套资金项目。</w:t>
      </w:r>
    </w:p>
    <w:p w14:paraId="60BDEF42">
      <w:pPr>
        <w:spacing w:line="640" w:lineRule="exact"/>
        <w:ind w:firstLine="640"/>
        <w:jc w:val="both"/>
        <w:outlineLvl w:val="2"/>
      </w:pPr>
      <w:r>
        <w:rPr>
          <w:rFonts w:ascii="黑体" w:hAnsi="黑体" w:eastAsia="黑体"/>
          <w:sz w:val="32"/>
        </w:rPr>
        <w:t>八、国有资本经营预算财政拨款收入支出决算情况说明</w:t>
      </w:r>
    </w:p>
    <w:p w14:paraId="326B8B9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D2D846">
      <w:pPr>
        <w:spacing w:line="640" w:lineRule="exact"/>
        <w:ind w:firstLine="640"/>
        <w:jc w:val="both"/>
        <w:outlineLvl w:val="2"/>
      </w:pPr>
      <w:r>
        <w:rPr>
          <w:rFonts w:ascii="黑体" w:hAnsi="黑体" w:eastAsia="黑体"/>
          <w:sz w:val="32"/>
        </w:rPr>
        <w:t>九、财政拨款“三公”经费支出决算情况说明</w:t>
      </w:r>
    </w:p>
    <w:p w14:paraId="72F9E47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48138EF">
      <w:pPr>
        <w:spacing w:line="580" w:lineRule="exact"/>
        <w:ind w:firstLine="640"/>
        <w:jc w:val="both"/>
      </w:pPr>
      <w:r>
        <w:rPr>
          <w:rFonts w:ascii="仿宋_GB2312" w:hAnsi="仿宋_GB2312" w:eastAsia="仿宋_GB2312"/>
          <w:b/>
          <w:sz w:val="32"/>
        </w:rPr>
        <w:t>具体情况如下：</w:t>
      </w:r>
    </w:p>
    <w:p w14:paraId="2BD3552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D29F9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4E3E60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E1F0B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4344B77">
      <w:pPr>
        <w:spacing w:line="640" w:lineRule="exact"/>
        <w:ind w:firstLine="640"/>
        <w:jc w:val="both"/>
        <w:outlineLvl w:val="2"/>
      </w:pPr>
      <w:r>
        <w:rPr>
          <w:rFonts w:ascii="黑体" w:hAnsi="黑体" w:eastAsia="黑体"/>
          <w:sz w:val="32"/>
        </w:rPr>
        <w:t>十、其他重要事项的情况说明</w:t>
      </w:r>
    </w:p>
    <w:p w14:paraId="6F515EA3">
      <w:pPr>
        <w:spacing w:line="640" w:lineRule="exact"/>
        <w:ind w:firstLine="640"/>
        <w:jc w:val="both"/>
        <w:outlineLvl w:val="3"/>
      </w:pPr>
      <w:r>
        <w:rPr>
          <w:rFonts w:ascii="楷体_GB2312" w:hAnsi="楷体_GB2312" w:eastAsia="楷体_GB2312"/>
          <w:b/>
          <w:sz w:val="32"/>
        </w:rPr>
        <w:t>（一）机关运行经费及公用经费支出情况</w:t>
      </w:r>
    </w:p>
    <w:p w14:paraId="4958FF58">
      <w:pPr>
        <w:spacing w:line="580" w:lineRule="exact"/>
        <w:ind w:firstLine="640"/>
        <w:jc w:val="both"/>
      </w:pPr>
      <w:r>
        <w:rPr>
          <w:rFonts w:ascii="仿宋_GB2312" w:hAnsi="仿宋_GB2312" w:eastAsia="仿宋_GB2312"/>
          <w:b w:val="0"/>
          <w:sz w:val="32"/>
        </w:rPr>
        <w:t>2024年度克孜勒苏柯尔克孜自治州体育中心（事业单位）公用经费支出6.79万元，比上年减少9.72万元，下降58.87%，主要原因是：本年取暖费较上年减少，导致公用经费较上年减少。</w:t>
      </w:r>
    </w:p>
    <w:p w14:paraId="11F1C41C">
      <w:pPr>
        <w:spacing w:line="640" w:lineRule="exact"/>
        <w:ind w:firstLine="640"/>
        <w:jc w:val="both"/>
        <w:outlineLvl w:val="3"/>
      </w:pPr>
      <w:r>
        <w:rPr>
          <w:rFonts w:ascii="楷体_GB2312" w:hAnsi="楷体_GB2312" w:eastAsia="楷体_GB2312"/>
          <w:b/>
          <w:sz w:val="32"/>
        </w:rPr>
        <w:t>（二）政府采购情况</w:t>
      </w:r>
    </w:p>
    <w:p w14:paraId="67CA8EA5">
      <w:pPr>
        <w:spacing w:line="580" w:lineRule="exact"/>
        <w:ind w:firstLine="640"/>
        <w:jc w:val="both"/>
      </w:pPr>
      <w:r>
        <w:rPr>
          <w:rFonts w:ascii="仿宋_GB2312" w:hAnsi="仿宋_GB2312" w:eastAsia="仿宋_GB2312"/>
          <w:b w:val="0"/>
          <w:sz w:val="32"/>
        </w:rPr>
        <w:t>2024年度政府采购支出总额24.93万元，其中：政府采购货物支出0.00万元、政府采购工程支出0.00万元、政府采购服务支出24.93万元。</w:t>
      </w:r>
    </w:p>
    <w:p w14:paraId="5B5FACD5">
      <w:pPr>
        <w:spacing w:line="580" w:lineRule="exact"/>
        <w:ind w:firstLine="640"/>
        <w:jc w:val="both"/>
      </w:pPr>
      <w:r>
        <w:rPr>
          <w:rFonts w:ascii="仿宋_GB2312" w:hAnsi="仿宋_GB2312" w:eastAsia="仿宋_GB2312"/>
          <w:b w:val="0"/>
          <w:sz w:val="32"/>
        </w:rPr>
        <w:t>授予中小企业合同金额24.93万元，占政府采购支出总额的100.00%，其中：授予小微企业合同金额24.93万元，占政府采购支出总额的100.00%。</w:t>
      </w:r>
    </w:p>
    <w:p w14:paraId="7E4E96CA">
      <w:pPr>
        <w:spacing w:line="640" w:lineRule="exact"/>
        <w:ind w:firstLine="640"/>
        <w:jc w:val="both"/>
        <w:outlineLvl w:val="3"/>
      </w:pPr>
      <w:r>
        <w:rPr>
          <w:rFonts w:ascii="楷体_GB2312" w:hAnsi="楷体_GB2312" w:eastAsia="楷体_GB2312"/>
          <w:b/>
          <w:sz w:val="32"/>
        </w:rPr>
        <w:t>（三）国有资产占用情况说明</w:t>
      </w:r>
    </w:p>
    <w:p w14:paraId="64B453B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08721417">
      <w:pPr>
        <w:spacing w:line="640" w:lineRule="exact"/>
        <w:ind w:firstLine="640"/>
        <w:jc w:val="both"/>
        <w:outlineLvl w:val="2"/>
      </w:pPr>
      <w:r>
        <w:rPr>
          <w:rFonts w:ascii="黑体" w:hAnsi="黑体" w:eastAsia="黑体"/>
          <w:sz w:val="32"/>
        </w:rPr>
        <w:t>十一、预算绩效的情况说明</w:t>
      </w:r>
    </w:p>
    <w:p w14:paraId="4525C20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260.23万元，实际执行总额258.65万元；预算绩效评价项目3个，全年预算数124.51万元，全年执行数110.36万元。预算绩效管理取得的成效：一是维护和管理好开放场地，更好地利用场馆资源，为群众健身创造更好的体育锻炼环境；二是免费开放乒乓球、篮球馆、羽毛球等项目。做到了健身活动</w:t>
      </w:r>
      <w:r>
        <w:rPr>
          <w:rFonts w:hint="eastAsia" w:ascii="仿宋_GB2312" w:hAnsi="仿宋_GB2312" w:eastAsia="仿宋_GB2312"/>
          <w:b w:val="0"/>
          <w:sz w:val="32"/>
          <w:lang w:eastAsia="zh-CN"/>
        </w:rPr>
        <w:t>长年不断</w:t>
      </w:r>
      <w:r>
        <w:rPr>
          <w:rFonts w:ascii="仿宋_GB2312" w:hAnsi="仿宋_GB2312" w:eastAsia="仿宋_GB2312"/>
          <w:b w:val="0"/>
          <w:sz w:val="32"/>
        </w:rPr>
        <w:t>线，不断掀起全民健身的高潮，增强群众身体健康素质。发现的问题及原因：由于单位负责场馆维护的工作人员不够，场地维护不及时。下一步改进措施：一是加强场馆维护人员业务学习；二是工作人员做到及时维护场地。具体附整体支出绩效自评表，项目支出绩效自评表和评价报告。</w:t>
      </w:r>
    </w:p>
    <w:p w14:paraId="12AD3E39">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82B6233">
        <w:tblPrEx>
          <w:tblCellMar>
            <w:top w:w="0" w:type="dxa"/>
            <w:left w:w="108" w:type="dxa"/>
            <w:bottom w:w="0" w:type="dxa"/>
            <w:right w:w="108" w:type="dxa"/>
          </w:tblCellMar>
        </w:tblPrEx>
        <w:tc>
          <w:tcPr>
            <w:tcW w:w="8840" w:type="dxa"/>
            <w:gridSpan w:val="8"/>
            <w:vAlign w:val="center"/>
          </w:tcPr>
          <w:p w14:paraId="290E6D74">
            <w:pPr>
              <w:jc w:val="center"/>
            </w:pPr>
            <w:r>
              <w:rPr>
                <w:rFonts w:ascii="宋体" w:hAnsi="宋体" w:eastAsia="宋体"/>
                <w:sz w:val="24"/>
              </w:rPr>
              <w:t>单位整体支出绩效自评表</w:t>
            </w:r>
          </w:p>
        </w:tc>
      </w:tr>
      <w:tr w14:paraId="29727140">
        <w:tblPrEx>
          <w:tblCellMar>
            <w:top w:w="0" w:type="dxa"/>
            <w:left w:w="108" w:type="dxa"/>
            <w:bottom w:w="0" w:type="dxa"/>
            <w:right w:w="108" w:type="dxa"/>
          </w:tblCellMar>
        </w:tblPrEx>
        <w:tc>
          <w:tcPr>
            <w:tcW w:w="8840" w:type="dxa"/>
            <w:gridSpan w:val="8"/>
            <w:vAlign w:val="center"/>
          </w:tcPr>
          <w:p w14:paraId="5304ACB7">
            <w:pPr>
              <w:jc w:val="center"/>
            </w:pPr>
            <w:r>
              <w:rPr>
                <w:rFonts w:ascii="宋体" w:hAnsi="宋体" w:eastAsia="宋体"/>
                <w:sz w:val="24"/>
              </w:rPr>
              <w:t>（2024年度）</w:t>
            </w:r>
          </w:p>
        </w:tc>
      </w:tr>
      <w:tr w14:paraId="1ED8C4B7">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6744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BD2DE">
            <w:pPr>
              <w:jc w:val="center"/>
            </w:pPr>
            <w:r>
              <w:rPr>
                <w:rFonts w:ascii="宋体" w:hAnsi="宋体" w:eastAsia="宋体"/>
                <w:sz w:val="16"/>
              </w:rPr>
              <w:t>克孜勒苏柯尔克孜自治州体育中心</w:t>
            </w:r>
          </w:p>
        </w:tc>
      </w:tr>
      <w:tr w14:paraId="4AAF353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9CB53">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E024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D3D6E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AF7B7">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EFF1D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F42C5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477C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AD4E3">
            <w:pPr>
              <w:jc w:val="center"/>
            </w:pPr>
            <w:r>
              <w:rPr>
                <w:rFonts w:ascii="宋体" w:hAnsi="宋体" w:eastAsia="宋体"/>
                <w:sz w:val="16"/>
              </w:rPr>
              <w:t>得分</w:t>
            </w:r>
          </w:p>
        </w:tc>
      </w:tr>
      <w:tr w14:paraId="7EC7132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3B904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6E77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2C62B">
            <w:pPr>
              <w:jc w:val="center"/>
            </w:pPr>
            <w:r>
              <w:rPr>
                <w:rFonts w:ascii="宋体" w:hAnsi="宋体" w:eastAsia="宋体"/>
                <w:sz w:val="16"/>
              </w:rPr>
              <w:t>380.07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AB4915">
            <w:pPr>
              <w:jc w:val="center"/>
            </w:pPr>
            <w:r>
              <w:rPr>
                <w:rFonts w:ascii="宋体" w:hAnsi="宋体" w:eastAsia="宋体"/>
                <w:sz w:val="16"/>
              </w:rPr>
              <w:t>260.23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9F8F0">
            <w:pPr>
              <w:jc w:val="center"/>
            </w:pPr>
            <w:r>
              <w:rPr>
                <w:rFonts w:ascii="宋体" w:hAnsi="宋体" w:eastAsia="宋体"/>
                <w:sz w:val="16"/>
              </w:rPr>
              <w:t>258.65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BC67A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B19D0">
            <w:pPr>
              <w:jc w:val="center"/>
            </w:pPr>
            <w:r>
              <w:rPr>
                <w:rFonts w:ascii="宋体" w:hAnsi="宋体" w:eastAsia="宋体"/>
                <w:sz w:val="16"/>
              </w:rPr>
              <w:t>99.39%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EF1440">
            <w:pPr>
              <w:jc w:val="center"/>
              <w:rPr>
                <w:rFonts w:hint="default"/>
                <w:lang w:val="en-US"/>
              </w:rPr>
            </w:pPr>
            <w:r>
              <w:rPr>
                <w:rFonts w:hint="eastAsia" w:ascii="宋体" w:hAnsi="宋体"/>
                <w:sz w:val="16"/>
                <w:lang w:val="en-US" w:eastAsia="zh-CN"/>
              </w:rPr>
              <w:t>9.94</w:t>
            </w:r>
            <w:bookmarkStart w:id="0" w:name="_GoBack"/>
            <w:bookmarkEnd w:id="0"/>
            <w:r>
              <w:rPr>
                <w:rFonts w:hint="eastAsia" w:ascii="宋体" w:hAnsi="宋体"/>
                <w:sz w:val="16"/>
                <w:lang w:val="en-US" w:eastAsia="zh-CN"/>
              </w:rPr>
              <w:t>分</w:t>
            </w:r>
          </w:p>
        </w:tc>
      </w:tr>
      <w:tr w14:paraId="3B8B9B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072A2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BFD5E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16FA8">
            <w:pPr>
              <w:jc w:val="center"/>
            </w:pPr>
            <w:r>
              <w:rPr>
                <w:rFonts w:ascii="宋体" w:hAnsi="宋体" w:eastAsia="宋体"/>
                <w:sz w:val="16"/>
              </w:rPr>
              <w:t>119.00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9E85C6">
            <w:pPr>
              <w:jc w:val="center"/>
            </w:pPr>
            <w:r>
              <w:rPr>
                <w:rFonts w:ascii="宋体" w:hAnsi="宋体" w:eastAsia="宋体"/>
                <w:sz w:val="16"/>
              </w:rPr>
              <w:t>107.22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D2B407">
            <w:pPr>
              <w:jc w:val="center"/>
            </w:pPr>
            <w:r>
              <w:rPr>
                <w:rFonts w:ascii="宋体" w:hAnsi="宋体" w:eastAsia="宋体"/>
                <w:sz w:val="16"/>
              </w:rPr>
              <w:t>107.22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ECA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D0D8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A19B5">
            <w:pPr>
              <w:jc w:val="center"/>
            </w:pPr>
            <w:r>
              <w:rPr>
                <w:rFonts w:ascii="宋体" w:hAnsi="宋体" w:eastAsia="宋体"/>
                <w:sz w:val="16"/>
              </w:rPr>
              <w:t>—</w:t>
            </w:r>
          </w:p>
        </w:tc>
      </w:tr>
      <w:tr w14:paraId="75C114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FF5B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54411D">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F428C">
            <w:pPr>
              <w:jc w:val="center"/>
            </w:pPr>
            <w:r>
              <w:rPr>
                <w:rFonts w:ascii="宋体" w:hAnsi="宋体" w:eastAsia="宋体"/>
                <w:sz w:val="16"/>
              </w:rPr>
              <w:t>154.56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78E9A">
            <w:pPr>
              <w:jc w:val="center"/>
            </w:pPr>
            <w:r>
              <w:rPr>
                <w:rFonts w:ascii="宋体" w:hAnsi="宋体" w:eastAsia="宋体"/>
                <w:sz w:val="16"/>
              </w:rPr>
              <w:t>148.29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73CD3">
            <w:pPr>
              <w:jc w:val="center"/>
            </w:pPr>
            <w:r>
              <w:rPr>
                <w:rFonts w:ascii="宋体" w:hAnsi="宋体" w:eastAsia="宋体"/>
                <w:sz w:val="16"/>
              </w:rPr>
              <w:t>148.29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AA5C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A40F8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34CE6F">
            <w:pPr>
              <w:jc w:val="center"/>
            </w:pPr>
            <w:r>
              <w:rPr>
                <w:rFonts w:ascii="宋体" w:hAnsi="宋体" w:eastAsia="宋体"/>
                <w:sz w:val="16"/>
              </w:rPr>
              <w:t>—</w:t>
            </w:r>
          </w:p>
        </w:tc>
      </w:tr>
      <w:tr w14:paraId="7BE08B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3133B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AE73D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E2B60">
            <w:pPr>
              <w:jc w:val="center"/>
            </w:pPr>
            <w:r>
              <w:rPr>
                <w:rFonts w:ascii="宋体" w:hAnsi="宋体" w:eastAsia="宋体"/>
                <w:sz w:val="16"/>
              </w:rPr>
              <w:t>106.51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1421E5">
            <w:pPr>
              <w:jc w:val="center"/>
            </w:pPr>
            <w:r>
              <w:rPr>
                <w:rFonts w:ascii="宋体" w:hAnsi="宋体" w:eastAsia="宋体"/>
                <w:sz w:val="16"/>
              </w:rPr>
              <w:t>4.72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A7E47">
            <w:pPr>
              <w:jc w:val="center"/>
            </w:pPr>
            <w:r>
              <w:rPr>
                <w:rFonts w:ascii="宋体" w:hAnsi="宋体" w:eastAsia="宋体"/>
                <w:sz w:val="16"/>
              </w:rPr>
              <w:t>3.14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0F00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4C5D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3F836">
            <w:pPr>
              <w:jc w:val="center"/>
            </w:pPr>
            <w:r>
              <w:rPr>
                <w:rFonts w:ascii="宋体" w:hAnsi="宋体" w:eastAsia="宋体"/>
                <w:sz w:val="16"/>
              </w:rPr>
              <w:t>—</w:t>
            </w:r>
          </w:p>
        </w:tc>
      </w:tr>
      <w:tr w14:paraId="479F939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444F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D2D09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52ED68">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44E372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B655E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9F5CC5">
            <w:pPr>
              <w:jc w:val="both"/>
            </w:pPr>
            <w:r>
              <w:rPr>
                <w:rFonts w:ascii="宋体" w:hAnsi="宋体" w:eastAsia="宋体"/>
                <w:sz w:val="16"/>
              </w:rPr>
              <w:t>以习近平新时代中国特色社会主义思想为指导，认真学习贯彻落实党的二十大精神和第三次中央新疆工作座谈会精神，认真完成局党组交办的各项工作任务。"</w:t>
            </w:r>
            <w:r>
              <w:rPr>
                <w:rFonts w:ascii="宋体" w:hAnsi="宋体" w:eastAsia="宋体"/>
                <w:sz w:val="16"/>
              </w:rPr>
              <w:br w:type="textWrapping"/>
            </w:r>
            <w:r>
              <w:rPr>
                <w:rFonts w:ascii="宋体" w:hAnsi="宋体" w:eastAsia="宋体"/>
                <w:sz w:val="16"/>
              </w:rPr>
              <w:t>1、继续加强做好职工素质和思想建设工作，推进创先争优活动不断深入，提高体育干部的整体素质，以满足新时代体育建设的需要和体育服务的质量。</w:t>
            </w:r>
            <w:r>
              <w:rPr>
                <w:rFonts w:ascii="宋体" w:hAnsi="宋体" w:eastAsia="宋体"/>
                <w:sz w:val="16"/>
              </w:rPr>
              <w:br w:type="textWrapping"/>
            </w:r>
            <w:r>
              <w:rPr>
                <w:rFonts w:ascii="宋体" w:hAnsi="宋体" w:eastAsia="宋体"/>
                <w:sz w:val="16"/>
              </w:rPr>
              <w:t>2、认真贯彻实施《全民健身条例》，大力开展全民健身活动，增强市民体质，全民健身日活动、体育进社区的赛事活动，丰富市民群众的体育生活，促进克州全民健身工程的发展。</w:t>
            </w:r>
            <w:r>
              <w:rPr>
                <w:rFonts w:ascii="宋体" w:hAnsi="宋体" w:eastAsia="宋体"/>
                <w:sz w:val="16"/>
              </w:rPr>
              <w:br w:type="textWrapping"/>
            </w:r>
            <w:r>
              <w:rPr>
                <w:rFonts w:ascii="宋体" w:hAnsi="宋体" w:eastAsia="宋体"/>
                <w:sz w:val="16"/>
              </w:rPr>
              <w:t>3、利用场馆优势，增加体育项目打造特色体育公园扩大对外开放。"</w:t>
            </w:r>
            <w:r>
              <w:rPr>
                <w:rFonts w:ascii="宋体" w:hAnsi="宋体" w:eastAsia="宋体"/>
                <w:sz w:val="16"/>
              </w:rPr>
              <w:br w:type="textWrapping"/>
            </w:r>
            <w:r>
              <w:rPr>
                <w:rFonts w:ascii="宋体" w:hAnsi="宋体" w:eastAsia="宋体"/>
                <w:sz w:val="16"/>
              </w:rPr>
              <w:t>4、完善体育场地设施建设、管理和向社会开放，为克州各族人民群众参与体育健身提供场地和设施</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5、积极配合克州业余体校、摔跤大队集训和选拔赛工作的服务力度。"</w:t>
            </w:r>
            <w:r>
              <w:rPr>
                <w:rFonts w:ascii="宋体" w:hAnsi="宋体" w:eastAsia="宋体"/>
                <w:sz w:val="16"/>
              </w:rPr>
              <w:br w:type="textWrapping"/>
            </w:r>
            <w:r>
              <w:rPr>
                <w:rFonts w:ascii="宋体" w:hAnsi="宋体" w:eastAsia="宋体"/>
                <w:sz w:val="16"/>
              </w:rPr>
              <w:t>6、认真落实局党组安排的各项工作任务，按照各阶段的工作部署认真开展各项活动，在狠抓竞技体育工作的同时，有条不紊地配合开展好群众体育工作，促进群众性体育活动在我州的全面开展。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729BFD">
            <w:pPr>
              <w:jc w:val="both"/>
            </w:pPr>
            <w:r>
              <w:rPr>
                <w:rFonts w:ascii="宋体" w:hAnsi="宋体" w:eastAsia="宋体"/>
                <w:sz w:val="16"/>
              </w:rPr>
              <w:t>“举办赛事及活动”指标：预期指标值为200次，“场馆运行及维修、维护”指标：预期指标值为5次，“健身器材及场馆使用率”指标：预期指标值为100%保障了我单位9名职工的工资、福利及社保正常发放及缴纳，确保民生工作落实到位；保障单位各项工作的正常运转，确保机构运转正常；今年我单位第十届国际玛纳斯旅游节，自治区第一届体育大赛足球比赛，克州成立70周年州庆各项活动，玛纳斯巴扎，第二届阿图什杯，展销会等大型活动期间做好了后勤保障工作。今年克州体育中心开展建州70周年克州青少年足球，排球，篮球，乒乓球比赛和各项广场文化等活动125次，观看群众25万人次。“第十一届天山南北贺新春非物质文化遗产年俗展暨首届柯尔克孜族奥尔多(皇宫)传统体育游艺比赛、加强文化润疆，铸牢中华民族共同体意识，要保护传承弘扬中华优秀传统体育文化，传统体育比赛、非遗展览展演活动”。2024年全年克州体育中心体育广场及各运动场馆免费开放工作正常有序开展，参与群众人数体育场13.4万人次,体育馆8万人次，共计21.4万人次。</w:t>
            </w:r>
          </w:p>
        </w:tc>
      </w:tr>
      <w:tr w14:paraId="2E5D84D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AB0A1">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17728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015C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90C286">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8C6F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0FDE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A2C8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661AB">
            <w:pPr>
              <w:jc w:val="center"/>
            </w:pPr>
            <w:r>
              <w:rPr>
                <w:rFonts w:ascii="宋体" w:hAnsi="宋体" w:eastAsia="宋体"/>
                <w:sz w:val="16"/>
              </w:rPr>
              <w:t>得分</w:t>
            </w:r>
          </w:p>
        </w:tc>
      </w:tr>
      <w:tr w14:paraId="7C587ED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6574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C4EDF">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84A8E">
            <w:pPr>
              <w:jc w:val="center"/>
            </w:pPr>
            <w:r>
              <w:rPr>
                <w:rFonts w:ascii="宋体" w:hAnsi="宋体" w:eastAsia="宋体"/>
                <w:sz w:val="16"/>
              </w:rPr>
              <w:t>举办赛事及活动（场次）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A8921E">
            <w:pPr>
              <w:jc w:val="center"/>
            </w:pPr>
            <w:r>
              <w:rPr>
                <w:rFonts w:ascii="宋体" w:hAnsi="宋体" w:eastAsia="宋体"/>
                <w:sz w:val="16"/>
              </w:rPr>
              <w:t>&gt;=200场次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9B2EC1">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1FC0A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92E91">
            <w:pPr>
              <w:jc w:val="center"/>
            </w:pPr>
            <w:r>
              <w:rPr>
                <w:rFonts w:ascii="宋体" w:hAnsi="宋体" w:eastAsia="宋体"/>
                <w:sz w:val="16"/>
              </w:rPr>
              <w:t>200场次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786D69">
            <w:pPr>
              <w:jc w:val="center"/>
            </w:pPr>
            <w:r>
              <w:rPr>
                <w:rFonts w:ascii="宋体" w:hAnsi="宋体" w:eastAsia="宋体"/>
                <w:sz w:val="16"/>
              </w:rPr>
              <w:t>30</w:t>
            </w:r>
          </w:p>
        </w:tc>
      </w:tr>
      <w:tr w14:paraId="7DBFF5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6CDB5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D249C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94D0F">
            <w:pPr>
              <w:jc w:val="center"/>
            </w:pPr>
            <w:r>
              <w:rPr>
                <w:rFonts w:ascii="宋体" w:hAnsi="宋体" w:eastAsia="宋体"/>
                <w:sz w:val="16"/>
              </w:rPr>
              <w:t>场馆运行及维修、维护（次）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8BEC6">
            <w:pPr>
              <w:jc w:val="center"/>
            </w:pPr>
            <w:r>
              <w:rPr>
                <w:rFonts w:ascii="宋体" w:hAnsi="宋体" w:eastAsia="宋体"/>
                <w:sz w:val="16"/>
              </w:rPr>
              <w:t>&gt;=10次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8D1D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E9210C">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395EAA">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2707C">
            <w:pPr>
              <w:jc w:val="center"/>
            </w:pPr>
            <w:r>
              <w:rPr>
                <w:rFonts w:ascii="宋体" w:hAnsi="宋体" w:eastAsia="宋体"/>
                <w:sz w:val="16"/>
              </w:rPr>
              <w:t>30</w:t>
            </w:r>
          </w:p>
        </w:tc>
      </w:tr>
      <w:tr w14:paraId="1EE038E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0099F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176B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DB0DB">
            <w:pPr>
              <w:jc w:val="center"/>
            </w:pPr>
            <w:r>
              <w:rPr>
                <w:rFonts w:ascii="宋体" w:hAnsi="宋体" w:eastAsia="宋体"/>
                <w:sz w:val="16"/>
              </w:rPr>
              <w:t>健身器材及场馆使用率（%）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D5723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F00FC7">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F8CD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5B78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94D041">
            <w:pPr>
              <w:jc w:val="center"/>
            </w:pPr>
            <w:r>
              <w:rPr>
                <w:rFonts w:ascii="宋体" w:hAnsi="宋体" w:eastAsia="宋体"/>
                <w:sz w:val="16"/>
              </w:rPr>
              <w:t>30</w:t>
            </w:r>
          </w:p>
        </w:tc>
      </w:tr>
    </w:tbl>
    <w:p w14:paraId="6D0517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54D5C117">
        <w:tblPrEx>
          <w:tblCellMar>
            <w:top w:w="0" w:type="dxa"/>
            <w:left w:w="108" w:type="dxa"/>
            <w:bottom w:w="0" w:type="dxa"/>
            <w:right w:w="108" w:type="dxa"/>
          </w:tblCellMar>
        </w:tblPrEx>
        <w:tc>
          <w:tcPr>
            <w:tcW w:w="8848" w:type="dxa"/>
            <w:gridSpan w:val="14"/>
            <w:vAlign w:val="center"/>
          </w:tcPr>
          <w:p w14:paraId="643F2CBE">
            <w:pPr>
              <w:jc w:val="center"/>
            </w:pPr>
            <w:r>
              <w:rPr>
                <w:rFonts w:ascii="宋体" w:hAnsi="宋体" w:eastAsia="宋体"/>
                <w:sz w:val="24"/>
              </w:rPr>
              <w:t>项目支出绩效自评表</w:t>
            </w:r>
          </w:p>
        </w:tc>
      </w:tr>
      <w:tr w14:paraId="6C5912A2">
        <w:tblPrEx>
          <w:tblCellMar>
            <w:top w:w="0" w:type="dxa"/>
            <w:left w:w="108" w:type="dxa"/>
            <w:bottom w:w="0" w:type="dxa"/>
            <w:right w:w="108" w:type="dxa"/>
          </w:tblCellMar>
        </w:tblPrEx>
        <w:tc>
          <w:tcPr>
            <w:tcW w:w="8848" w:type="dxa"/>
            <w:gridSpan w:val="14"/>
            <w:vAlign w:val="center"/>
          </w:tcPr>
          <w:p w14:paraId="63C4F159">
            <w:pPr>
              <w:jc w:val="center"/>
            </w:pPr>
            <w:r>
              <w:rPr>
                <w:rFonts w:ascii="宋体" w:hAnsi="宋体" w:eastAsia="宋体"/>
                <w:sz w:val="24"/>
              </w:rPr>
              <w:t>(2024年度)</w:t>
            </w:r>
          </w:p>
        </w:tc>
      </w:tr>
      <w:tr w14:paraId="4F35D5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C0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70CC5E">
            <w:pPr>
              <w:jc w:val="center"/>
            </w:pPr>
            <w:r>
              <w:rPr>
                <w:rFonts w:ascii="宋体" w:hAnsi="宋体" w:eastAsia="宋体"/>
                <w:sz w:val="16"/>
              </w:rPr>
              <w:t>2024年公共体育场馆向社会免费或低收费开放补助资金项目</w:t>
            </w:r>
          </w:p>
        </w:tc>
      </w:tr>
      <w:tr w14:paraId="1CED6B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01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BFEE2">
            <w:pPr>
              <w:jc w:val="center"/>
            </w:pPr>
            <w:r>
              <w:rPr>
                <w:rFonts w:ascii="宋体" w:hAnsi="宋体" w:eastAsia="宋体"/>
                <w:sz w:val="16"/>
              </w:rPr>
              <w:t>克孜勒苏柯尔克孜自治州文旅局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D4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37F5C5">
            <w:pPr>
              <w:jc w:val="center"/>
            </w:pPr>
            <w:r>
              <w:rPr>
                <w:rFonts w:ascii="宋体" w:hAnsi="宋体" w:eastAsia="宋体"/>
                <w:sz w:val="16"/>
              </w:rPr>
              <w:t>克孜勒苏柯尔克孜自治州体育中心</w:t>
            </w:r>
          </w:p>
        </w:tc>
      </w:tr>
      <w:tr w14:paraId="718B2B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333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C28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BE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DD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61B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B7E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FD3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80FB">
            <w:pPr>
              <w:jc w:val="center"/>
            </w:pPr>
            <w:r>
              <w:rPr>
                <w:rFonts w:ascii="宋体" w:hAnsi="宋体" w:eastAsia="宋体"/>
                <w:sz w:val="16"/>
              </w:rPr>
              <w:t>得分</w:t>
            </w:r>
          </w:p>
        </w:tc>
      </w:tr>
      <w:tr w14:paraId="1A98D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EC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D96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1E651">
            <w:pPr>
              <w:jc w:val="center"/>
            </w:pPr>
            <w:r>
              <w:rPr>
                <w:rFonts w:ascii="宋体" w:hAnsi="宋体" w:eastAsia="宋体"/>
                <w:sz w:val="16"/>
              </w:rPr>
              <w:t>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2E41">
            <w:pPr>
              <w:jc w:val="center"/>
            </w:pPr>
            <w:r>
              <w:rPr>
                <w:rFonts w:ascii="宋体" w:hAnsi="宋体" w:eastAsia="宋体"/>
                <w:sz w:val="16"/>
              </w:rPr>
              <w:t>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4087A">
            <w:pPr>
              <w:jc w:val="center"/>
            </w:pPr>
            <w:r>
              <w:rPr>
                <w:rFonts w:ascii="宋体" w:hAnsi="宋体" w:eastAsia="宋体"/>
                <w:sz w:val="16"/>
              </w:rPr>
              <w:t>84.57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701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CBA01">
            <w:pPr>
              <w:jc w:val="center"/>
            </w:pPr>
            <w:r>
              <w:rPr>
                <w:rFonts w:ascii="宋体" w:hAnsi="宋体" w:eastAsia="宋体"/>
                <w:sz w:val="16"/>
              </w:rPr>
              <w:t>89.0%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295F7">
            <w:pPr>
              <w:jc w:val="center"/>
            </w:pPr>
            <w:r>
              <w:rPr>
                <w:rFonts w:ascii="宋体" w:hAnsi="宋体" w:eastAsia="宋体"/>
                <w:sz w:val="16"/>
              </w:rPr>
              <w:t>7.25分</w:t>
            </w:r>
          </w:p>
        </w:tc>
      </w:tr>
      <w:tr w14:paraId="03319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E25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5BC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3B396">
            <w:pPr>
              <w:jc w:val="center"/>
            </w:pPr>
            <w:r>
              <w:rPr>
                <w:rFonts w:ascii="宋体" w:hAnsi="宋体" w:eastAsia="宋体"/>
                <w:sz w:val="16"/>
              </w:rPr>
              <w:t>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B7936">
            <w:pPr>
              <w:jc w:val="center"/>
            </w:pPr>
            <w:r>
              <w:rPr>
                <w:rFonts w:ascii="宋体" w:hAnsi="宋体" w:eastAsia="宋体"/>
                <w:sz w:val="16"/>
              </w:rPr>
              <w:t>95.00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3EF0D">
            <w:pPr>
              <w:jc w:val="center"/>
            </w:pPr>
            <w:r>
              <w:rPr>
                <w:rFonts w:ascii="宋体" w:hAnsi="宋体" w:eastAsia="宋体"/>
                <w:sz w:val="16"/>
              </w:rPr>
              <w:t>84.57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DC3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DB1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23238">
            <w:pPr>
              <w:jc w:val="center"/>
            </w:pPr>
            <w:r>
              <w:rPr>
                <w:rFonts w:ascii="宋体" w:hAnsi="宋体" w:eastAsia="宋体"/>
                <w:sz w:val="16"/>
              </w:rPr>
              <w:t>—</w:t>
            </w:r>
          </w:p>
        </w:tc>
      </w:tr>
      <w:tr w14:paraId="230C7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6A3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328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931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CC3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76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0C1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F7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4526">
            <w:pPr>
              <w:jc w:val="center"/>
            </w:pPr>
            <w:r>
              <w:rPr>
                <w:rFonts w:ascii="宋体" w:hAnsi="宋体" w:eastAsia="宋体"/>
                <w:sz w:val="16"/>
              </w:rPr>
              <w:t>—</w:t>
            </w:r>
          </w:p>
        </w:tc>
      </w:tr>
      <w:tr w14:paraId="06E762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9A5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EF80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FC85D5">
            <w:pPr>
              <w:jc w:val="center"/>
            </w:pPr>
            <w:r>
              <w:rPr>
                <w:rFonts w:ascii="宋体" w:hAnsi="宋体" w:eastAsia="宋体"/>
                <w:sz w:val="16"/>
              </w:rPr>
              <w:t>实际完成情况</w:t>
            </w:r>
          </w:p>
        </w:tc>
      </w:tr>
      <w:tr w14:paraId="0CBF0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49A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17EBD7">
            <w:pPr>
              <w:jc w:val="both"/>
            </w:pPr>
            <w:r>
              <w:rPr>
                <w:rFonts w:ascii="宋体" w:hAnsi="宋体" w:eastAsia="宋体"/>
                <w:sz w:val="16"/>
              </w:rPr>
              <w:t>项目资金95万元（财政拨款）。根据自治区财政厅《关于下达2024年公共体育场馆向社会免费或低收费开放补助资金预算的通知》（新财教〔2023〕183号）文件精神和《关于下达自治州本级2024年度部门预算指标的通知》（克财预〔2024〕1号）文件精神，主要用于场馆修缮5次，聘用人员6人、水、电费缴纳12次，达到全年对外开放330天以上，每周35小时以上，质量达到《公共体育场馆基本公共服务规范》标准，群众满意度大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EDD313">
            <w:pPr>
              <w:jc w:val="both"/>
            </w:pPr>
            <w:r>
              <w:rPr>
                <w:rFonts w:ascii="宋体" w:hAnsi="宋体" w:eastAsia="宋体"/>
                <w:sz w:val="16"/>
              </w:rPr>
              <w:t>项目资金95万元（财政拨款）。根据自治区财政厅《关于下达2024年公共体育场馆向社会免费或低收费开放补助资金预算的通知》（新财教〔2023〕183号）文件精神和《关于下达自治州本级2024年度部门预算指标的通知》（克财预〔2024〕1号）文件精神，主要用于场馆修缮6次，聘用人员6人、水、电费缴纳12次，达到全年对外开放330天以上，每周35小时以上，质量达到《公共体育场馆基本公共服务规范》标准，群众满意度大于90%。</w:t>
            </w:r>
          </w:p>
        </w:tc>
      </w:tr>
      <w:tr w14:paraId="40AC54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822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69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35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61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23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EA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1D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13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3A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342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50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91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0A72">
            <w:pPr>
              <w:jc w:val="center"/>
            </w:pPr>
            <w:r>
              <w:rPr>
                <w:rFonts w:ascii="宋体" w:hAnsi="宋体" w:eastAsia="宋体"/>
                <w:sz w:val="16"/>
              </w:rPr>
              <w:t>偏差原因分析及改进措施</w:t>
            </w:r>
          </w:p>
        </w:tc>
      </w:tr>
      <w:tr w14:paraId="534438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47E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11E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B5D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D5AD">
            <w:pPr>
              <w:jc w:val="center"/>
            </w:pPr>
            <w:r>
              <w:rPr>
                <w:rFonts w:ascii="宋体" w:hAnsi="宋体" w:eastAsia="宋体"/>
                <w:sz w:val="16"/>
              </w:rPr>
              <w:t>全年对外开放天数（天）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55E5">
            <w:pPr>
              <w:jc w:val="center"/>
            </w:pPr>
            <w:r>
              <w:rPr>
                <w:rFonts w:ascii="宋体" w:hAnsi="宋体" w:eastAsia="宋体"/>
                <w:sz w:val="16"/>
              </w:rPr>
              <w:t>&gt;=330（天）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59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A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81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C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7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1481">
            <w:pPr>
              <w:jc w:val="center"/>
            </w:pPr>
            <w:r>
              <w:rPr>
                <w:rFonts w:ascii="宋体" w:hAnsi="宋体" w:eastAsia="宋体"/>
                <w:sz w:val="16"/>
              </w:rPr>
              <w:t>=331（天）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DA4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A5FA">
            <w:pPr>
              <w:jc w:val="center"/>
            </w:pPr>
          </w:p>
        </w:tc>
      </w:tr>
      <w:tr w14:paraId="27E5D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68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2D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923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953E">
            <w:pPr>
              <w:jc w:val="center"/>
            </w:pPr>
            <w:r>
              <w:rPr>
                <w:rFonts w:ascii="宋体" w:hAnsi="宋体" w:eastAsia="宋体"/>
                <w:sz w:val="16"/>
              </w:rPr>
              <w:t>每周开放时间（小时）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AE75">
            <w:pPr>
              <w:jc w:val="center"/>
            </w:pPr>
            <w:r>
              <w:rPr>
                <w:rFonts w:ascii="宋体" w:hAnsi="宋体" w:eastAsia="宋体"/>
                <w:sz w:val="16"/>
              </w:rPr>
              <w:t>&gt;=35小时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9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B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FE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B0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1D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7050">
            <w:pPr>
              <w:jc w:val="center"/>
            </w:pPr>
            <w:r>
              <w:rPr>
                <w:rFonts w:ascii="宋体" w:hAnsi="宋体" w:eastAsia="宋体"/>
                <w:sz w:val="16"/>
              </w:rPr>
              <w:t>=35小时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D59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0507">
            <w:pPr>
              <w:jc w:val="center"/>
            </w:pPr>
          </w:p>
        </w:tc>
      </w:tr>
      <w:tr w14:paraId="4C60F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BB8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FAA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4C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4259">
            <w:pPr>
              <w:jc w:val="center"/>
            </w:pPr>
            <w:r>
              <w:rPr>
                <w:rFonts w:ascii="宋体" w:hAnsi="宋体" w:eastAsia="宋体"/>
                <w:sz w:val="16"/>
              </w:rPr>
              <w:t>国家法定节假日、全民健身日和学校寒暑假期间每天开放时间（小时）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FA43">
            <w:pPr>
              <w:jc w:val="center"/>
            </w:pPr>
            <w:r>
              <w:rPr>
                <w:rFonts w:ascii="宋体" w:hAnsi="宋体" w:eastAsia="宋体"/>
                <w:sz w:val="16"/>
              </w:rPr>
              <w:t>&gt;=8小时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A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08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F3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A9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2A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CA7B">
            <w:pPr>
              <w:jc w:val="center"/>
            </w:pPr>
            <w:r>
              <w:rPr>
                <w:rFonts w:ascii="宋体" w:hAnsi="宋体" w:eastAsia="宋体"/>
                <w:sz w:val="16"/>
              </w:rPr>
              <w:t>=8小时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D0B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E8508">
            <w:pPr>
              <w:jc w:val="center"/>
            </w:pPr>
          </w:p>
        </w:tc>
      </w:tr>
      <w:tr w14:paraId="3733F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71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C8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48D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8A33A">
            <w:pPr>
              <w:jc w:val="center"/>
            </w:pPr>
            <w:r>
              <w:rPr>
                <w:rFonts w:ascii="宋体" w:hAnsi="宋体" w:eastAsia="宋体"/>
                <w:sz w:val="16"/>
              </w:rPr>
              <w:t>场馆修缮次数（次）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6323">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5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1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22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7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2A53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2A0B">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D8355">
            <w:pPr>
              <w:jc w:val="center"/>
            </w:pPr>
            <w:r>
              <w:rPr>
                <w:rFonts w:ascii="宋体" w:hAnsi="宋体" w:eastAsia="宋体"/>
                <w:sz w:val="16"/>
              </w:rPr>
              <w:t>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7ABC2">
            <w:pPr>
              <w:jc w:val="center"/>
            </w:pPr>
            <w:r>
              <w:rPr>
                <w:rFonts w:ascii="宋体" w:hAnsi="宋体" w:eastAsia="宋体"/>
                <w:sz w:val="16"/>
              </w:rPr>
              <w:t>偏差原因：因服务群众需要，多修缮1次；改进措施：</w:t>
            </w:r>
          </w:p>
        </w:tc>
      </w:tr>
      <w:tr w14:paraId="70373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557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1AF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03B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9DD4">
            <w:pPr>
              <w:jc w:val="center"/>
            </w:pPr>
            <w:r>
              <w:rPr>
                <w:rFonts w:ascii="宋体" w:hAnsi="宋体" w:eastAsia="宋体"/>
                <w:sz w:val="16"/>
              </w:rPr>
              <w:t>服务质量达到《公共体育场馆基本公共服务规范》标准（%）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8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CC6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36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7E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D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F3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1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746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304BF">
            <w:pPr>
              <w:jc w:val="center"/>
            </w:pPr>
          </w:p>
        </w:tc>
      </w:tr>
      <w:tr w14:paraId="41F70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37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88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F4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6F03">
            <w:pPr>
              <w:jc w:val="center"/>
            </w:pPr>
            <w:r>
              <w:rPr>
                <w:rFonts w:ascii="宋体" w:hAnsi="宋体" w:eastAsia="宋体"/>
                <w:sz w:val="16"/>
              </w:rPr>
              <w:t>场馆修缮质量验收合格率（%）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5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8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B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32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15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A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6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59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DF800">
            <w:pPr>
              <w:jc w:val="center"/>
            </w:pPr>
          </w:p>
        </w:tc>
      </w:tr>
      <w:tr w14:paraId="4EC20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E02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1C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2D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A3B3">
            <w:pPr>
              <w:jc w:val="center"/>
            </w:pPr>
            <w:r>
              <w:rPr>
                <w:rFonts w:ascii="宋体" w:hAnsi="宋体" w:eastAsia="宋体"/>
                <w:sz w:val="16"/>
              </w:rPr>
              <w:t>国家全民健身信息服务平台数据填报及时率（%）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8F8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22D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2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DB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F0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F5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523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40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5E490">
            <w:pPr>
              <w:jc w:val="center"/>
            </w:pPr>
          </w:p>
        </w:tc>
      </w:tr>
      <w:tr w14:paraId="009C3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E2E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31F6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FAC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8E99">
            <w:pPr>
              <w:jc w:val="center"/>
            </w:pPr>
            <w:r>
              <w:rPr>
                <w:rFonts w:ascii="宋体" w:hAnsi="宋体" w:eastAsia="宋体"/>
                <w:sz w:val="16"/>
              </w:rPr>
              <w:t>场馆修缮经费（万元）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E6D3">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2E8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9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9C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6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81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7A34">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6E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2E866">
            <w:pPr>
              <w:jc w:val="center"/>
            </w:pPr>
          </w:p>
        </w:tc>
      </w:tr>
      <w:tr w14:paraId="0265C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7E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D9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62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9444">
            <w:pPr>
              <w:jc w:val="center"/>
            </w:pPr>
            <w:r>
              <w:rPr>
                <w:rFonts w:ascii="宋体" w:hAnsi="宋体" w:eastAsia="宋体"/>
                <w:sz w:val="16"/>
              </w:rPr>
              <w:t>场馆正常运行经费（万元）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F5C4">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3C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8F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6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1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AF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1AE1">
            <w:pPr>
              <w:jc w:val="center"/>
            </w:pPr>
            <w:r>
              <w:rPr>
                <w:rFonts w:ascii="宋体" w:hAnsi="宋体" w:eastAsia="宋体"/>
                <w:sz w:val="16"/>
              </w:rPr>
              <w:t>=24.57万元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63F9">
            <w:pPr>
              <w:jc w:val="center"/>
            </w:pPr>
            <w:r>
              <w:rPr>
                <w:rFonts w:ascii="宋体" w:hAnsi="宋体" w:eastAsia="宋体"/>
                <w:sz w:val="16"/>
              </w:rPr>
              <w:t>2.55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2DE9">
            <w:pPr>
              <w:jc w:val="center"/>
            </w:pPr>
            <w:r>
              <w:rPr>
                <w:rFonts w:ascii="宋体" w:hAnsi="宋体" w:eastAsia="宋体"/>
                <w:sz w:val="16"/>
              </w:rPr>
              <w:t>偏差原因：因年终无法办理支出业务，导致存在偏差；改进措施：已执行完毕。</w:t>
            </w:r>
          </w:p>
        </w:tc>
      </w:tr>
      <w:tr w14:paraId="04EF1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81C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479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9BF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7BF8">
            <w:pPr>
              <w:jc w:val="center"/>
            </w:pPr>
            <w:r>
              <w:rPr>
                <w:rFonts w:ascii="宋体" w:hAnsi="宋体" w:eastAsia="宋体"/>
                <w:sz w:val="16"/>
              </w:rPr>
              <w:t>体育场馆所属户外公共区域及户外健身器材全年免费开放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3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C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D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43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D2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6F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6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40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5561E">
            <w:pPr>
              <w:jc w:val="center"/>
            </w:pPr>
          </w:p>
        </w:tc>
      </w:tr>
      <w:tr w14:paraId="101FC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4E0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98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89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A9FD">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6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B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6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E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9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45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1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71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2AFF0">
            <w:pPr>
              <w:jc w:val="center"/>
            </w:pPr>
          </w:p>
        </w:tc>
      </w:tr>
      <w:tr w14:paraId="47360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EE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D5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7A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3BD6">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DB7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3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E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15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16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0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B6C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BB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DAA4B">
            <w:pPr>
              <w:jc w:val="center"/>
            </w:pPr>
            <w:r>
              <w:rPr>
                <w:rFonts w:ascii="宋体" w:hAnsi="宋体" w:eastAsia="宋体"/>
                <w:sz w:val="16"/>
              </w:rPr>
              <w:t>偏差原因：****；改进措施****</w:t>
            </w:r>
          </w:p>
        </w:tc>
      </w:tr>
      <w:tr w14:paraId="3C677C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C03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56A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3E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AFDC87">
            <w:pPr>
              <w:jc w:val="center"/>
            </w:pPr>
            <w:r>
              <w:rPr>
                <w:rFonts w:ascii="宋体" w:hAnsi="宋体" w:eastAsia="宋体"/>
                <w:sz w:val="16"/>
              </w:rPr>
              <w:t>88.6分</w:t>
            </w:r>
          </w:p>
        </w:tc>
      </w:tr>
    </w:tbl>
    <w:p w14:paraId="445A8F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6653A15">
        <w:tblPrEx>
          <w:tblCellMar>
            <w:top w:w="0" w:type="dxa"/>
            <w:left w:w="108" w:type="dxa"/>
            <w:bottom w:w="0" w:type="dxa"/>
            <w:right w:w="108" w:type="dxa"/>
          </w:tblCellMar>
        </w:tblPrEx>
        <w:tc>
          <w:tcPr>
            <w:tcW w:w="8848" w:type="dxa"/>
            <w:gridSpan w:val="14"/>
            <w:vAlign w:val="center"/>
          </w:tcPr>
          <w:p w14:paraId="1C131A96">
            <w:pPr>
              <w:jc w:val="center"/>
            </w:pPr>
            <w:r>
              <w:rPr>
                <w:rFonts w:ascii="宋体" w:hAnsi="宋体" w:eastAsia="宋体"/>
                <w:sz w:val="24"/>
              </w:rPr>
              <w:t>项目支出绩效自评表</w:t>
            </w:r>
          </w:p>
        </w:tc>
      </w:tr>
      <w:tr w14:paraId="48177DC0">
        <w:tblPrEx>
          <w:tblCellMar>
            <w:top w:w="0" w:type="dxa"/>
            <w:left w:w="108" w:type="dxa"/>
            <w:bottom w:w="0" w:type="dxa"/>
            <w:right w:w="108" w:type="dxa"/>
          </w:tblCellMar>
        </w:tblPrEx>
        <w:tc>
          <w:tcPr>
            <w:tcW w:w="8848" w:type="dxa"/>
            <w:gridSpan w:val="14"/>
            <w:vAlign w:val="center"/>
          </w:tcPr>
          <w:p w14:paraId="7FCD0A30">
            <w:pPr>
              <w:jc w:val="center"/>
            </w:pPr>
            <w:r>
              <w:rPr>
                <w:rFonts w:ascii="宋体" w:hAnsi="宋体" w:eastAsia="宋体"/>
                <w:sz w:val="24"/>
              </w:rPr>
              <w:t>(2024年度)</w:t>
            </w:r>
          </w:p>
        </w:tc>
      </w:tr>
      <w:tr w14:paraId="09FAEA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E2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50AB51">
            <w:pPr>
              <w:jc w:val="center"/>
            </w:pPr>
            <w:r>
              <w:rPr>
                <w:rFonts w:ascii="宋体" w:hAnsi="宋体" w:eastAsia="宋体"/>
                <w:sz w:val="16"/>
              </w:rPr>
              <w:t>体育场馆运行经费项目</w:t>
            </w:r>
          </w:p>
        </w:tc>
      </w:tr>
      <w:tr w14:paraId="73EEA4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43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C630E">
            <w:pPr>
              <w:jc w:val="center"/>
            </w:pPr>
            <w:r>
              <w:rPr>
                <w:rFonts w:ascii="宋体" w:hAnsi="宋体" w:eastAsia="宋体"/>
                <w:sz w:val="16"/>
              </w:rPr>
              <w:t>克孜勒苏柯尔克孜自治州文旅局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B7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62DF69">
            <w:pPr>
              <w:jc w:val="center"/>
            </w:pPr>
            <w:r>
              <w:rPr>
                <w:rFonts w:ascii="宋体" w:hAnsi="宋体" w:eastAsia="宋体"/>
                <w:sz w:val="16"/>
              </w:rPr>
              <w:t>克孜勒苏柯尔克孜自治州体育中心</w:t>
            </w:r>
          </w:p>
        </w:tc>
      </w:tr>
      <w:tr w14:paraId="2864C2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D41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C98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D88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A67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99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CE8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8B9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CA9A">
            <w:pPr>
              <w:jc w:val="center"/>
            </w:pPr>
            <w:r>
              <w:rPr>
                <w:rFonts w:ascii="宋体" w:hAnsi="宋体" w:eastAsia="宋体"/>
                <w:sz w:val="16"/>
              </w:rPr>
              <w:t>得分</w:t>
            </w:r>
          </w:p>
        </w:tc>
      </w:tr>
      <w:tr w14:paraId="7CCA5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FA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638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66593">
            <w:pPr>
              <w:jc w:val="center"/>
            </w:pPr>
            <w:r>
              <w:rPr>
                <w:rFonts w:ascii="宋体" w:hAnsi="宋体" w:eastAsia="宋体"/>
                <w:sz w:val="16"/>
              </w:rPr>
              <w:t>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9E18">
            <w:pPr>
              <w:jc w:val="center"/>
            </w:pPr>
            <w:r>
              <w:rPr>
                <w:rFonts w:ascii="宋体" w:hAnsi="宋体" w:eastAsia="宋体"/>
                <w:sz w:val="16"/>
              </w:rPr>
              <w:t>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CAB6A">
            <w:pPr>
              <w:jc w:val="center"/>
            </w:pPr>
            <w:r>
              <w:rPr>
                <w:rFonts w:ascii="宋体" w:hAnsi="宋体" w:eastAsia="宋体"/>
                <w:sz w:val="16"/>
              </w:rPr>
              <w:t>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B36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6517">
            <w:pPr>
              <w:jc w:val="center"/>
            </w:pPr>
            <w:r>
              <w:rPr>
                <w:rFonts w:ascii="宋体" w:hAnsi="宋体" w:eastAsia="宋体"/>
                <w:sz w:val="16"/>
              </w:rPr>
              <w:t>57.0%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8BB3">
            <w:pPr>
              <w:jc w:val="center"/>
            </w:pPr>
            <w:r>
              <w:rPr>
                <w:rFonts w:ascii="宋体" w:hAnsi="宋体" w:eastAsia="宋体"/>
                <w:sz w:val="16"/>
              </w:rPr>
              <w:t>0.00分</w:t>
            </w:r>
          </w:p>
        </w:tc>
      </w:tr>
      <w:tr w14:paraId="398FF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BD9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CD5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74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39F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4F8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68E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D8B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64F8">
            <w:pPr>
              <w:jc w:val="center"/>
            </w:pPr>
            <w:r>
              <w:rPr>
                <w:rFonts w:ascii="宋体" w:hAnsi="宋体" w:eastAsia="宋体"/>
                <w:sz w:val="16"/>
              </w:rPr>
              <w:t>—</w:t>
            </w:r>
          </w:p>
        </w:tc>
      </w:tr>
      <w:tr w14:paraId="72A97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89A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9498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F1D07">
            <w:pPr>
              <w:jc w:val="center"/>
            </w:pPr>
            <w:r>
              <w:rPr>
                <w:rFonts w:ascii="宋体" w:hAnsi="宋体" w:eastAsia="宋体"/>
                <w:sz w:val="16"/>
              </w:rPr>
              <w:t>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46DC3">
            <w:pPr>
              <w:jc w:val="center"/>
            </w:pPr>
            <w:r>
              <w:rPr>
                <w:rFonts w:ascii="宋体" w:hAnsi="宋体" w:eastAsia="宋体"/>
                <w:sz w:val="16"/>
              </w:rPr>
              <w:t>5.51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6ECFD">
            <w:pPr>
              <w:jc w:val="center"/>
            </w:pPr>
            <w:r>
              <w:rPr>
                <w:rFonts w:ascii="宋体" w:hAnsi="宋体" w:eastAsia="宋体"/>
                <w:sz w:val="16"/>
              </w:rPr>
              <w:t>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65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64C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F8FF">
            <w:pPr>
              <w:jc w:val="center"/>
            </w:pPr>
            <w:r>
              <w:rPr>
                <w:rFonts w:ascii="宋体" w:hAnsi="宋体" w:eastAsia="宋体"/>
                <w:sz w:val="16"/>
              </w:rPr>
              <w:t>—</w:t>
            </w:r>
          </w:p>
        </w:tc>
      </w:tr>
      <w:tr w14:paraId="6F75DE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988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70F7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472E7B">
            <w:pPr>
              <w:jc w:val="center"/>
            </w:pPr>
            <w:r>
              <w:rPr>
                <w:rFonts w:ascii="宋体" w:hAnsi="宋体" w:eastAsia="宋体"/>
                <w:sz w:val="16"/>
              </w:rPr>
              <w:t>实际完成情况</w:t>
            </w:r>
          </w:p>
        </w:tc>
      </w:tr>
      <w:tr w14:paraId="54E08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C93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F809C">
            <w:pPr>
              <w:jc w:val="both"/>
            </w:pPr>
            <w:r>
              <w:rPr>
                <w:rFonts w:ascii="宋体" w:hAnsi="宋体" w:eastAsia="宋体"/>
                <w:sz w:val="16"/>
              </w:rPr>
              <w:t>项目资金55091.62元，为单位资金结余。根据自治区财政厅《关于下达2024年公共体育场馆向社会免费或低收费开放补助资金预算的通知》（新财教〔2023〕183号）文件精神和《关于下达自治州本级2024年度部门预算指标的通知》（克财预〔2024〕1号）文件精神，主要用于支付克州体育中心场馆及体育公园的水电费、购买其他商品等，达到满足群众体育健身的需求，为群众提供更好的健身条件和生活便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DB8B82">
            <w:pPr>
              <w:jc w:val="both"/>
            </w:pPr>
            <w:r>
              <w:rPr>
                <w:rFonts w:ascii="宋体" w:hAnsi="宋体" w:eastAsia="宋体"/>
                <w:sz w:val="16"/>
              </w:rPr>
              <w:t>项目资金55091.62元，为单位资金结余。根据自治区财政厅《关于下达2024年公共体育场馆向社会免费或低收费开放补助资金预算的通知》（新财教〔2023〕183号）文件精神和《关于下达自治州本级2024年度部门预算指标的通知》（克财预〔2024〕1号）文件精神，主要用于支付克州体育中心场馆及体育公园的水电费、购买其他商品等，达到满足群众体育健身的需求，为群众提供更好的健身条件和生活便利。</w:t>
            </w:r>
          </w:p>
        </w:tc>
      </w:tr>
      <w:tr w14:paraId="161F0C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CC52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C6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29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9B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CC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11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632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94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92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DB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58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D9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25F37">
            <w:pPr>
              <w:jc w:val="center"/>
            </w:pPr>
            <w:r>
              <w:rPr>
                <w:rFonts w:ascii="宋体" w:hAnsi="宋体" w:eastAsia="宋体"/>
                <w:sz w:val="16"/>
              </w:rPr>
              <w:t>偏差原因分析及改进措施</w:t>
            </w:r>
          </w:p>
        </w:tc>
      </w:tr>
      <w:tr w14:paraId="4C33F7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B5F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D01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AE7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AB84">
            <w:pPr>
              <w:jc w:val="center"/>
            </w:pPr>
            <w:r>
              <w:rPr>
                <w:rFonts w:ascii="宋体" w:hAnsi="宋体" w:eastAsia="宋体"/>
                <w:sz w:val="16"/>
              </w:rPr>
              <w:t>支付水电次数（次）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8EE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6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E5A8">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5E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5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9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BAD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2C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923FD">
            <w:pPr>
              <w:jc w:val="center"/>
            </w:pPr>
          </w:p>
        </w:tc>
      </w:tr>
      <w:tr w14:paraId="566BA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9C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B8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9A1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66EE">
            <w:pPr>
              <w:jc w:val="center"/>
            </w:pPr>
            <w:r>
              <w:rPr>
                <w:rFonts w:ascii="宋体" w:hAnsi="宋体" w:eastAsia="宋体"/>
                <w:sz w:val="16"/>
              </w:rPr>
              <w:t>场馆维修次数（次）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6F2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9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A4C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6E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1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0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027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8C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91F84">
            <w:pPr>
              <w:jc w:val="center"/>
            </w:pPr>
          </w:p>
        </w:tc>
      </w:tr>
      <w:tr w14:paraId="0C4E7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936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57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2CD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C2CB">
            <w:pPr>
              <w:jc w:val="center"/>
            </w:pPr>
            <w:r>
              <w:rPr>
                <w:rFonts w:ascii="宋体" w:hAnsi="宋体" w:eastAsia="宋体"/>
                <w:sz w:val="16"/>
              </w:rPr>
              <w:t>场馆维修质量验收合格率（%）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15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EDF0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D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35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99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0D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F5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4A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A0201">
            <w:pPr>
              <w:jc w:val="center"/>
            </w:pPr>
          </w:p>
        </w:tc>
      </w:tr>
      <w:tr w14:paraId="0A632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68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D2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15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DC83">
            <w:pPr>
              <w:jc w:val="center"/>
            </w:pPr>
            <w:r>
              <w:rPr>
                <w:rFonts w:ascii="宋体" w:hAnsi="宋体" w:eastAsia="宋体"/>
                <w:sz w:val="16"/>
              </w:rPr>
              <w:t>训练场馆修缮及时率（%）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12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939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67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9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0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D54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F4E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74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BBF4A">
            <w:pPr>
              <w:jc w:val="center"/>
            </w:pPr>
          </w:p>
        </w:tc>
      </w:tr>
      <w:tr w14:paraId="6B8A2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150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1A1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42C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83EC">
            <w:pPr>
              <w:jc w:val="center"/>
            </w:pPr>
            <w:r>
              <w:rPr>
                <w:rFonts w:ascii="宋体" w:hAnsi="宋体" w:eastAsia="宋体"/>
                <w:sz w:val="16"/>
              </w:rPr>
              <w:t>缴纳水电费（万元）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FB63">
            <w:pPr>
              <w:jc w:val="center"/>
            </w:pPr>
            <w:r>
              <w:rPr>
                <w:rFonts w:ascii="宋体" w:hAnsi="宋体" w:eastAsia="宋体"/>
                <w:sz w:val="16"/>
              </w:rPr>
              <w:t>&lt;=3.80万元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73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7D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6F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0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5E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A7B8">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E2D07">
            <w:pPr>
              <w:jc w:val="center"/>
            </w:pPr>
            <w:r>
              <w:rPr>
                <w:rFonts w:ascii="宋体" w:hAnsi="宋体" w:eastAsia="宋体"/>
                <w:sz w:val="16"/>
              </w:rPr>
              <w:t>0.46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4AAF8">
            <w:pPr>
              <w:jc w:val="center"/>
            </w:pPr>
            <w:r>
              <w:rPr>
                <w:rFonts w:ascii="宋体" w:hAnsi="宋体" w:eastAsia="宋体"/>
                <w:sz w:val="16"/>
              </w:rPr>
              <w:t>偏差原因：因年终不能办理支出业务导致存在偏差；改进措施：已经执行完毕。</w:t>
            </w:r>
          </w:p>
        </w:tc>
      </w:tr>
      <w:tr w14:paraId="5D924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90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EC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6A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A9DE">
            <w:pPr>
              <w:jc w:val="center"/>
            </w:pPr>
            <w:r>
              <w:rPr>
                <w:rFonts w:ascii="宋体" w:hAnsi="宋体" w:eastAsia="宋体"/>
                <w:sz w:val="16"/>
              </w:rPr>
              <w:t>训练场馆修缮经费（万元）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73CD">
            <w:pPr>
              <w:jc w:val="center"/>
            </w:pPr>
            <w:r>
              <w:rPr>
                <w:rFonts w:ascii="宋体" w:hAnsi="宋体" w:eastAsia="宋体"/>
                <w:sz w:val="16"/>
              </w:rPr>
              <w:t>&lt;=1.70万元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43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67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40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4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0B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F9A6">
            <w:pPr>
              <w:jc w:val="center"/>
            </w:pPr>
            <w:r>
              <w:rPr>
                <w:rFonts w:ascii="宋体" w:hAnsi="宋体" w:eastAsia="宋体"/>
                <w:sz w:val="16"/>
              </w:rPr>
              <w:t>=0.79万元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24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F86B8">
            <w:pPr>
              <w:jc w:val="center"/>
            </w:pPr>
            <w:r>
              <w:rPr>
                <w:rFonts w:ascii="宋体" w:hAnsi="宋体" w:eastAsia="宋体"/>
                <w:sz w:val="16"/>
              </w:rPr>
              <w:t>偏差原因：因年终不能办理支出业务导致存在偏差；改进措施：已经执行完毕。</w:t>
            </w:r>
          </w:p>
        </w:tc>
      </w:tr>
      <w:tr w14:paraId="266CD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5C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F8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66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4175">
            <w:pPr>
              <w:jc w:val="center"/>
            </w:pPr>
            <w:r>
              <w:rPr>
                <w:rFonts w:ascii="宋体" w:hAnsi="宋体" w:eastAsia="宋体"/>
                <w:sz w:val="16"/>
              </w:rPr>
              <w:t>全民健身日全面免费开放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2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B61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29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5A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6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A77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5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25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ABC5A">
            <w:pPr>
              <w:jc w:val="center"/>
            </w:pPr>
            <w:r>
              <w:rPr>
                <w:rFonts w:ascii="宋体" w:hAnsi="宋体" w:eastAsia="宋体"/>
                <w:sz w:val="16"/>
              </w:rPr>
              <w:t>偏差原因：****；改进措施****</w:t>
            </w:r>
          </w:p>
        </w:tc>
      </w:tr>
      <w:tr w14:paraId="2A2848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1F6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D9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B1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DF48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5B4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C35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468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CC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3E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156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D1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97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097F6">
            <w:pPr>
              <w:jc w:val="center"/>
            </w:pPr>
            <w:r>
              <w:rPr>
                <w:rFonts w:ascii="宋体" w:hAnsi="宋体" w:eastAsia="宋体"/>
                <w:sz w:val="16"/>
              </w:rPr>
              <w:t>偏差原因：****；改进措施****</w:t>
            </w:r>
          </w:p>
        </w:tc>
      </w:tr>
      <w:tr w14:paraId="39235D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3A9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58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D4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7A402">
            <w:pPr>
              <w:jc w:val="center"/>
            </w:pPr>
            <w:r>
              <w:rPr>
                <w:rFonts w:ascii="宋体" w:hAnsi="宋体" w:eastAsia="宋体"/>
                <w:sz w:val="16"/>
              </w:rPr>
              <w:t>70.46分</w:t>
            </w:r>
          </w:p>
        </w:tc>
      </w:tr>
    </w:tbl>
    <w:p w14:paraId="7D4FA856">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696"/>
        <w:gridCol w:w="626"/>
        <w:gridCol w:w="628"/>
        <w:gridCol w:w="626"/>
        <w:gridCol w:w="626"/>
        <w:gridCol w:w="626"/>
        <w:gridCol w:w="776"/>
        <w:gridCol w:w="631"/>
        <w:gridCol w:w="618"/>
        <w:gridCol w:w="630"/>
      </w:tblGrid>
      <w:tr w14:paraId="66A7649C">
        <w:tblPrEx>
          <w:tblCellMar>
            <w:top w:w="0" w:type="dxa"/>
            <w:left w:w="108" w:type="dxa"/>
            <w:bottom w:w="0" w:type="dxa"/>
            <w:right w:w="108" w:type="dxa"/>
          </w:tblCellMar>
        </w:tblPrEx>
        <w:tc>
          <w:tcPr>
            <w:tcW w:w="8848" w:type="dxa"/>
            <w:gridSpan w:val="14"/>
            <w:vAlign w:val="center"/>
          </w:tcPr>
          <w:p w14:paraId="05577C7A">
            <w:pPr>
              <w:jc w:val="center"/>
            </w:pPr>
            <w:r>
              <w:rPr>
                <w:rFonts w:ascii="宋体" w:hAnsi="宋体" w:eastAsia="宋体"/>
                <w:sz w:val="24"/>
              </w:rPr>
              <w:t>项目支出绩效自评表</w:t>
            </w:r>
          </w:p>
        </w:tc>
      </w:tr>
      <w:tr w14:paraId="11C117CB">
        <w:tblPrEx>
          <w:tblCellMar>
            <w:top w:w="0" w:type="dxa"/>
            <w:left w:w="108" w:type="dxa"/>
            <w:bottom w:w="0" w:type="dxa"/>
            <w:right w:w="108" w:type="dxa"/>
          </w:tblCellMar>
        </w:tblPrEx>
        <w:tc>
          <w:tcPr>
            <w:tcW w:w="8848" w:type="dxa"/>
            <w:gridSpan w:val="14"/>
            <w:vAlign w:val="center"/>
          </w:tcPr>
          <w:p w14:paraId="3EA5566A">
            <w:pPr>
              <w:jc w:val="center"/>
            </w:pPr>
            <w:r>
              <w:rPr>
                <w:rFonts w:ascii="宋体" w:hAnsi="宋体" w:eastAsia="宋体"/>
                <w:sz w:val="24"/>
              </w:rPr>
              <w:t>(2024年度)</w:t>
            </w:r>
          </w:p>
        </w:tc>
      </w:tr>
      <w:tr w14:paraId="5478AE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4D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F20678">
            <w:pPr>
              <w:jc w:val="center"/>
            </w:pPr>
            <w:r>
              <w:rPr>
                <w:rFonts w:ascii="宋体" w:hAnsi="宋体" w:eastAsia="宋体"/>
                <w:sz w:val="16"/>
              </w:rPr>
              <w:t>政府性基金项目</w:t>
            </w:r>
          </w:p>
        </w:tc>
      </w:tr>
      <w:tr w14:paraId="6340E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70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0174D4">
            <w:pPr>
              <w:jc w:val="center"/>
            </w:pPr>
            <w:r>
              <w:rPr>
                <w:rFonts w:ascii="宋体" w:hAnsi="宋体" w:eastAsia="宋体"/>
                <w:sz w:val="16"/>
              </w:rPr>
              <w:t>克孜勒苏柯尔克孜自治州文旅局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E0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DFB025">
            <w:pPr>
              <w:jc w:val="center"/>
            </w:pPr>
            <w:r>
              <w:rPr>
                <w:rFonts w:ascii="宋体" w:hAnsi="宋体" w:eastAsia="宋体"/>
                <w:sz w:val="16"/>
              </w:rPr>
              <w:t>克孜勒苏柯尔克孜自治州体育中心</w:t>
            </w:r>
          </w:p>
        </w:tc>
      </w:tr>
      <w:tr w14:paraId="731280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259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EB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99C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62C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290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A8D7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C1A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6F8B">
            <w:pPr>
              <w:jc w:val="center"/>
            </w:pPr>
            <w:r>
              <w:rPr>
                <w:rFonts w:ascii="宋体" w:hAnsi="宋体" w:eastAsia="宋体"/>
                <w:sz w:val="16"/>
              </w:rPr>
              <w:t>得分</w:t>
            </w:r>
          </w:p>
        </w:tc>
      </w:tr>
      <w:tr w14:paraId="0A561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F53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36C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95231">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543D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DEC0">
            <w:pPr>
              <w:jc w:val="center"/>
            </w:pPr>
            <w:r>
              <w:rPr>
                <w:rFonts w:ascii="宋体" w:hAnsi="宋体" w:eastAsia="宋体"/>
                <w:sz w:val="16"/>
              </w:rPr>
              <w:t>22.65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421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CFD75">
            <w:pPr>
              <w:jc w:val="center"/>
            </w:pPr>
            <w:r>
              <w:rPr>
                <w:rFonts w:ascii="宋体" w:hAnsi="宋体" w:eastAsia="宋体"/>
                <w:sz w:val="16"/>
              </w:rPr>
              <w:t>94.4%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9EE72">
            <w:pPr>
              <w:jc w:val="center"/>
            </w:pPr>
            <w:r>
              <w:rPr>
                <w:rFonts w:ascii="宋体" w:hAnsi="宋体" w:eastAsia="宋体"/>
                <w:sz w:val="16"/>
              </w:rPr>
              <w:t>8.59分</w:t>
            </w:r>
          </w:p>
        </w:tc>
      </w:tr>
      <w:tr w14:paraId="4752CD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5E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F0E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869BD">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AE328">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F948">
            <w:pPr>
              <w:jc w:val="center"/>
            </w:pPr>
            <w:r>
              <w:rPr>
                <w:rFonts w:ascii="宋体" w:hAnsi="宋体" w:eastAsia="宋体"/>
                <w:sz w:val="16"/>
              </w:rPr>
              <w:t>22.65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8CE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5A3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8EC4">
            <w:pPr>
              <w:jc w:val="center"/>
            </w:pPr>
            <w:r>
              <w:rPr>
                <w:rFonts w:ascii="宋体" w:hAnsi="宋体" w:eastAsia="宋体"/>
                <w:sz w:val="16"/>
              </w:rPr>
              <w:t>—</w:t>
            </w:r>
          </w:p>
        </w:tc>
      </w:tr>
      <w:tr w14:paraId="47D29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705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8CE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75B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1DD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18D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AED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CE8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F39B">
            <w:pPr>
              <w:jc w:val="center"/>
            </w:pPr>
            <w:r>
              <w:rPr>
                <w:rFonts w:ascii="宋体" w:hAnsi="宋体" w:eastAsia="宋体"/>
                <w:sz w:val="16"/>
              </w:rPr>
              <w:t>—</w:t>
            </w:r>
          </w:p>
        </w:tc>
      </w:tr>
      <w:tr w14:paraId="2C6EF9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0D45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3EE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78446">
            <w:pPr>
              <w:jc w:val="center"/>
            </w:pPr>
            <w:r>
              <w:rPr>
                <w:rFonts w:ascii="宋体" w:hAnsi="宋体" w:eastAsia="宋体"/>
                <w:sz w:val="16"/>
              </w:rPr>
              <w:t>实际完成情况</w:t>
            </w:r>
          </w:p>
        </w:tc>
      </w:tr>
      <w:tr w14:paraId="0D2F7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F84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B9D2B">
            <w:pPr>
              <w:jc w:val="both"/>
            </w:pPr>
            <w:r>
              <w:rPr>
                <w:rFonts w:ascii="宋体" w:hAnsi="宋体" w:eastAsia="宋体"/>
                <w:sz w:val="16"/>
              </w:rPr>
              <w:t>项目资金24万元，为政府性基金。主要用于场馆运行(临时聘用6名体育项目指导员），达到满足群众体育健身的需求，为群众提供更好的健身条件，丰富体育文化生活。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769DB">
            <w:pPr>
              <w:jc w:val="both"/>
            </w:pPr>
            <w:r>
              <w:rPr>
                <w:rFonts w:ascii="宋体" w:hAnsi="宋体" w:eastAsia="宋体"/>
                <w:sz w:val="16"/>
              </w:rPr>
              <w:t>截至2024年12月31日，聘用临时工作人员6人，主要用于场馆运行(临时聘用6名体育项目指导员），达到满足群众体育健身的需求，为群众提供更好的健身条件，丰富体育文化生活。</w:t>
            </w:r>
          </w:p>
        </w:tc>
      </w:tr>
      <w:tr w14:paraId="516AE8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4D9E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45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F2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D3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E3C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C0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B2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20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D4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21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14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0E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335C">
            <w:pPr>
              <w:jc w:val="center"/>
            </w:pPr>
            <w:r>
              <w:rPr>
                <w:rFonts w:ascii="宋体" w:hAnsi="宋体" w:eastAsia="宋体"/>
                <w:sz w:val="16"/>
              </w:rPr>
              <w:t>偏差原因分析及改进措施</w:t>
            </w:r>
          </w:p>
        </w:tc>
      </w:tr>
      <w:tr w14:paraId="5723C3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AB0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72B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A2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BB54">
            <w:pPr>
              <w:jc w:val="center"/>
            </w:pPr>
            <w:r>
              <w:rPr>
                <w:rFonts w:ascii="宋体" w:hAnsi="宋体" w:eastAsia="宋体"/>
                <w:sz w:val="16"/>
              </w:rPr>
              <w:t>聘用临时工作人员（人）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0C1A">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B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4F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DA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A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9B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29C5">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28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62842">
            <w:pPr>
              <w:jc w:val="center"/>
            </w:pPr>
          </w:p>
        </w:tc>
      </w:tr>
      <w:tr w14:paraId="2FBE9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28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7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A5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59DB">
            <w:pPr>
              <w:jc w:val="center"/>
            </w:pPr>
            <w:r>
              <w:rPr>
                <w:rFonts w:ascii="宋体" w:hAnsi="宋体" w:eastAsia="宋体"/>
                <w:sz w:val="16"/>
              </w:rPr>
              <w:t>服务质量达标率（%）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5B4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E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56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5C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D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D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B9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18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1BD50">
            <w:pPr>
              <w:jc w:val="center"/>
            </w:pPr>
          </w:p>
        </w:tc>
      </w:tr>
      <w:tr w14:paraId="2BAA4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3C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195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10D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70B4">
            <w:pPr>
              <w:jc w:val="center"/>
            </w:pPr>
            <w:r>
              <w:rPr>
                <w:rFonts w:ascii="宋体" w:hAnsi="宋体" w:eastAsia="宋体"/>
                <w:sz w:val="16"/>
              </w:rPr>
              <w:t>工作完成及时性（%）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1A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D2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0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B7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7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60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161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8F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70FA5">
            <w:pPr>
              <w:jc w:val="center"/>
            </w:pPr>
          </w:p>
        </w:tc>
      </w:tr>
      <w:tr w14:paraId="7CFE9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23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07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A40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D35C">
            <w:pPr>
              <w:jc w:val="center"/>
            </w:pPr>
            <w:r>
              <w:rPr>
                <w:rFonts w:ascii="宋体" w:hAnsi="宋体" w:eastAsia="宋体"/>
                <w:sz w:val="16"/>
              </w:rPr>
              <w:t>临聘人员工资发放及时率（%）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44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0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AA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4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1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F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0DEC">
            <w:pPr>
              <w:jc w:val="center"/>
            </w:pPr>
            <w:r>
              <w:rPr>
                <w:rFonts w:ascii="宋体" w:hAnsi="宋体" w:eastAsia="宋体"/>
                <w:sz w:val="16"/>
              </w:rPr>
              <w:t>=94.39%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AE6D">
            <w:pPr>
              <w:jc w:val="center"/>
            </w:pPr>
            <w:r>
              <w:rPr>
                <w:rFonts w:ascii="宋体" w:hAnsi="宋体" w:eastAsia="宋体"/>
                <w:sz w:val="16"/>
              </w:rPr>
              <w:t>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7CEFA">
            <w:pPr>
              <w:jc w:val="center"/>
            </w:pPr>
            <w:r>
              <w:rPr>
                <w:rFonts w:ascii="宋体" w:hAnsi="宋体" w:eastAsia="宋体"/>
                <w:sz w:val="16"/>
              </w:rPr>
              <w:t>偏差原因：因年终不能办理支出业务，导致有偏差；改进措施已执行完毕</w:t>
            </w:r>
          </w:p>
        </w:tc>
      </w:tr>
      <w:tr w14:paraId="1434B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1A1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594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6A4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F213">
            <w:pPr>
              <w:jc w:val="center"/>
            </w:pPr>
            <w:r>
              <w:rPr>
                <w:rFonts w:ascii="宋体" w:hAnsi="宋体" w:eastAsia="宋体"/>
                <w:sz w:val="16"/>
              </w:rPr>
              <w:t>聘用人员工资（万元）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A5A8">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D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D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53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8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2F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AA3A">
            <w:pPr>
              <w:jc w:val="center"/>
            </w:pPr>
            <w:r>
              <w:rPr>
                <w:rFonts w:ascii="宋体" w:hAnsi="宋体" w:eastAsia="宋体"/>
                <w:sz w:val="16"/>
              </w:rPr>
              <w:t>=22.65万元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84DB7">
            <w:pPr>
              <w:jc w:val="center"/>
            </w:pPr>
            <w:r>
              <w:rPr>
                <w:rFonts w:ascii="宋体" w:hAnsi="宋体" w:eastAsia="宋体"/>
                <w:sz w:val="16"/>
              </w:rPr>
              <w:t>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1E891">
            <w:pPr>
              <w:jc w:val="center"/>
            </w:pPr>
            <w:r>
              <w:rPr>
                <w:rFonts w:ascii="宋体" w:hAnsi="宋体" w:eastAsia="宋体"/>
                <w:sz w:val="16"/>
              </w:rPr>
              <w:t>偏差原因：因年终不能办理支出业务，导致有偏差；改进措施已执行完毕</w:t>
            </w:r>
          </w:p>
        </w:tc>
      </w:tr>
      <w:tr w14:paraId="2C124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DC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17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90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ED2C">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EE4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8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4B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F3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4F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09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13A1">
            <w:pPr>
              <w:jc w:val="center"/>
            </w:pPr>
            <w:r>
              <w:rPr>
                <w:rFonts w:ascii="宋体" w:hAnsi="宋体" w:eastAsia="宋体"/>
                <w:sz w:val="16"/>
              </w:rPr>
              <w:t>=94.39%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2790">
            <w:pPr>
              <w:jc w:val="center"/>
            </w:pPr>
            <w:r>
              <w:rPr>
                <w:rFonts w:ascii="宋体" w:hAnsi="宋体" w:eastAsia="宋体"/>
                <w:sz w:val="16"/>
              </w:rPr>
              <w:t>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52603">
            <w:pPr>
              <w:jc w:val="center"/>
            </w:pPr>
            <w:r>
              <w:rPr>
                <w:rFonts w:ascii="宋体" w:hAnsi="宋体" w:eastAsia="宋体"/>
                <w:sz w:val="16"/>
              </w:rPr>
              <w:t>偏差原因：因年终不能办理支出业务，导致有偏差；改进措施已执行完毕</w:t>
            </w:r>
          </w:p>
        </w:tc>
      </w:tr>
      <w:tr w14:paraId="21A29B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11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D2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9F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8564">
            <w:pPr>
              <w:jc w:val="center"/>
            </w:pPr>
            <w:r>
              <w:rPr>
                <w:rFonts w:ascii="宋体" w:hAnsi="宋体" w:eastAsia="宋体"/>
                <w:sz w:val="16"/>
              </w:rPr>
              <w:t>促进体育事业发展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401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CD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CB7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F2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EB5D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6B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5D8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EA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2AE29">
            <w:pPr>
              <w:jc w:val="center"/>
            </w:pPr>
          </w:p>
        </w:tc>
      </w:tr>
      <w:tr w14:paraId="73ABE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18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88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97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56D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E4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7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21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A3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35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6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C73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53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4A525">
            <w:pPr>
              <w:jc w:val="center"/>
            </w:pPr>
          </w:p>
        </w:tc>
      </w:tr>
      <w:tr w14:paraId="6B087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F9B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FAD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450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091982">
            <w:pPr>
              <w:jc w:val="center"/>
            </w:pPr>
            <w:r>
              <w:rPr>
                <w:rFonts w:ascii="宋体" w:hAnsi="宋体" w:eastAsia="宋体"/>
                <w:sz w:val="16"/>
              </w:rPr>
              <w:t>94.39分</w:t>
            </w:r>
          </w:p>
        </w:tc>
      </w:tr>
    </w:tbl>
    <w:p w14:paraId="690CFEF2">
      <w:r>
        <w:br w:type="page"/>
      </w:r>
    </w:p>
    <w:p w14:paraId="19A86391">
      <w:pPr>
        <w:spacing w:line="640" w:lineRule="exact"/>
        <w:ind w:firstLine="640"/>
        <w:jc w:val="both"/>
        <w:outlineLvl w:val="2"/>
      </w:pPr>
      <w:r>
        <w:rPr>
          <w:rFonts w:ascii="黑体" w:hAnsi="黑体" w:eastAsia="黑体"/>
          <w:sz w:val="32"/>
        </w:rPr>
        <w:t>十二、其他需说明的事项</w:t>
      </w:r>
    </w:p>
    <w:p w14:paraId="3F60D73B">
      <w:pPr>
        <w:spacing w:line="580" w:lineRule="exact"/>
        <w:ind w:firstLine="640"/>
        <w:jc w:val="both"/>
      </w:pPr>
      <w:r>
        <w:rPr>
          <w:rFonts w:ascii="仿宋_GB2312" w:hAnsi="仿宋_GB2312" w:eastAsia="仿宋_GB2312"/>
          <w:b w:val="0"/>
          <w:sz w:val="32"/>
        </w:rPr>
        <w:t>本单位无其他需说明的事项。</w:t>
      </w:r>
    </w:p>
    <w:p w14:paraId="1CE5BAF0">
      <w:r>
        <w:br w:type="page"/>
      </w:r>
    </w:p>
    <w:p w14:paraId="49D93213">
      <w:pPr>
        <w:spacing w:line="240" w:lineRule="auto"/>
        <w:jc w:val="center"/>
        <w:outlineLvl w:val="1"/>
      </w:pPr>
      <w:r>
        <w:rPr>
          <w:rFonts w:ascii="黑体" w:hAnsi="黑体" w:eastAsia="黑体"/>
          <w:sz w:val="32"/>
        </w:rPr>
        <w:t>第三部分 专业名词解释</w:t>
      </w:r>
    </w:p>
    <w:p w14:paraId="5365541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2C03F3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3FF08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DBDD0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E1756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C0E3C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9F6FBF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EFCAB6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80AE1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07409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B85D6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3A6C6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8B2380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95C2A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FB823BE">
      <w:r>
        <w:br w:type="page"/>
      </w:r>
    </w:p>
    <w:p w14:paraId="5B8B56AB">
      <w:pPr>
        <w:spacing w:line="240" w:lineRule="auto"/>
        <w:jc w:val="center"/>
        <w:outlineLvl w:val="1"/>
      </w:pPr>
      <w:r>
        <w:rPr>
          <w:rFonts w:ascii="黑体" w:hAnsi="黑体" w:eastAsia="黑体"/>
          <w:sz w:val="32"/>
        </w:rPr>
        <w:t>第四部分 部门决算报表（见附表）</w:t>
      </w:r>
    </w:p>
    <w:p w14:paraId="78DCA82D">
      <w:pPr>
        <w:spacing w:line="240" w:lineRule="auto"/>
        <w:ind w:firstLine="640"/>
        <w:jc w:val="both"/>
      </w:pPr>
      <w:r>
        <w:rPr>
          <w:rFonts w:ascii="仿宋_GB2312" w:hAnsi="仿宋_GB2312" w:eastAsia="仿宋_GB2312"/>
          <w:b w:val="0"/>
          <w:sz w:val="32"/>
        </w:rPr>
        <w:t>一、《收入支出决算总表》</w:t>
      </w:r>
    </w:p>
    <w:p w14:paraId="0FF70271">
      <w:pPr>
        <w:spacing w:line="240" w:lineRule="auto"/>
        <w:ind w:firstLine="640"/>
        <w:jc w:val="both"/>
      </w:pPr>
      <w:r>
        <w:rPr>
          <w:rFonts w:ascii="仿宋_GB2312" w:hAnsi="仿宋_GB2312" w:eastAsia="仿宋_GB2312"/>
          <w:b w:val="0"/>
          <w:sz w:val="32"/>
        </w:rPr>
        <w:t>二、《收入决算表》</w:t>
      </w:r>
    </w:p>
    <w:p w14:paraId="3785DB7B">
      <w:pPr>
        <w:spacing w:line="240" w:lineRule="auto"/>
        <w:ind w:firstLine="640"/>
        <w:jc w:val="both"/>
      </w:pPr>
      <w:r>
        <w:rPr>
          <w:rFonts w:ascii="仿宋_GB2312" w:hAnsi="仿宋_GB2312" w:eastAsia="仿宋_GB2312"/>
          <w:b w:val="0"/>
          <w:sz w:val="32"/>
        </w:rPr>
        <w:t>三、《支出决算表》</w:t>
      </w:r>
    </w:p>
    <w:p w14:paraId="46ECE096">
      <w:pPr>
        <w:spacing w:line="240" w:lineRule="auto"/>
        <w:ind w:firstLine="640"/>
        <w:jc w:val="both"/>
      </w:pPr>
      <w:r>
        <w:rPr>
          <w:rFonts w:ascii="仿宋_GB2312" w:hAnsi="仿宋_GB2312" w:eastAsia="仿宋_GB2312"/>
          <w:b w:val="0"/>
          <w:sz w:val="32"/>
        </w:rPr>
        <w:t>四、《财政拨款收入支出决算总表》</w:t>
      </w:r>
    </w:p>
    <w:p w14:paraId="0DAE43F1">
      <w:pPr>
        <w:spacing w:line="240" w:lineRule="auto"/>
        <w:ind w:firstLine="640"/>
        <w:jc w:val="both"/>
      </w:pPr>
      <w:r>
        <w:rPr>
          <w:rFonts w:ascii="仿宋_GB2312" w:hAnsi="仿宋_GB2312" w:eastAsia="仿宋_GB2312"/>
          <w:b w:val="0"/>
          <w:sz w:val="32"/>
        </w:rPr>
        <w:t>五、《一般公共预算财政拨款支出决算表》</w:t>
      </w:r>
    </w:p>
    <w:p w14:paraId="7BC8C4F8">
      <w:pPr>
        <w:spacing w:line="240" w:lineRule="auto"/>
        <w:ind w:firstLine="640"/>
        <w:jc w:val="both"/>
      </w:pPr>
      <w:r>
        <w:rPr>
          <w:rFonts w:ascii="仿宋_GB2312" w:hAnsi="仿宋_GB2312" w:eastAsia="仿宋_GB2312"/>
          <w:b w:val="0"/>
          <w:sz w:val="32"/>
        </w:rPr>
        <w:t>六、《一般公共预算财政拨款基本支出决算表》</w:t>
      </w:r>
    </w:p>
    <w:p w14:paraId="5443B068">
      <w:pPr>
        <w:spacing w:line="240" w:lineRule="auto"/>
        <w:ind w:firstLine="640"/>
        <w:jc w:val="both"/>
      </w:pPr>
      <w:r>
        <w:rPr>
          <w:rFonts w:ascii="仿宋_GB2312" w:hAnsi="仿宋_GB2312" w:eastAsia="仿宋_GB2312"/>
          <w:b w:val="0"/>
          <w:sz w:val="32"/>
        </w:rPr>
        <w:t>七、《政府性基金预算财政拨款收入支出决算表》</w:t>
      </w:r>
    </w:p>
    <w:p w14:paraId="7EEF71B7">
      <w:pPr>
        <w:spacing w:line="240" w:lineRule="auto"/>
        <w:ind w:firstLine="640"/>
        <w:jc w:val="both"/>
      </w:pPr>
      <w:r>
        <w:rPr>
          <w:rFonts w:ascii="仿宋_GB2312" w:hAnsi="仿宋_GB2312" w:eastAsia="仿宋_GB2312"/>
          <w:b w:val="0"/>
          <w:sz w:val="32"/>
        </w:rPr>
        <w:t>八、《国有资本经营预算财政拨款收入支出决算表》</w:t>
      </w:r>
    </w:p>
    <w:p w14:paraId="4C6996C6">
      <w:pPr>
        <w:spacing w:line="240" w:lineRule="auto"/>
        <w:ind w:firstLine="640"/>
        <w:jc w:val="both"/>
      </w:pPr>
      <w:r>
        <w:rPr>
          <w:rFonts w:ascii="仿宋_GB2312" w:hAnsi="仿宋_GB2312" w:eastAsia="仿宋_GB2312"/>
          <w:b w:val="0"/>
          <w:sz w:val="32"/>
        </w:rPr>
        <w:t>九、《财政拨款“三公”经费支出决算表》</w:t>
      </w:r>
    </w:p>
    <w:p w14:paraId="06988455">
      <w:pPr>
        <w:spacing w:line="240" w:lineRule="auto"/>
        <w:ind w:firstLine="640"/>
        <w:jc w:val="both"/>
      </w:pPr>
    </w:p>
    <w:p w14:paraId="79D97EE8">
      <w:pPr>
        <w:spacing w:line="240" w:lineRule="auto"/>
        <w:ind w:firstLine="640"/>
        <w:jc w:val="both"/>
      </w:pPr>
    </w:p>
    <w:p w14:paraId="02DA4C2E">
      <w:pPr>
        <w:spacing w:line="240" w:lineRule="auto"/>
        <w:ind w:firstLine="640"/>
        <w:jc w:val="both"/>
      </w:pPr>
    </w:p>
    <w:p w14:paraId="7BA5162A">
      <w:pPr>
        <w:spacing w:line="240" w:lineRule="auto"/>
        <w:ind w:firstLine="640"/>
        <w:jc w:val="both"/>
      </w:pPr>
    </w:p>
    <w:p w14:paraId="2A734E1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F49F9B-F014-4331-AF1F-D107BD1663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5FC64C1-A270-40C2-8C5A-7AD1F0BA7B6B}"/>
  </w:font>
  <w:font w:name="仿宋_GB2312">
    <w:panose1 w:val="02010609030101010101"/>
    <w:charset w:val="86"/>
    <w:family w:val="modern"/>
    <w:pitch w:val="default"/>
    <w:sig w:usb0="00000001" w:usb1="080E0000" w:usb2="00000000" w:usb3="00000000" w:csb0="00040000" w:csb1="00000000"/>
    <w:embedRegular r:id="rId3" w:fontKey="{829F4CB6-A1B0-428C-A683-675D5BBA86C2}"/>
  </w:font>
  <w:font w:name="楷体_GB2312">
    <w:panose1 w:val="02010609030101010101"/>
    <w:charset w:val="86"/>
    <w:family w:val="auto"/>
    <w:pitch w:val="default"/>
    <w:sig w:usb0="00000001" w:usb1="080E0000" w:usb2="00000000" w:usb3="00000000" w:csb0="00040000" w:csb1="00000000"/>
    <w:embedRegular r:id="rId4" w:fontKey="{E4E8AB2B-49F7-4390-BD0A-F457C3B0740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7502F"/>
    <w:rsid w:val="469C74D2"/>
    <w:rsid w:val="47445515"/>
    <w:rsid w:val="497C2C2C"/>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464A0D"/>
    <w:rsid w:val="737A5923"/>
    <w:rsid w:val="73DE4104"/>
    <w:rsid w:val="73FB6630"/>
    <w:rsid w:val="74CE04EC"/>
    <w:rsid w:val="74E76DCD"/>
    <w:rsid w:val="76660D7C"/>
    <w:rsid w:val="77ED6F44"/>
    <w:rsid w:val="795A0A34"/>
    <w:rsid w:val="7A0D3BC7"/>
    <w:rsid w:val="7A3A3CDB"/>
    <w:rsid w:val="7EA568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4092</Words>
  <Characters>4735</Characters>
  <Lines>0</Lines>
  <Paragraphs>0</Paragraphs>
  <TotalTime>1</TotalTime>
  <ScaleCrop>false</ScaleCrop>
  <LinksUpToDate>false</LinksUpToDate>
  <CharactersWithSpaces>4743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2025-09-02T08:00:44Z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