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乌恰县人民检察院2024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C30C0D">
      <w:r>
        <w:br w:type="page"/>
      </w:r>
    </w:p>
    <w:p w14:paraId="573934C2">
      <w:pPr>
        <w:spacing w:line="640" w:lineRule="exact"/>
        <w:jc w:val="center"/>
        <w:outlineLvl w:val="1"/>
      </w:pPr>
      <w:r>
        <w:rPr>
          <w:rFonts w:ascii="黑体" w:hAnsi="黑体" w:eastAsia="黑体"/>
          <w:sz w:val="32"/>
        </w:rPr>
        <w:t>第一部分 单位概况</w:t>
      </w:r>
    </w:p>
    <w:p w14:paraId="2ECD8E3D">
      <w:pPr>
        <w:spacing w:line="640" w:lineRule="exact"/>
        <w:ind w:firstLine="640"/>
        <w:jc w:val="both"/>
        <w:outlineLvl w:val="2"/>
      </w:pPr>
      <w:r>
        <w:rPr>
          <w:rFonts w:ascii="黑体" w:hAnsi="黑体" w:eastAsia="黑体"/>
          <w:sz w:val="32"/>
        </w:rPr>
        <w:t>一、主要职能</w:t>
      </w:r>
    </w:p>
    <w:p w14:paraId="5456A6D3">
      <w:pPr>
        <w:spacing w:line="580" w:lineRule="exact"/>
        <w:ind w:firstLine="640"/>
        <w:jc w:val="both"/>
      </w:pPr>
      <w:r>
        <w:rPr>
          <w:rFonts w:ascii="仿宋_GB2312" w:hAnsi="仿宋_GB2312" w:eastAsia="仿宋_GB2312"/>
          <w:sz w:val="32"/>
        </w:rPr>
        <w:t>乌恰县人民检察院是国家法律监督机关，代表国家依法行使检察权。其主要职责为</w:t>
      </w:r>
      <w:r>
        <w:rPr>
          <w:rFonts w:hint="eastAsia" w:ascii="仿宋_GB2312" w:hAnsi="仿宋_GB2312" w:eastAsia="仿宋_GB2312"/>
          <w:sz w:val="32"/>
          <w:lang w:eastAsia="zh-CN"/>
        </w:rPr>
        <w:t>对</w:t>
      </w:r>
      <w:r>
        <w:rPr>
          <w:rFonts w:ascii="仿宋_GB2312" w:hAnsi="仿宋_GB2312" w:eastAsia="仿宋_GB2312"/>
          <w:sz w:val="32"/>
        </w:rPr>
        <w:t>检察院直接受理的刑事案件进行侦查；对侦查机关侦查的案件，进行审查，决定是否逮捕、起诉或者不起诉；对刑事案件提起公诉、支持公诉等。人民检察院的职责可以划分为“四大检察”“十大业务”，其中四大检察是指刑事检察：民事检察、行政检察、公益诉讼检察。</w:t>
      </w:r>
    </w:p>
    <w:p w14:paraId="194119DC">
      <w:pPr>
        <w:spacing w:line="640" w:lineRule="exact"/>
        <w:ind w:firstLine="640"/>
        <w:jc w:val="both"/>
        <w:outlineLvl w:val="2"/>
      </w:pPr>
      <w:r>
        <w:rPr>
          <w:rFonts w:ascii="黑体" w:hAnsi="黑体" w:eastAsia="黑体"/>
          <w:sz w:val="32"/>
        </w:rPr>
        <w:t>二、机构设置及人员情况</w:t>
      </w:r>
    </w:p>
    <w:p w14:paraId="005864A2">
      <w:pPr>
        <w:spacing w:line="580" w:lineRule="exact"/>
        <w:ind w:firstLine="640"/>
        <w:jc w:val="both"/>
      </w:pPr>
      <w:r>
        <w:rPr>
          <w:rFonts w:ascii="仿宋_GB2312" w:hAnsi="仿宋_GB2312" w:eastAsia="仿宋_GB2312"/>
          <w:sz w:val="32"/>
        </w:rPr>
        <w:t>乌恰县人民检察院2024年度，实有人数54人，其中：在职人员34人，增加2人；离休人员0人，增加0人；退休人员20人,减少1人。</w:t>
      </w:r>
    </w:p>
    <w:p w14:paraId="2AC61A5C">
      <w:pPr>
        <w:spacing w:line="580" w:lineRule="exact"/>
        <w:ind w:firstLine="640"/>
        <w:jc w:val="both"/>
      </w:pPr>
      <w:r>
        <w:rPr>
          <w:rFonts w:ascii="仿宋_GB2312" w:hAnsi="仿宋_GB2312" w:eastAsia="仿宋_GB2312"/>
          <w:sz w:val="32"/>
        </w:rPr>
        <w:t>乌恰县人民检察院无下属预算单位，下设5个科室，分别是：政治部、综合行政办公室、第一检察部、第二检察部、第三检察部。</w:t>
      </w:r>
    </w:p>
    <w:p w14:paraId="3E45B53E">
      <w:r>
        <w:br w:type="page"/>
      </w:r>
    </w:p>
    <w:p w14:paraId="2090426B">
      <w:pPr>
        <w:spacing w:line="240" w:lineRule="auto"/>
        <w:jc w:val="center"/>
        <w:outlineLvl w:val="1"/>
      </w:pPr>
      <w:r>
        <w:rPr>
          <w:rFonts w:ascii="黑体" w:hAnsi="黑体" w:eastAsia="黑体"/>
          <w:sz w:val="32"/>
        </w:rPr>
        <w:t>第二部分 部门决算情况说明</w:t>
      </w:r>
    </w:p>
    <w:p w14:paraId="29BCABB4">
      <w:pPr>
        <w:spacing w:line="640" w:lineRule="exact"/>
        <w:ind w:firstLine="640"/>
        <w:jc w:val="both"/>
        <w:outlineLvl w:val="2"/>
      </w:pPr>
      <w:r>
        <w:rPr>
          <w:rFonts w:ascii="黑体" w:hAnsi="黑体" w:eastAsia="黑体"/>
          <w:sz w:val="32"/>
        </w:rPr>
        <w:t>一、收入支出决算总体情况说明</w:t>
      </w:r>
    </w:p>
    <w:p w14:paraId="37659FF9">
      <w:pPr>
        <w:spacing w:line="580" w:lineRule="exact"/>
        <w:ind w:firstLine="640"/>
        <w:jc w:val="both"/>
      </w:pPr>
      <w:r>
        <w:rPr>
          <w:rFonts w:ascii="仿宋_GB2312" w:hAnsi="仿宋_GB2312" w:eastAsia="仿宋_GB2312"/>
          <w:b/>
          <w:sz w:val="32"/>
        </w:rPr>
        <w:t>2024年度收入总计1,052.15万元，</w:t>
      </w:r>
      <w:r>
        <w:rPr>
          <w:rFonts w:ascii="仿宋_GB2312" w:hAnsi="仿宋_GB2312" w:eastAsia="仿宋_GB2312"/>
          <w:b w:val="0"/>
          <w:sz w:val="32"/>
        </w:rPr>
        <w:t>其中：本年收入合计1,000.01万元，使用非财政拨款结余（含专用结余）0.00万元，年初结转和结余52.14万元。</w:t>
      </w:r>
    </w:p>
    <w:p w14:paraId="26D18512">
      <w:pPr>
        <w:spacing w:line="580" w:lineRule="exact"/>
        <w:ind w:firstLine="640"/>
        <w:jc w:val="both"/>
      </w:pPr>
      <w:r>
        <w:rPr>
          <w:rFonts w:ascii="仿宋_GB2312" w:hAnsi="仿宋_GB2312" w:eastAsia="仿宋_GB2312"/>
          <w:b/>
          <w:sz w:val="32"/>
        </w:rPr>
        <w:t>2024年度支出总计1,052.15万元，</w:t>
      </w:r>
      <w:r>
        <w:rPr>
          <w:rFonts w:ascii="仿宋_GB2312" w:hAnsi="仿宋_GB2312" w:eastAsia="仿宋_GB2312"/>
          <w:b w:val="0"/>
          <w:sz w:val="32"/>
        </w:rPr>
        <w:t>其中：本年支出合计1,046.77万元，结余分配0.00万元，年末结转和结余5.39万元。</w:t>
      </w:r>
    </w:p>
    <w:p w14:paraId="1624C1E8">
      <w:pPr>
        <w:spacing w:line="580" w:lineRule="exact"/>
        <w:ind w:firstLine="640"/>
        <w:jc w:val="both"/>
      </w:pPr>
      <w:r>
        <w:rPr>
          <w:rFonts w:ascii="仿宋_GB2312" w:hAnsi="仿宋_GB2312" w:eastAsia="仿宋_GB2312"/>
          <w:b w:val="0"/>
          <w:sz w:val="32"/>
        </w:rPr>
        <w:t>收入支出总体与上年相比，减少41.90万元，下降3.83%，主要原因是：本年度检察院上级转移支付资金较上年减少。</w:t>
      </w:r>
    </w:p>
    <w:p w14:paraId="725FEBF4">
      <w:pPr>
        <w:spacing w:line="640" w:lineRule="exact"/>
        <w:ind w:firstLine="640"/>
        <w:jc w:val="both"/>
        <w:outlineLvl w:val="2"/>
      </w:pPr>
      <w:r>
        <w:rPr>
          <w:rFonts w:ascii="黑体" w:hAnsi="黑体" w:eastAsia="黑体"/>
          <w:sz w:val="32"/>
        </w:rPr>
        <w:t>二、收入决算情况说明</w:t>
      </w:r>
    </w:p>
    <w:p w14:paraId="1A5C86D8">
      <w:pPr>
        <w:spacing w:line="580" w:lineRule="exact"/>
        <w:ind w:firstLine="640"/>
        <w:jc w:val="both"/>
      </w:pPr>
      <w:r>
        <w:rPr>
          <w:rFonts w:ascii="仿宋_GB2312" w:hAnsi="仿宋_GB2312" w:eastAsia="仿宋_GB2312"/>
          <w:b/>
          <w:sz w:val="32"/>
        </w:rPr>
        <w:t>本年收入1,000.01万元，</w:t>
      </w:r>
      <w:r>
        <w:rPr>
          <w:rFonts w:ascii="仿宋_GB2312" w:hAnsi="仿宋_GB2312" w:eastAsia="仿宋_GB2312"/>
          <w:b w:val="0"/>
          <w:sz w:val="32"/>
        </w:rPr>
        <w:t>其中：财政拨款收入984.94万元，占98.49%；上级补助收入0.00万元，占0.00%；事业收入0.00万元，占0.00%；经营收入0.00万元，占0.00%；附属单位上缴收入0.00万元，占0.00%；其他收入15.07万元，占1.51%。</w:t>
      </w:r>
    </w:p>
    <w:p w14:paraId="3D7432AA">
      <w:pPr>
        <w:spacing w:line="640" w:lineRule="exact"/>
        <w:ind w:firstLine="640"/>
        <w:jc w:val="both"/>
        <w:outlineLvl w:val="2"/>
      </w:pPr>
      <w:r>
        <w:rPr>
          <w:rFonts w:ascii="黑体" w:hAnsi="黑体" w:eastAsia="黑体"/>
          <w:sz w:val="32"/>
        </w:rPr>
        <w:t>三、支出决算情况说明</w:t>
      </w:r>
    </w:p>
    <w:p w14:paraId="6B207B30">
      <w:pPr>
        <w:spacing w:line="580" w:lineRule="exact"/>
        <w:ind w:firstLine="640"/>
        <w:jc w:val="both"/>
      </w:pPr>
      <w:r>
        <w:rPr>
          <w:rFonts w:ascii="仿宋_GB2312" w:hAnsi="仿宋_GB2312" w:eastAsia="仿宋_GB2312"/>
          <w:b/>
          <w:sz w:val="32"/>
        </w:rPr>
        <w:t>本年支出1,046.77万元，</w:t>
      </w:r>
      <w:r>
        <w:rPr>
          <w:rFonts w:ascii="仿宋_GB2312" w:hAnsi="仿宋_GB2312" w:eastAsia="仿宋_GB2312"/>
          <w:b w:val="0"/>
          <w:sz w:val="32"/>
        </w:rPr>
        <w:t>其中：基本支出823.74万元，占78.69%；项目支出223.03万元，占21.31%；上缴上级支出0.00万元，占0.00%；经营支出0.00万元，占0.00%；对附属单位补助支出0.00万元，占0.00%。</w:t>
      </w:r>
    </w:p>
    <w:p w14:paraId="28301799">
      <w:pPr>
        <w:spacing w:line="640" w:lineRule="exact"/>
        <w:ind w:firstLine="640"/>
        <w:jc w:val="both"/>
        <w:outlineLvl w:val="2"/>
      </w:pPr>
      <w:r>
        <w:rPr>
          <w:rFonts w:ascii="黑体" w:hAnsi="黑体" w:eastAsia="黑体"/>
          <w:sz w:val="32"/>
        </w:rPr>
        <w:t>四、财政拨款收入支出决算总体情况说明</w:t>
      </w:r>
    </w:p>
    <w:p w14:paraId="13245D86">
      <w:pPr>
        <w:spacing w:line="580" w:lineRule="exact"/>
        <w:ind w:firstLine="640"/>
        <w:jc w:val="both"/>
      </w:pPr>
      <w:r>
        <w:rPr>
          <w:rFonts w:ascii="仿宋_GB2312" w:hAnsi="仿宋_GB2312" w:eastAsia="仿宋_GB2312"/>
          <w:b/>
          <w:sz w:val="32"/>
        </w:rPr>
        <w:t>2024年度财政拨款收入总计984.94万元，</w:t>
      </w:r>
      <w:r>
        <w:rPr>
          <w:rFonts w:ascii="仿宋_GB2312" w:hAnsi="仿宋_GB2312" w:eastAsia="仿宋_GB2312"/>
          <w:b w:val="0"/>
          <w:sz w:val="32"/>
        </w:rPr>
        <w:t>其中：年初财政拨款结转和结余0.00万元，本年财政拨款收入984.94万元。</w:t>
      </w:r>
      <w:r>
        <w:rPr>
          <w:rFonts w:ascii="仿宋_GB2312" w:hAnsi="仿宋_GB2312" w:eastAsia="仿宋_GB2312"/>
          <w:b/>
          <w:sz w:val="32"/>
        </w:rPr>
        <w:t>财政拨款支出总计984.94万元，</w:t>
      </w:r>
      <w:r>
        <w:rPr>
          <w:rFonts w:ascii="仿宋_GB2312" w:hAnsi="仿宋_GB2312" w:eastAsia="仿宋_GB2312"/>
          <w:b w:val="0"/>
          <w:sz w:val="32"/>
        </w:rPr>
        <w:t>其中：年末财政拨款结转和结余0.00万元，本年财政拨款支出984.94万元。</w:t>
      </w:r>
    </w:p>
    <w:p w14:paraId="411AF63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减少57.58万元，下降5.52%，主要原因是：本年度检察院上级转移支付资金较上年减少。</w:t>
      </w:r>
      <w:r>
        <w:rPr>
          <w:rFonts w:ascii="仿宋_GB2312" w:hAnsi="仿宋_GB2312" w:eastAsia="仿宋_GB2312"/>
          <w:b/>
          <w:sz w:val="32"/>
        </w:rPr>
        <w:t>与年初预算相比，</w:t>
      </w:r>
      <w:r>
        <w:rPr>
          <w:rFonts w:ascii="仿宋_GB2312" w:hAnsi="仿宋_GB2312" w:eastAsia="仿宋_GB2312"/>
          <w:b w:val="0"/>
          <w:sz w:val="32"/>
        </w:rPr>
        <w:t>年初预算数888.17万元，决算数984.94万元，预决算差异率10.90%，主要原因是：2024年追加人员工资、社保、公积金调增部分</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预决算产生差异</w:t>
      </w:r>
      <w:r>
        <w:rPr>
          <w:rFonts w:ascii="仿宋_GB2312" w:hAnsi="仿宋_GB2312" w:eastAsia="仿宋_GB2312"/>
          <w:b w:val="0"/>
          <w:sz w:val="32"/>
        </w:rPr>
        <w:t>。</w:t>
      </w:r>
    </w:p>
    <w:p w14:paraId="4644F0EE">
      <w:pPr>
        <w:spacing w:line="640" w:lineRule="exact"/>
        <w:ind w:firstLine="640"/>
        <w:jc w:val="both"/>
        <w:outlineLvl w:val="2"/>
      </w:pPr>
      <w:r>
        <w:rPr>
          <w:rFonts w:ascii="黑体" w:hAnsi="黑体" w:eastAsia="黑体"/>
          <w:sz w:val="32"/>
        </w:rPr>
        <w:t>五、一般公共预算财政拨款支出决算情况说明</w:t>
      </w:r>
    </w:p>
    <w:p w14:paraId="092E3F73">
      <w:pPr>
        <w:spacing w:line="640" w:lineRule="exact"/>
        <w:ind w:firstLine="640"/>
        <w:jc w:val="both"/>
        <w:outlineLvl w:val="3"/>
      </w:pPr>
      <w:r>
        <w:rPr>
          <w:rFonts w:ascii="楷体_GB2312" w:hAnsi="楷体_GB2312" w:eastAsia="楷体_GB2312"/>
          <w:b/>
          <w:sz w:val="32"/>
        </w:rPr>
        <w:t>（一）一般公共预算财政拨款支出决算总体情况</w:t>
      </w:r>
    </w:p>
    <w:p w14:paraId="505B8852">
      <w:pPr>
        <w:spacing w:line="580" w:lineRule="exact"/>
        <w:ind w:firstLine="640"/>
        <w:jc w:val="both"/>
      </w:pPr>
      <w:r>
        <w:rPr>
          <w:rFonts w:ascii="仿宋_GB2312" w:hAnsi="仿宋_GB2312" w:eastAsia="仿宋_GB2312"/>
          <w:b/>
          <w:sz w:val="32"/>
        </w:rPr>
        <w:t>2024年度一般公共预算财政拨款支出984.94万元，</w:t>
      </w:r>
      <w:r>
        <w:rPr>
          <w:rFonts w:ascii="仿宋_GB2312" w:hAnsi="仿宋_GB2312" w:eastAsia="仿宋_GB2312"/>
          <w:b w:val="0"/>
          <w:sz w:val="32"/>
        </w:rPr>
        <w:t>占本年支出合计的94.09%。</w:t>
      </w:r>
      <w:r>
        <w:rPr>
          <w:rFonts w:ascii="仿宋_GB2312" w:hAnsi="仿宋_GB2312" w:eastAsia="仿宋_GB2312"/>
          <w:b/>
          <w:sz w:val="32"/>
        </w:rPr>
        <w:t>与上年相比，</w:t>
      </w:r>
      <w:r>
        <w:rPr>
          <w:rFonts w:ascii="仿宋_GB2312" w:hAnsi="仿宋_GB2312" w:eastAsia="仿宋_GB2312"/>
          <w:b w:val="0"/>
          <w:sz w:val="32"/>
        </w:rPr>
        <w:t>减少57.58万元，下降5.52%，主要原因是：本年度检察院上级转移支付资金较上年减少。</w:t>
      </w:r>
      <w:r>
        <w:rPr>
          <w:rFonts w:ascii="仿宋_GB2312" w:hAnsi="仿宋_GB2312" w:eastAsia="仿宋_GB2312"/>
          <w:b/>
          <w:sz w:val="32"/>
        </w:rPr>
        <w:t>与年初预算相比,</w:t>
      </w:r>
      <w:r>
        <w:rPr>
          <w:rFonts w:ascii="仿宋_GB2312" w:hAnsi="仿宋_GB2312" w:eastAsia="仿宋_GB2312"/>
          <w:b w:val="0"/>
          <w:sz w:val="32"/>
        </w:rPr>
        <w:t>年初预算数888.17万元，决算数984.94万元，预决算差异率10.90%，主要原因是：2024年追加人员工资、社保、公积金调增部分</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预决算产生差异</w:t>
      </w:r>
      <w:r>
        <w:rPr>
          <w:rFonts w:ascii="仿宋_GB2312" w:hAnsi="仿宋_GB2312" w:eastAsia="仿宋_GB2312"/>
          <w:b w:val="0"/>
          <w:sz w:val="32"/>
        </w:rPr>
        <w:t>。</w:t>
      </w:r>
    </w:p>
    <w:p w14:paraId="27DA0916">
      <w:pPr>
        <w:spacing w:line="640" w:lineRule="exact"/>
        <w:ind w:firstLine="640"/>
        <w:jc w:val="both"/>
        <w:outlineLvl w:val="3"/>
      </w:pPr>
      <w:r>
        <w:rPr>
          <w:rFonts w:ascii="楷体_GB2312" w:hAnsi="楷体_GB2312" w:eastAsia="楷体_GB2312"/>
          <w:b/>
          <w:sz w:val="32"/>
        </w:rPr>
        <w:t>（二）一般公共预算财政拨款支出决算结构情况</w:t>
      </w:r>
    </w:p>
    <w:p w14:paraId="2CE4478D">
      <w:pPr>
        <w:spacing w:line="580" w:lineRule="exact"/>
        <w:ind w:firstLine="640"/>
        <w:jc w:val="both"/>
      </w:pPr>
      <w:r>
        <w:rPr>
          <w:rFonts w:ascii="仿宋_GB2312" w:hAnsi="仿宋_GB2312" w:eastAsia="仿宋_GB2312"/>
          <w:b w:val="0"/>
          <w:sz w:val="32"/>
        </w:rPr>
        <w:t>1.一般公共服务支出(类)17.00万元,占1.73%。</w:t>
      </w:r>
    </w:p>
    <w:p w14:paraId="3D7E4BEB">
      <w:pPr>
        <w:spacing w:line="580" w:lineRule="exact"/>
        <w:ind w:firstLine="640"/>
        <w:jc w:val="both"/>
      </w:pPr>
      <w:r>
        <w:rPr>
          <w:rFonts w:ascii="仿宋_GB2312" w:hAnsi="仿宋_GB2312" w:eastAsia="仿宋_GB2312"/>
          <w:b w:val="0"/>
          <w:sz w:val="32"/>
        </w:rPr>
        <w:t>2.公共安全支出(类)857.46万元,占87.06%。</w:t>
      </w:r>
    </w:p>
    <w:p w14:paraId="25ACEFFC">
      <w:pPr>
        <w:spacing w:line="580" w:lineRule="exact"/>
        <w:ind w:firstLine="640"/>
        <w:jc w:val="both"/>
      </w:pPr>
      <w:r>
        <w:rPr>
          <w:rFonts w:ascii="仿宋_GB2312" w:hAnsi="仿宋_GB2312" w:eastAsia="仿宋_GB2312"/>
          <w:b w:val="0"/>
          <w:sz w:val="32"/>
        </w:rPr>
        <w:t>3.社会保障和就业支出(类)110.48万元,占11.22%。</w:t>
      </w:r>
    </w:p>
    <w:p w14:paraId="3D9B5739">
      <w:pPr>
        <w:spacing w:line="640" w:lineRule="exact"/>
        <w:ind w:firstLine="640"/>
        <w:jc w:val="both"/>
        <w:outlineLvl w:val="3"/>
      </w:pPr>
      <w:r>
        <w:rPr>
          <w:rFonts w:ascii="楷体_GB2312" w:hAnsi="楷体_GB2312" w:eastAsia="楷体_GB2312"/>
          <w:b/>
          <w:sz w:val="32"/>
        </w:rPr>
        <w:t>（三）一般公共预算财政拨款支出决算具体情况</w:t>
      </w:r>
    </w:p>
    <w:p w14:paraId="1D7D8F45">
      <w:pPr>
        <w:spacing w:line="580" w:lineRule="exact"/>
        <w:ind w:firstLine="640"/>
        <w:jc w:val="both"/>
      </w:pPr>
      <w:r>
        <w:rPr>
          <w:rFonts w:ascii="仿宋_GB2312" w:hAnsi="仿宋_GB2312" w:eastAsia="仿宋_GB2312"/>
          <w:b w:val="0"/>
          <w:sz w:val="32"/>
        </w:rPr>
        <w:t>1.一般公共服务支出(类)组织事务(款)其他组织事务支出(项):支出决算数为17.00万元，比上年决算增加17.00万元，增长100.00%,主要原因是：功能科目调整，为民办实事经费由其他检察支出调整至其他组织事务支出，故经费支出增加。</w:t>
      </w:r>
    </w:p>
    <w:p w14:paraId="13F97CF5">
      <w:pPr>
        <w:spacing w:line="580" w:lineRule="exact"/>
        <w:ind w:firstLine="640"/>
        <w:jc w:val="both"/>
      </w:pPr>
      <w:r>
        <w:rPr>
          <w:rFonts w:ascii="仿宋_GB2312" w:hAnsi="仿宋_GB2312" w:eastAsia="仿宋_GB2312"/>
          <w:b w:val="0"/>
          <w:sz w:val="32"/>
        </w:rPr>
        <w:t>2.公共安全支出(类)检察(款)行政运行(项):支出决算数为586.89万元，比上年决算增加26.25万元，增长4.68%,主要原因是：本年在职人员工资调薪、2人调入，相关人员经费增加。</w:t>
      </w:r>
    </w:p>
    <w:p w14:paraId="0834A051">
      <w:pPr>
        <w:spacing w:line="580" w:lineRule="exact"/>
        <w:ind w:firstLine="640"/>
        <w:jc w:val="both"/>
      </w:pPr>
      <w:r>
        <w:rPr>
          <w:rFonts w:ascii="仿宋_GB2312" w:hAnsi="仿宋_GB2312" w:eastAsia="仿宋_GB2312"/>
          <w:b w:val="0"/>
          <w:sz w:val="32"/>
        </w:rPr>
        <w:t>3.公共安全支出(类)检察(款)一般行政管理事务(项):支出决算数为48.62万元，比上年决算减少39.67万元，下降44.93%,主要原因是：本年度司法绩效考核奖金核减，导致本年度</w:t>
      </w:r>
      <w:r>
        <w:rPr>
          <w:rFonts w:hint="eastAsia" w:ascii="仿宋_GB2312" w:hAnsi="仿宋_GB2312" w:eastAsia="仿宋_GB2312"/>
          <w:b w:val="0"/>
          <w:sz w:val="32"/>
          <w:lang w:val="en-US" w:eastAsia="zh-CN"/>
        </w:rPr>
        <w:t>经费支出减少</w:t>
      </w:r>
      <w:r>
        <w:rPr>
          <w:rFonts w:ascii="仿宋_GB2312" w:hAnsi="仿宋_GB2312" w:eastAsia="仿宋_GB2312"/>
          <w:b w:val="0"/>
          <w:sz w:val="32"/>
        </w:rPr>
        <w:t>。</w:t>
      </w:r>
    </w:p>
    <w:p w14:paraId="3F2ACCEE">
      <w:pPr>
        <w:spacing w:line="580" w:lineRule="exact"/>
        <w:ind w:firstLine="640"/>
        <w:jc w:val="both"/>
      </w:pPr>
      <w:r>
        <w:rPr>
          <w:rFonts w:ascii="仿宋_GB2312" w:hAnsi="仿宋_GB2312" w:eastAsia="仿宋_GB2312"/>
          <w:b w:val="0"/>
          <w:sz w:val="32"/>
        </w:rPr>
        <w:t>4.公共安全支出(类)检察(款)事业运行(项):支出决算数为126.36万元，比上年决算增加13.34万元，增长11.80%,主要原因是：本年在职人员工资晋升，导致相关人员经费较上年有所增加。</w:t>
      </w:r>
    </w:p>
    <w:p w14:paraId="33989B3E">
      <w:pPr>
        <w:spacing w:line="580" w:lineRule="exact"/>
        <w:ind w:firstLine="640"/>
        <w:jc w:val="both"/>
      </w:pPr>
      <w:r>
        <w:rPr>
          <w:rFonts w:ascii="仿宋_GB2312" w:hAnsi="仿宋_GB2312" w:eastAsia="仿宋_GB2312"/>
          <w:b w:val="0"/>
          <w:sz w:val="32"/>
        </w:rPr>
        <w:t>5.公共安全支出(类)检察(款)其他检察支出(项):支出决算数为95.58万元，比上年决算减少72.52万元，下降43.14%,主要原因是：本年度检察院上级转移支付资金较上年减少，导致</w:t>
      </w:r>
      <w:r>
        <w:rPr>
          <w:rFonts w:hint="eastAsia" w:ascii="仿宋_GB2312" w:hAnsi="仿宋_GB2312" w:eastAsia="仿宋_GB2312"/>
          <w:b w:val="0"/>
          <w:sz w:val="32"/>
          <w:lang w:val="en-US" w:eastAsia="zh-CN"/>
        </w:rPr>
        <w:t>经费支出减少</w:t>
      </w:r>
      <w:r>
        <w:rPr>
          <w:rFonts w:ascii="仿宋_GB2312" w:hAnsi="仿宋_GB2312" w:eastAsia="仿宋_GB2312"/>
          <w:b w:val="0"/>
          <w:sz w:val="32"/>
        </w:rPr>
        <w:t>。</w:t>
      </w:r>
    </w:p>
    <w:p w14:paraId="44C3732C">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6.社会保障和就业支出(类)行政事业单位养老支出(款)行政单位离退休(项):支出决算数为29.34万元，比上年决算减少10.80万元，下降26.91%,主要原因是：本年退休干部去世，导致退休费较上年减少。</w:t>
      </w:r>
    </w:p>
    <w:p w14:paraId="6C9F6EF4">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7.社会保障和就业支出(类)行政事业单位养老支出(款)事业单位离退休(项):支出决算数为1.84万元，比上年决算减少0.97万元，下降34.52%,主要原因是：本年退休干部去世，导致退休费较上年减少。</w:t>
      </w:r>
    </w:p>
    <w:p w14:paraId="68E8F225">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79.30万元，比上年决算增加11.59万元，增长17.12%,主要原因是：本年度人员工资基数调增，养老缴费基数上涨，相应支出增加。</w:t>
      </w:r>
    </w:p>
    <w:p w14:paraId="7F9C15C2">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9.社会保障和就业支出(类)行政事业单位养老支出(款)机关事业单位职业年金缴费支出(项):支出决算数为0.00万元，比上年决算减少1.81万元，下降100.00%,主要原因是：本年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新增退休人员，职业年金缴费较上年减少。</w:t>
      </w:r>
    </w:p>
    <w:p w14:paraId="4C5D050C">
      <w:pPr>
        <w:spacing w:line="640" w:lineRule="exact"/>
        <w:ind w:firstLine="640"/>
        <w:jc w:val="both"/>
        <w:outlineLvl w:val="2"/>
      </w:pPr>
      <w:r>
        <w:rPr>
          <w:rFonts w:ascii="黑体" w:hAnsi="黑体" w:eastAsia="黑体"/>
          <w:sz w:val="32"/>
        </w:rPr>
        <w:t>六、一般公共预算财政拨款基本支出决算情况说明</w:t>
      </w:r>
    </w:p>
    <w:p w14:paraId="6E6F3969">
      <w:pPr>
        <w:spacing w:line="580" w:lineRule="exact"/>
        <w:ind w:firstLine="640"/>
        <w:jc w:val="both"/>
      </w:pPr>
      <w:r>
        <w:rPr>
          <w:rFonts w:ascii="仿宋_GB2312" w:hAnsi="仿宋_GB2312" w:eastAsia="仿宋_GB2312"/>
          <w:b w:val="0"/>
          <w:sz w:val="32"/>
        </w:rPr>
        <w:t>2024年度一般公共预算财政拨款基本支出823.74万元，其中：</w:t>
      </w:r>
      <w:r>
        <w:rPr>
          <w:rFonts w:ascii="仿宋_GB2312" w:hAnsi="仿宋_GB2312" w:eastAsia="仿宋_GB2312"/>
          <w:b/>
          <w:sz w:val="32"/>
        </w:rPr>
        <w:t>人员经费793.84万元，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包括：基本工资、津贴补贴、奖金、机关事业单位基本养老保险缴费、职工基本医疗保险缴费、其他社会保障缴费、住房公积金、其他工资福利支出、退休费、生活补助。</w:t>
      </w:r>
    </w:p>
    <w:p w14:paraId="3F919AAC">
      <w:pPr>
        <w:spacing w:line="580" w:lineRule="exact"/>
        <w:ind w:firstLine="640"/>
        <w:jc w:val="both"/>
      </w:pPr>
      <w:r>
        <w:rPr>
          <w:rFonts w:ascii="仿宋_GB2312" w:hAnsi="仿宋_GB2312" w:eastAsia="仿宋_GB2312"/>
          <w:b/>
          <w:sz w:val="32"/>
        </w:rPr>
        <w:t>公用经费29.90万元，</w:t>
      </w:r>
      <w:r>
        <w:rPr>
          <w:rFonts w:ascii="仿宋_GB2312" w:hAnsi="仿宋_GB2312" w:eastAsia="仿宋_GB2312"/>
          <w:b w:val="0"/>
          <w:sz w:val="32"/>
        </w:rPr>
        <w:t>包括：办公费、水费、取暖费、维修（护）费、公务接待费、劳务费、工会经费、福利费。</w:t>
      </w:r>
    </w:p>
    <w:p w14:paraId="104FE97F">
      <w:pPr>
        <w:spacing w:line="640" w:lineRule="exact"/>
        <w:ind w:firstLine="640"/>
        <w:jc w:val="both"/>
        <w:outlineLvl w:val="2"/>
      </w:pPr>
      <w:r>
        <w:rPr>
          <w:rFonts w:ascii="黑体" w:hAnsi="黑体" w:eastAsia="黑体"/>
          <w:sz w:val="32"/>
        </w:rPr>
        <w:t>七、政府性基金预算财政拨款收入支出决算情况说明</w:t>
      </w:r>
    </w:p>
    <w:p w14:paraId="6746CC1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8D1F3DA">
      <w:pPr>
        <w:spacing w:line="640" w:lineRule="exact"/>
        <w:ind w:firstLine="640"/>
        <w:jc w:val="both"/>
        <w:outlineLvl w:val="2"/>
      </w:pPr>
      <w:r>
        <w:rPr>
          <w:rFonts w:ascii="黑体" w:hAnsi="黑体" w:eastAsia="黑体"/>
          <w:sz w:val="32"/>
        </w:rPr>
        <w:t>八、国有资本经营预算财政拨款收入支出决算情况说明</w:t>
      </w:r>
    </w:p>
    <w:p w14:paraId="472161A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301F479">
      <w:pPr>
        <w:spacing w:line="640" w:lineRule="exact"/>
        <w:ind w:firstLine="640"/>
        <w:jc w:val="both"/>
        <w:outlineLvl w:val="2"/>
      </w:pPr>
      <w:r>
        <w:rPr>
          <w:rFonts w:ascii="黑体" w:hAnsi="黑体" w:eastAsia="黑体"/>
          <w:sz w:val="32"/>
        </w:rPr>
        <w:t>九、财政拨款“三公”经费支出决算情况说明</w:t>
      </w:r>
    </w:p>
    <w:p w14:paraId="48B4B301">
      <w:pPr>
        <w:spacing w:line="580" w:lineRule="exact"/>
        <w:ind w:firstLine="640"/>
        <w:jc w:val="both"/>
      </w:pPr>
      <w:r>
        <w:rPr>
          <w:rFonts w:ascii="仿宋_GB2312" w:hAnsi="仿宋_GB2312" w:eastAsia="仿宋_GB2312"/>
          <w:b/>
          <w:sz w:val="32"/>
        </w:rPr>
        <w:t>2024年度财政拨款“三公”经费支出4.61万元，</w:t>
      </w:r>
      <w:r>
        <w:rPr>
          <w:rFonts w:ascii="仿宋_GB2312" w:hAnsi="仿宋_GB2312" w:eastAsia="仿宋_GB2312"/>
          <w:b w:val="0"/>
          <w:sz w:val="32"/>
        </w:rPr>
        <w:t>比上年减少2.13万元，下降31.56%，主要原因是：严格执行中央八项规定，厉行节约，减少三公经费支出。其中：因公出国（境）费支出0.00万元，占0.00%，比上年增加0.00万元，增长0.00%，主要原因是：2023年与2024年均未安排因公出国（境）费支出。公务用车购置及运行维护费支出4.17万元，占90.46%，比上年减少2.32万元，下降35.75%，主要原因是：严格执行中央八项规定，厉行节约，减少运行维护费。公务接待费支出0.45万元，占9.76%，比上年增加0.19万元，增长73.08%，主要原因是：本年度接待人次较上年增加，导致公务接待费较上年增加。</w:t>
      </w:r>
    </w:p>
    <w:p w14:paraId="2A95FD12">
      <w:pPr>
        <w:spacing w:line="580" w:lineRule="exact"/>
        <w:ind w:firstLine="640"/>
        <w:jc w:val="both"/>
      </w:pPr>
      <w:r>
        <w:rPr>
          <w:rFonts w:ascii="仿宋_GB2312" w:hAnsi="仿宋_GB2312" w:eastAsia="仿宋_GB2312"/>
          <w:b/>
          <w:sz w:val="32"/>
        </w:rPr>
        <w:t>具体情况如下：</w:t>
      </w:r>
    </w:p>
    <w:p w14:paraId="58C9595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2CF5F26">
      <w:pPr>
        <w:spacing w:line="580" w:lineRule="exact"/>
        <w:ind w:firstLine="640"/>
        <w:jc w:val="both"/>
      </w:pPr>
      <w:r>
        <w:rPr>
          <w:rFonts w:ascii="仿宋_GB2312" w:hAnsi="仿宋_GB2312" w:eastAsia="仿宋_GB2312"/>
          <w:b w:val="0"/>
          <w:sz w:val="32"/>
        </w:rPr>
        <w:t>公务用车购置及运行维护费4.17万元，其中：公务用车购置费0.00万元，公务用车运行维护费4.17万元。公务用车运行维护费开支内容包括车辆加油费、维修费、保险费、审车费、过路费等。公务用车购置数0辆，公务用车保有量9辆。国有资产占用情况中固定资产车辆9辆，与公务用车保有量差异原因是：本单位固定资产车辆与公务用车保有量一致无差异。</w:t>
      </w:r>
    </w:p>
    <w:p w14:paraId="4790D58F">
      <w:pPr>
        <w:spacing w:line="580" w:lineRule="exact"/>
        <w:ind w:firstLine="640"/>
        <w:jc w:val="both"/>
      </w:pPr>
      <w:r>
        <w:rPr>
          <w:rFonts w:ascii="仿宋_GB2312" w:hAnsi="仿宋_GB2312" w:eastAsia="仿宋_GB2312"/>
          <w:b w:val="0"/>
          <w:sz w:val="32"/>
        </w:rPr>
        <w:t>公务接待费0.45万元，开支内容包括本年度开展调研及督导、交流学习时产生的餐费。单位全年安排的国内公务接待4批次，50人次。</w:t>
      </w:r>
    </w:p>
    <w:p w14:paraId="2798E47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5.43万元，决算数4.61万元，预决算差异率-15.10%，主要原因是：严格执行中央八项规定，厉行节约，减少“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4.93万元，决算数4.17万元，预决算差异率-15.42%，主要原因是：严格执行中央八项规定精神，厉行节约，减少公务用车使用频次，燃油费减少。公务接待费全年预算数0.50万元，决算数0.45万元，预决算差异率-10.00%，主要原因是：严格控制公务接待活动，认真执行经费开支标准，减少公务接待运行成本费用。</w:t>
      </w:r>
    </w:p>
    <w:p w14:paraId="1BC7D536">
      <w:pPr>
        <w:spacing w:line="640" w:lineRule="exact"/>
        <w:ind w:firstLine="640"/>
        <w:jc w:val="both"/>
        <w:outlineLvl w:val="2"/>
      </w:pPr>
      <w:r>
        <w:rPr>
          <w:rFonts w:ascii="黑体" w:hAnsi="黑体" w:eastAsia="黑体"/>
          <w:sz w:val="32"/>
        </w:rPr>
        <w:t>十、其他重要事项的情况说明</w:t>
      </w:r>
    </w:p>
    <w:p w14:paraId="22CE1E1E">
      <w:pPr>
        <w:spacing w:line="640" w:lineRule="exact"/>
        <w:ind w:firstLine="640"/>
        <w:jc w:val="both"/>
        <w:outlineLvl w:val="3"/>
      </w:pPr>
      <w:r>
        <w:rPr>
          <w:rFonts w:ascii="楷体_GB2312" w:hAnsi="楷体_GB2312" w:eastAsia="楷体_GB2312"/>
          <w:b/>
          <w:sz w:val="32"/>
        </w:rPr>
        <w:t>（一）机关运行经费及公用经费支出情况</w:t>
      </w:r>
    </w:p>
    <w:p w14:paraId="3A8717F0">
      <w:pPr>
        <w:spacing w:line="580" w:lineRule="exact"/>
        <w:ind w:firstLine="640"/>
        <w:jc w:val="both"/>
      </w:pPr>
      <w:r>
        <w:rPr>
          <w:rFonts w:ascii="仿宋_GB2312" w:hAnsi="仿宋_GB2312" w:eastAsia="仿宋_GB2312"/>
          <w:b w:val="0"/>
          <w:sz w:val="32"/>
        </w:rPr>
        <w:t>2024年度乌恰县人民检察院（行政单位和参照公务员法管理事业单位）机关运行经费支出29.90万元，比上年增加2.61万元，增长9.56%，主要原因是：本年更新、维护补充办公用品，导致机关运行经费较上年增加。</w:t>
      </w:r>
    </w:p>
    <w:p w14:paraId="5BA6E142">
      <w:pPr>
        <w:spacing w:line="640" w:lineRule="exact"/>
        <w:ind w:firstLine="640"/>
        <w:jc w:val="both"/>
        <w:outlineLvl w:val="3"/>
      </w:pPr>
      <w:r>
        <w:rPr>
          <w:rFonts w:ascii="楷体_GB2312" w:hAnsi="楷体_GB2312" w:eastAsia="楷体_GB2312"/>
          <w:b/>
          <w:sz w:val="32"/>
        </w:rPr>
        <w:t>（二）政府采购情况</w:t>
      </w:r>
    </w:p>
    <w:p w14:paraId="473A10FC">
      <w:pPr>
        <w:spacing w:line="580" w:lineRule="exact"/>
        <w:ind w:firstLine="640"/>
        <w:jc w:val="both"/>
      </w:pPr>
      <w:r>
        <w:rPr>
          <w:rFonts w:ascii="仿宋_GB2312" w:hAnsi="仿宋_GB2312" w:eastAsia="仿宋_GB2312"/>
          <w:b w:val="0"/>
          <w:sz w:val="32"/>
        </w:rPr>
        <w:t>2024年度政府采购支出总额39.80万元，其中：政府采购货物支出9.45万元、政府采购工程支出0.00万元、政府采购服务支出30.35万元。</w:t>
      </w:r>
    </w:p>
    <w:p w14:paraId="61EDB4C8">
      <w:pPr>
        <w:spacing w:line="580" w:lineRule="exact"/>
        <w:ind w:firstLine="640"/>
        <w:jc w:val="both"/>
      </w:pPr>
      <w:r>
        <w:rPr>
          <w:rFonts w:ascii="仿宋_GB2312" w:hAnsi="仿宋_GB2312" w:eastAsia="仿宋_GB2312"/>
          <w:b w:val="0"/>
          <w:sz w:val="32"/>
        </w:rPr>
        <w:t>授予中小企业合同金额39.80万元，占政府采购支出总额的100.00%，其中：授予小微企业合同金额39.80万元，占政府采购支出总额的100.00%。</w:t>
      </w:r>
    </w:p>
    <w:p w14:paraId="5C648234">
      <w:pPr>
        <w:spacing w:line="640" w:lineRule="exact"/>
        <w:ind w:firstLine="640"/>
        <w:jc w:val="both"/>
        <w:outlineLvl w:val="3"/>
      </w:pPr>
      <w:r>
        <w:rPr>
          <w:rFonts w:ascii="楷体_GB2312" w:hAnsi="楷体_GB2312" w:eastAsia="楷体_GB2312"/>
          <w:b/>
          <w:sz w:val="32"/>
        </w:rPr>
        <w:t>（三）国有资产占用情况说明</w:t>
      </w:r>
    </w:p>
    <w:p w14:paraId="6CDA922A">
      <w:pPr>
        <w:spacing w:line="580" w:lineRule="exact"/>
        <w:ind w:firstLine="640"/>
        <w:jc w:val="both"/>
      </w:pPr>
      <w:r>
        <w:rPr>
          <w:rFonts w:ascii="仿宋_GB2312" w:hAnsi="仿宋_GB2312" w:eastAsia="仿宋_GB2312"/>
          <w:b w:val="0"/>
          <w:sz w:val="32"/>
        </w:rPr>
        <w:t>截至2024年12月31日，房屋3,600.00平方米，价值411.00万元。车辆9辆，价值178.32万元，其中：副部（省）级及以上领导用车0辆、主要负责人用车0辆、机要通信用车0辆、应急保障用车0辆、执法执勤用车6辆、特种专业技术用车0辆、离退休干部服务用车0辆、其他用车3辆，其他用车主要是：单位业务用车。单价100万元（含）以上设备（不含车辆）0台（套）。</w:t>
      </w:r>
    </w:p>
    <w:p w14:paraId="7E165465">
      <w:pPr>
        <w:spacing w:line="640" w:lineRule="exact"/>
        <w:ind w:firstLine="640"/>
        <w:jc w:val="both"/>
        <w:outlineLvl w:val="2"/>
      </w:pPr>
      <w:r>
        <w:rPr>
          <w:rFonts w:ascii="黑体" w:hAnsi="黑体" w:eastAsia="黑体"/>
          <w:sz w:val="32"/>
        </w:rPr>
        <w:t>十一、预算绩效的情况说明</w:t>
      </w:r>
    </w:p>
    <w:p w14:paraId="262FEB9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1,052.15万元，实际执行总额1,046.76万元；预算绩效评价项目2个，全年预算数93.76万元，全年执行数78.94万元。预算绩效管理取得的成效：一是提升财政资金使用效益：通过设定清晰的绩效目标和考核标准，促使资金向高效益、高回报的项目倾斜，减少了资金闲置、浪费等问题，让每一笔钱都用在“刀刃上”</w:t>
      </w:r>
      <w:r>
        <w:rPr>
          <w:rFonts w:hint="eastAsia" w:ascii="仿宋_GB2312" w:hAnsi="仿宋_GB2312" w:eastAsia="仿宋_GB2312"/>
          <w:b w:val="0"/>
          <w:sz w:val="32"/>
          <w:lang w:eastAsia="zh-CN"/>
        </w:rPr>
        <w:t>；</w:t>
      </w:r>
      <w:r>
        <w:rPr>
          <w:rFonts w:ascii="仿宋_GB2312" w:hAnsi="仿宋_GB2312" w:eastAsia="仿宋_GB2312"/>
          <w:b w:val="0"/>
          <w:sz w:val="32"/>
        </w:rPr>
        <w:t>二是强化责任约束机制：明确了各部门在资金使用中的绩效责任，通过绩效评价和结果应用，将评价结果与后续预算安排挂钩，促使部门主动提升管理水平，对资金使用效果负责</w:t>
      </w:r>
      <w:r>
        <w:rPr>
          <w:rFonts w:hint="eastAsia" w:ascii="仿宋_GB2312" w:hAnsi="仿宋_GB2312" w:eastAsia="仿宋_GB2312"/>
          <w:b w:val="0"/>
          <w:sz w:val="32"/>
          <w:lang w:eastAsia="zh-CN"/>
        </w:rPr>
        <w:t>；</w:t>
      </w:r>
      <w:r>
        <w:rPr>
          <w:rFonts w:ascii="仿宋_GB2312" w:hAnsi="仿宋_GB2312" w:eastAsia="仿宋_GB2312"/>
          <w:b w:val="0"/>
          <w:sz w:val="32"/>
        </w:rPr>
        <w:t>三是提高公共服务质量：聚焦民生等重点领域，通过绩效管理推动相关项目更好地实现预期效益，如教育、医疗、养老等领域的资金使用更精准，直接提升了公共服务的质量和群众满意度。发现的问题及原因：一是部分业务人员绩效管理意识有待增强，未能全面深入认识理解绩效管理工作的意义。绩效管理经验不足，预算绩效管理工作有待进一步落实</w:t>
      </w:r>
      <w:r>
        <w:rPr>
          <w:rFonts w:hint="eastAsia" w:ascii="仿宋_GB2312" w:hAnsi="仿宋_GB2312" w:eastAsia="仿宋_GB2312"/>
          <w:b w:val="0"/>
          <w:sz w:val="32"/>
          <w:lang w:eastAsia="zh-CN"/>
        </w:rPr>
        <w:t>；</w:t>
      </w:r>
      <w:r>
        <w:rPr>
          <w:rFonts w:ascii="仿宋_GB2312" w:hAnsi="仿宋_GB2312" w:eastAsia="仿宋_GB2312"/>
          <w:b w:val="0"/>
          <w:sz w:val="32"/>
        </w:rPr>
        <w:t>二是绩效指标的明确性、可衡量性、相关性还需进一步提升。预算精细化管理还需完善，预算编制管理水平仍有进一步提升的空间</w:t>
      </w:r>
      <w:r>
        <w:rPr>
          <w:rFonts w:hint="eastAsia" w:ascii="仿宋_GB2312" w:hAnsi="仿宋_GB2312" w:eastAsia="仿宋_GB2312"/>
          <w:b w:val="0"/>
          <w:sz w:val="32"/>
          <w:lang w:eastAsia="zh-CN"/>
        </w:rPr>
        <w:t>；</w:t>
      </w:r>
      <w:r>
        <w:rPr>
          <w:rFonts w:ascii="仿宋_GB2312" w:hAnsi="仿宋_GB2312" w:eastAsia="仿宋_GB2312"/>
          <w:b w:val="0"/>
          <w:sz w:val="32"/>
        </w:rPr>
        <w:t>三是部分工作任务存在较大的不可预见性，导致工作任务与实际工作开展情况之间存在偏差。下一步改进措施：一是继续加大绩效工作宣传力度，强化绩效理念</w:t>
      </w:r>
      <w:r>
        <w:rPr>
          <w:rFonts w:hint="eastAsia" w:ascii="仿宋_GB2312" w:hAnsi="仿宋_GB2312" w:eastAsia="仿宋_GB2312"/>
          <w:b w:val="0"/>
          <w:sz w:val="32"/>
          <w:lang w:eastAsia="zh-CN"/>
        </w:rPr>
        <w:t>；</w:t>
      </w:r>
      <w:r>
        <w:rPr>
          <w:rFonts w:ascii="仿宋_GB2312" w:hAnsi="仿宋_GB2312" w:eastAsia="仿宋_GB2312"/>
          <w:b w:val="0"/>
          <w:sz w:val="32"/>
        </w:rPr>
        <w:t>二是继续完善预算绩效管理相关工作制度，建立全过程预算绩效管理链条，有效贯彻落实全面实施绩效管理的精神。具体附整体支出绩效自评表，项目支出绩效自评表和评价报告。</w:t>
      </w:r>
    </w:p>
    <w:p w14:paraId="42FAE76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1359ED5">
        <w:tblPrEx>
          <w:tblCellMar>
            <w:top w:w="0" w:type="dxa"/>
            <w:left w:w="108" w:type="dxa"/>
            <w:bottom w:w="0" w:type="dxa"/>
            <w:right w:w="108" w:type="dxa"/>
          </w:tblCellMar>
        </w:tblPrEx>
        <w:tc>
          <w:tcPr>
            <w:tcW w:w="8840" w:type="dxa"/>
            <w:gridSpan w:val="8"/>
            <w:vAlign w:val="center"/>
          </w:tcPr>
          <w:p w14:paraId="2240F8B9">
            <w:pPr>
              <w:jc w:val="center"/>
            </w:pPr>
            <w:r>
              <w:rPr>
                <w:rFonts w:ascii="宋体" w:hAnsi="宋体" w:eastAsia="宋体"/>
                <w:sz w:val="24"/>
              </w:rPr>
              <w:t>单位整体支出绩效自评表</w:t>
            </w:r>
          </w:p>
        </w:tc>
      </w:tr>
      <w:tr w14:paraId="17D4BC04">
        <w:tblPrEx>
          <w:tblCellMar>
            <w:top w:w="0" w:type="dxa"/>
            <w:left w:w="108" w:type="dxa"/>
            <w:bottom w:w="0" w:type="dxa"/>
            <w:right w:w="108" w:type="dxa"/>
          </w:tblCellMar>
        </w:tblPrEx>
        <w:tc>
          <w:tcPr>
            <w:tcW w:w="8840" w:type="dxa"/>
            <w:gridSpan w:val="8"/>
            <w:vAlign w:val="center"/>
          </w:tcPr>
          <w:p w14:paraId="44194656">
            <w:pPr>
              <w:jc w:val="center"/>
            </w:pPr>
            <w:r>
              <w:rPr>
                <w:rFonts w:ascii="宋体" w:hAnsi="宋体" w:eastAsia="宋体"/>
                <w:sz w:val="24"/>
              </w:rPr>
              <w:t>（2024年度）</w:t>
            </w:r>
          </w:p>
        </w:tc>
      </w:tr>
      <w:tr w14:paraId="7F54C14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2E36A0">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632366">
            <w:pPr>
              <w:jc w:val="center"/>
            </w:pPr>
            <w:r>
              <w:rPr>
                <w:rFonts w:ascii="宋体" w:hAnsi="宋体" w:eastAsia="宋体"/>
                <w:sz w:val="16"/>
              </w:rPr>
              <w:t>乌恰县人民检察院</w:t>
            </w:r>
          </w:p>
        </w:tc>
      </w:tr>
      <w:tr w14:paraId="402F388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9EF96">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F5D6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B3514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8EF6E">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7CD683">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FDC0F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10E35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D0D052">
            <w:pPr>
              <w:jc w:val="center"/>
            </w:pPr>
            <w:r>
              <w:rPr>
                <w:rFonts w:ascii="宋体" w:hAnsi="宋体" w:eastAsia="宋体"/>
                <w:sz w:val="16"/>
              </w:rPr>
              <w:t>得分</w:t>
            </w:r>
          </w:p>
        </w:tc>
      </w:tr>
      <w:tr w14:paraId="6E1F5E1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63B9F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27427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45413">
            <w:pPr>
              <w:jc w:val="center"/>
            </w:pPr>
            <w:r>
              <w:rPr>
                <w:rFonts w:ascii="宋体" w:hAnsi="宋体" w:eastAsia="宋体"/>
                <w:sz w:val="16"/>
              </w:rPr>
              <w:t>949.81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92E859">
            <w:pPr>
              <w:jc w:val="center"/>
            </w:pPr>
            <w:r>
              <w:rPr>
                <w:rFonts w:ascii="宋体" w:hAnsi="宋体" w:eastAsia="宋体"/>
                <w:sz w:val="16"/>
              </w:rPr>
              <w:t>1,052.15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DF45B">
            <w:pPr>
              <w:jc w:val="center"/>
            </w:pPr>
            <w:r>
              <w:rPr>
                <w:rFonts w:ascii="宋体" w:hAnsi="宋体" w:eastAsia="宋体"/>
                <w:sz w:val="16"/>
              </w:rPr>
              <w:t>1,046.76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F4EA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F53E4">
            <w:pPr>
              <w:jc w:val="center"/>
            </w:pPr>
            <w:r>
              <w:rPr>
                <w:rFonts w:ascii="宋体" w:hAnsi="宋体" w:eastAsia="宋体"/>
                <w:sz w:val="16"/>
              </w:rPr>
              <w:t>99.49%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7E6CA3">
            <w:pPr>
              <w:jc w:val="center"/>
              <w:rPr>
                <w:rFonts w:hint="default" w:eastAsia="宋体"/>
                <w:lang w:val="en-US" w:eastAsia="zh-CN"/>
              </w:rPr>
            </w:pPr>
            <w:r>
              <w:rPr>
                <w:rFonts w:hint="eastAsia" w:ascii="宋体" w:hAnsi="宋体"/>
                <w:sz w:val="16"/>
                <w:lang w:val="en-US" w:eastAsia="zh-CN"/>
              </w:rPr>
              <w:t>9.95</w:t>
            </w:r>
          </w:p>
        </w:tc>
      </w:tr>
      <w:tr w14:paraId="5CA9DD4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FAB7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13F1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31167E">
            <w:pPr>
              <w:jc w:val="center"/>
            </w:pPr>
            <w:r>
              <w:rPr>
                <w:rFonts w:ascii="宋体" w:hAnsi="宋体" w:eastAsia="宋体"/>
                <w:sz w:val="16"/>
              </w:rPr>
              <w:t>108.78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49800D">
            <w:pPr>
              <w:jc w:val="center"/>
            </w:pPr>
            <w:r>
              <w:rPr>
                <w:rFonts w:ascii="宋体" w:hAnsi="宋体" w:eastAsia="宋体"/>
                <w:sz w:val="16"/>
              </w:rPr>
              <w:t>166.59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565EB">
            <w:pPr>
              <w:jc w:val="center"/>
            </w:pPr>
            <w:r>
              <w:rPr>
                <w:rFonts w:ascii="宋体" w:hAnsi="宋体" w:eastAsia="宋体"/>
                <w:sz w:val="16"/>
              </w:rPr>
              <w:t>161.20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83EE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80C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8E0F26">
            <w:pPr>
              <w:jc w:val="center"/>
            </w:pPr>
            <w:r>
              <w:rPr>
                <w:rFonts w:ascii="宋体" w:hAnsi="宋体" w:eastAsia="宋体"/>
                <w:sz w:val="16"/>
              </w:rPr>
              <w:t>—</w:t>
            </w:r>
          </w:p>
        </w:tc>
      </w:tr>
      <w:tr w14:paraId="60C111D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C1E40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A403F5">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208D7A">
            <w:pPr>
              <w:jc w:val="center"/>
            </w:pPr>
            <w:r>
              <w:rPr>
                <w:rFonts w:ascii="宋体" w:hAnsi="宋体" w:eastAsia="宋体"/>
                <w:sz w:val="16"/>
              </w:rPr>
              <w:t>779.39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F5D08">
            <w:pPr>
              <w:jc w:val="center"/>
            </w:pPr>
            <w:r>
              <w:rPr>
                <w:rFonts w:ascii="宋体" w:hAnsi="宋体" w:eastAsia="宋体"/>
                <w:sz w:val="16"/>
              </w:rPr>
              <w:t>823.74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5B1FC7">
            <w:pPr>
              <w:jc w:val="center"/>
            </w:pPr>
            <w:r>
              <w:rPr>
                <w:rFonts w:ascii="宋体" w:hAnsi="宋体" w:eastAsia="宋体"/>
                <w:sz w:val="16"/>
              </w:rPr>
              <w:t>823.74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13B43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C23C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F7303">
            <w:pPr>
              <w:jc w:val="center"/>
            </w:pPr>
            <w:r>
              <w:rPr>
                <w:rFonts w:ascii="宋体" w:hAnsi="宋体" w:eastAsia="宋体"/>
                <w:sz w:val="16"/>
              </w:rPr>
              <w:t>—</w:t>
            </w:r>
          </w:p>
        </w:tc>
      </w:tr>
      <w:tr w14:paraId="6CBA85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413B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FB5A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03DDA9">
            <w:pPr>
              <w:jc w:val="center"/>
            </w:pPr>
            <w:r>
              <w:rPr>
                <w:rFonts w:ascii="宋体" w:hAnsi="宋体" w:eastAsia="宋体"/>
                <w:sz w:val="16"/>
              </w:rPr>
              <w:t>61.64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464D8D">
            <w:pPr>
              <w:jc w:val="center"/>
            </w:pPr>
            <w:r>
              <w:rPr>
                <w:rFonts w:ascii="宋体" w:hAnsi="宋体" w:eastAsia="宋体"/>
                <w:sz w:val="16"/>
              </w:rPr>
              <w:t>61.82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8C1445">
            <w:pPr>
              <w:jc w:val="center"/>
            </w:pPr>
            <w:r>
              <w:rPr>
                <w:rFonts w:ascii="宋体" w:hAnsi="宋体" w:eastAsia="宋体"/>
                <w:sz w:val="16"/>
              </w:rPr>
              <w:t>61.82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83DEB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705B3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662331">
            <w:pPr>
              <w:jc w:val="center"/>
            </w:pPr>
            <w:r>
              <w:rPr>
                <w:rFonts w:ascii="宋体" w:hAnsi="宋体" w:eastAsia="宋体"/>
                <w:sz w:val="16"/>
              </w:rPr>
              <w:t>—</w:t>
            </w:r>
          </w:p>
        </w:tc>
      </w:tr>
      <w:tr w14:paraId="0039E80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C2A5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7454B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183C38">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361B88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F3D8F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3FFB46">
            <w:pPr>
              <w:jc w:val="both"/>
            </w:pPr>
            <w:r>
              <w:rPr>
                <w:rFonts w:ascii="宋体" w:hAnsi="宋体" w:eastAsia="宋体"/>
                <w:sz w:val="16"/>
              </w:rPr>
              <w:t>扎实推进反恐</w:t>
            </w:r>
            <w:r>
              <w:rPr>
                <w:rFonts w:hint="eastAsia" w:ascii="宋体" w:hAnsi="宋体"/>
                <w:sz w:val="16"/>
                <w:lang w:eastAsia="zh-CN"/>
              </w:rPr>
              <w:t>WW</w:t>
            </w:r>
            <w:r>
              <w:rPr>
                <w:rFonts w:ascii="宋体" w:hAnsi="宋体" w:eastAsia="宋体"/>
                <w:sz w:val="16"/>
              </w:rPr>
              <w:t>法治化常态化，严惩各类严重影响群众安全感的刑事犯罪，切实保护人民群众人身权、财产权，保障人民安居乐业。认真做好检察环节社会治安综合治理工作，依法妥善处理</w:t>
            </w:r>
            <w:bookmarkStart w:id="0" w:name="_GoBack"/>
            <w:r>
              <w:rPr>
                <w:rFonts w:ascii="宋体" w:hAnsi="宋体" w:eastAsia="宋体"/>
                <w:sz w:val="16"/>
              </w:rPr>
              <w:t>化解</w:t>
            </w:r>
            <w:bookmarkEnd w:id="0"/>
            <w:r>
              <w:rPr>
                <w:rFonts w:ascii="宋体" w:hAnsi="宋体" w:eastAsia="宋体"/>
                <w:sz w:val="16"/>
              </w:rPr>
              <w:t>检察环节社会矛盾，有效降低社会风险，促进社会和谐稳定。</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从严惩处危害经济安全，损害民生民利、破坏生态环境的刑事犯罪，贯彻落实政法机关优化营商环境50条措施，依法严惩电信网络诈骗、养老诈骗等群众反映强烈的违法犯罪，落实好检察为民办实事各项措施，努力提供多样化、多层次、多方面的司法服务，畅通检察环节诉求反馈通道，实质性化解群众合理诉求。</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进一步完善监督制约、协作配合、信息共享机制，加强对立案和侦查活动的监督，主动介入案件、发现线索、持续加强监督力度，加大公益诉讼监督力度，把公益诉讼监督重点进一步向民生领域延伸。</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2B5E34">
            <w:pPr>
              <w:jc w:val="both"/>
            </w:pPr>
            <w:r>
              <w:rPr>
                <w:rFonts w:ascii="宋体" w:hAnsi="宋体" w:eastAsia="宋体"/>
                <w:sz w:val="16"/>
              </w:rPr>
              <w:t>2024年，在县委和上级检察院的正确领导下，在乌恰县人大及其常委会的有力监督下，在县政府和政协及社会各界的关心支持下，乌恰县人民检</w:t>
            </w:r>
            <w:r>
              <w:rPr>
                <w:rFonts w:hint="eastAsia" w:ascii="宋体" w:hAnsi="宋体"/>
                <w:sz w:val="16"/>
                <w:lang w:eastAsia="zh-CN"/>
              </w:rPr>
              <w:t>察院</w:t>
            </w:r>
            <w:r>
              <w:rPr>
                <w:rFonts w:ascii="宋体" w:hAnsi="宋体" w:eastAsia="宋体"/>
                <w:sz w:val="16"/>
              </w:rPr>
              <w:t>坚持以习近平新时代中国特色社会主义思想为指导，认真学习贯彻党的二十大和二十届二中、三中全会精神，深入践行习近平法治思想，深刻领悟“两个确立”的决定性意义、增强“四个意识”、坚定“四个自信”、做到“两个维护”，忠诚履行法律监督职责，坚持把“高质效办好每一个案件”的理念贯彻到检察办案全过程各环节，落实“三个善于”要求，运用法治力量维护稳定、促进发展、守护民生、保障善治，持续为大局服务、为人民司法、为法治担当，各项检察工作取得新进展。</w:t>
            </w:r>
          </w:p>
        </w:tc>
      </w:tr>
      <w:tr w14:paraId="6022BCC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B603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1C164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97CA4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C6920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A8E1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D9900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867482">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A008F">
            <w:pPr>
              <w:jc w:val="center"/>
            </w:pPr>
            <w:r>
              <w:rPr>
                <w:rFonts w:ascii="宋体" w:hAnsi="宋体" w:eastAsia="宋体"/>
                <w:sz w:val="16"/>
              </w:rPr>
              <w:t>得分</w:t>
            </w:r>
          </w:p>
        </w:tc>
      </w:tr>
      <w:tr w14:paraId="03FDDFB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5B343">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B1137">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96A5C">
            <w:pPr>
              <w:jc w:val="center"/>
            </w:pPr>
            <w:r>
              <w:rPr>
                <w:rFonts w:ascii="宋体" w:hAnsi="宋体" w:eastAsia="宋体"/>
                <w:sz w:val="16"/>
              </w:rPr>
              <w:t>案件办结率（%）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40A541">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BA1C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E29B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D8448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01B95A">
            <w:pPr>
              <w:jc w:val="center"/>
            </w:pPr>
            <w:r>
              <w:rPr>
                <w:rFonts w:ascii="宋体" w:hAnsi="宋体" w:eastAsia="宋体"/>
                <w:sz w:val="16"/>
              </w:rPr>
              <w:t>20</w:t>
            </w:r>
          </w:p>
        </w:tc>
      </w:tr>
      <w:tr w14:paraId="17F08B8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14F61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99E7B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A3CA6">
            <w:pPr>
              <w:jc w:val="center"/>
            </w:pPr>
            <w:r>
              <w:rPr>
                <w:rFonts w:ascii="宋体" w:hAnsi="宋体" w:eastAsia="宋体"/>
                <w:sz w:val="16"/>
              </w:rPr>
              <w:t>法律援助办结率（%）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F0885">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CE5BC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51066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0AB3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C856C">
            <w:pPr>
              <w:jc w:val="center"/>
            </w:pPr>
            <w:r>
              <w:rPr>
                <w:rFonts w:ascii="宋体" w:hAnsi="宋体" w:eastAsia="宋体"/>
                <w:sz w:val="16"/>
              </w:rPr>
              <w:t>20</w:t>
            </w:r>
          </w:p>
        </w:tc>
      </w:tr>
      <w:tr w14:paraId="02DABA7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32D7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711F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5E7BCA">
            <w:pPr>
              <w:jc w:val="center"/>
            </w:pPr>
            <w:r>
              <w:rPr>
                <w:rFonts w:ascii="宋体" w:hAnsi="宋体" w:eastAsia="宋体"/>
                <w:sz w:val="16"/>
              </w:rPr>
              <w:t>去法院摸排次数（次）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D8EF9">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A140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25ACB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34C5D7">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EF380">
            <w:pPr>
              <w:jc w:val="center"/>
            </w:pPr>
            <w:r>
              <w:rPr>
                <w:rFonts w:ascii="宋体" w:hAnsi="宋体" w:eastAsia="宋体"/>
                <w:sz w:val="16"/>
              </w:rPr>
              <w:t>15</w:t>
            </w:r>
          </w:p>
        </w:tc>
      </w:tr>
      <w:tr w14:paraId="7FFD130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750CE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DD03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982C5">
            <w:pPr>
              <w:jc w:val="center"/>
            </w:pPr>
            <w:r>
              <w:rPr>
                <w:rFonts w:ascii="宋体" w:hAnsi="宋体" w:eastAsia="宋体"/>
                <w:sz w:val="16"/>
              </w:rPr>
              <w:t>前往驻村点调研指导（次）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297A1">
            <w:pPr>
              <w:jc w:val="center"/>
            </w:pPr>
            <w:r>
              <w:rPr>
                <w:rFonts w:ascii="宋体" w:hAnsi="宋体" w:eastAsia="宋体"/>
                <w:sz w:val="16"/>
              </w:rPr>
              <w:t>&gt;=12次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814F3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4552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931FF">
            <w:pPr>
              <w:jc w:val="center"/>
            </w:pPr>
            <w:r>
              <w:rPr>
                <w:rFonts w:ascii="宋体" w:hAnsi="宋体" w:eastAsia="宋体"/>
                <w:sz w:val="16"/>
              </w:rPr>
              <w:t>39次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105339">
            <w:pPr>
              <w:jc w:val="center"/>
            </w:pPr>
            <w:r>
              <w:rPr>
                <w:rFonts w:ascii="宋体" w:hAnsi="宋体" w:eastAsia="宋体"/>
                <w:sz w:val="16"/>
              </w:rPr>
              <w:t>15</w:t>
            </w:r>
          </w:p>
        </w:tc>
      </w:tr>
      <w:tr w14:paraId="5C1C89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C6D20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076E9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D09A0">
            <w:pPr>
              <w:jc w:val="center"/>
            </w:pPr>
            <w:r>
              <w:rPr>
                <w:rFonts w:ascii="宋体" w:hAnsi="宋体" w:eastAsia="宋体"/>
                <w:sz w:val="16"/>
              </w:rPr>
              <w:t>办案业务数量（件）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C98C0">
            <w:pPr>
              <w:jc w:val="center"/>
            </w:pPr>
            <w:r>
              <w:rPr>
                <w:rFonts w:ascii="宋体" w:hAnsi="宋体" w:eastAsia="宋体"/>
                <w:sz w:val="16"/>
              </w:rPr>
              <w:t>&gt;=200件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79702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73A3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90A469">
            <w:pPr>
              <w:jc w:val="center"/>
            </w:pPr>
            <w:r>
              <w:rPr>
                <w:rFonts w:ascii="宋体" w:hAnsi="宋体" w:eastAsia="宋体"/>
                <w:sz w:val="16"/>
              </w:rPr>
              <w:t>247件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CCBF6">
            <w:pPr>
              <w:jc w:val="center"/>
            </w:pPr>
            <w:r>
              <w:rPr>
                <w:rFonts w:ascii="宋体" w:hAnsi="宋体" w:eastAsia="宋体"/>
                <w:sz w:val="16"/>
              </w:rPr>
              <w:t>20</w:t>
            </w:r>
          </w:p>
        </w:tc>
      </w:tr>
    </w:tbl>
    <w:p w14:paraId="6421CA1F">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0"/>
        <w:gridCol w:w="619"/>
        <w:gridCol w:w="631"/>
      </w:tblGrid>
      <w:tr w14:paraId="35155198">
        <w:tblPrEx>
          <w:tblCellMar>
            <w:top w:w="0" w:type="dxa"/>
            <w:left w:w="108" w:type="dxa"/>
            <w:bottom w:w="0" w:type="dxa"/>
            <w:right w:w="108" w:type="dxa"/>
          </w:tblCellMar>
        </w:tblPrEx>
        <w:tc>
          <w:tcPr>
            <w:tcW w:w="8848" w:type="dxa"/>
            <w:gridSpan w:val="14"/>
            <w:vAlign w:val="center"/>
          </w:tcPr>
          <w:p w14:paraId="5BDBF87D">
            <w:pPr>
              <w:jc w:val="center"/>
            </w:pPr>
            <w:r>
              <w:rPr>
                <w:rFonts w:ascii="宋体" w:hAnsi="宋体" w:eastAsia="宋体"/>
                <w:sz w:val="24"/>
              </w:rPr>
              <w:t>项目支出绩效自评表</w:t>
            </w:r>
          </w:p>
        </w:tc>
      </w:tr>
      <w:tr w14:paraId="003B733F">
        <w:tblPrEx>
          <w:tblCellMar>
            <w:top w:w="0" w:type="dxa"/>
            <w:left w:w="108" w:type="dxa"/>
            <w:bottom w:w="0" w:type="dxa"/>
            <w:right w:w="108" w:type="dxa"/>
          </w:tblCellMar>
        </w:tblPrEx>
        <w:tc>
          <w:tcPr>
            <w:tcW w:w="8848" w:type="dxa"/>
            <w:gridSpan w:val="14"/>
            <w:vAlign w:val="center"/>
          </w:tcPr>
          <w:p w14:paraId="3FA78101">
            <w:pPr>
              <w:jc w:val="center"/>
            </w:pPr>
            <w:r>
              <w:rPr>
                <w:rFonts w:ascii="宋体" w:hAnsi="宋体" w:eastAsia="宋体"/>
                <w:sz w:val="24"/>
              </w:rPr>
              <w:t>(2024年度)</w:t>
            </w:r>
          </w:p>
        </w:tc>
      </w:tr>
      <w:tr w14:paraId="688F90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0B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AEFEA3">
            <w:pPr>
              <w:jc w:val="center"/>
            </w:pPr>
            <w:r>
              <w:rPr>
                <w:rFonts w:ascii="宋体" w:hAnsi="宋体" w:eastAsia="宋体"/>
                <w:sz w:val="16"/>
              </w:rPr>
              <w:t>2024年其他资金</w:t>
            </w:r>
          </w:p>
        </w:tc>
      </w:tr>
      <w:tr w14:paraId="796C43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E0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DE751">
            <w:pPr>
              <w:jc w:val="center"/>
            </w:pPr>
            <w:r>
              <w:rPr>
                <w:rFonts w:ascii="宋体" w:hAnsi="宋体" w:eastAsia="宋体"/>
                <w:sz w:val="16"/>
              </w:rPr>
              <w:t>克州人民检察院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83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2FFD49">
            <w:pPr>
              <w:jc w:val="center"/>
            </w:pPr>
            <w:r>
              <w:rPr>
                <w:rFonts w:ascii="宋体" w:hAnsi="宋体" w:eastAsia="宋体"/>
                <w:sz w:val="16"/>
              </w:rPr>
              <w:t>乌恰县人民检察院</w:t>
            </w:r>
          </w:p>
        </w:tc>
      </w:tr>
      <w:tr w14:paraId="5C5780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EFD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E2E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638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AE3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B7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398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336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7A5F">
            <w:pPr>
              <w:jc w:val="center"/>
            </w:pPr>
            <w:r>
              <w:rPr>
                <w:rFonts w:ascii="宋体" w:hAnsi="宋体" w:eastAsia="宋体"/>
                <w:sz w:val="16"/>
              </w:rPr>
              <w:t>得分</w:t>
            </w:r>
          </w:p>
        </w:tc>
      </w:tr>
      <w:tr w14:paraId="4D5A0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7CD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984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0F70F">
            <w:pPr>
              <w:jc w:val="center"/>
            </w:pPr>
            <w:r>
              <w:rPr>
                <w:rFonts w:ascii="宋体" w:hAnsi="宋体" w:eastAsia="宋体"/>
                <w:sz w:val="16"/>
              </w:rPr>
              <w:t>61.64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A6BBF">
            <w:pPr>
              <w:jc w:val="center"/>
            </w:pPr>
            <w:r>
              <w:rPr>
                <w:rFonts w:ascii="宋体" w:hAnsi="宋体" w:eastAsia="宋体"/>
                <w:sz w:val="16"/>
              </w:rPr>
              <w:t>76.64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42761">
            <w:pPr>
              <w:jc w:val="center"/>
            </w:pPr>
            <w:r>
              <w:rPr>
                <w:rFonts w:ascii="宋体" w:hAnsi="宋体" w:eastAsia="宋体"/>
                <w:sz w:val="16"/>
              </w:rPr>
              <w:t>61.82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FD9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DB034">
            <w:pPr>
              <w:jc w:val="center"/>
            </w:pPr>
            <w:r>
              <w:rPr>
                <w:rFonts w:ascii="宋体" w:hAnsi="宋体" w:eastAsia="宋体"/>
                <w:sz w:val="16"/>
              </w:rPr>
              <w:t>80.7%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7630">
            <w:pPr>
              <w:jc w:val="center"/>
            </w:pPr>
            <w:r>
              <w:rPr>
                <w:rFonts w:ascii="宋体" w:hAnsi="宋体" w:eastAsia="宋体"/>
                <w:sz w:val="16"/>
              </w:rPr>
              <w:t>5.16分</w:t>
            </w:r>
          </w:p>
        </w:tc>
      </w:tr>
      <w:tr w14:paraId="7C4DA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1D0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D6B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C26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B02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C9F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F56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A8A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DF5E">
            <w:pPr>
              <w:jc w:val="center"/>
            </w:pPr>
            <w:r>
              <w:rPr>
                <w:rFonts w:ascii="宋体" w:hAnsi="宋体" w:eastAsia="宋体"/>
                <w:sz w:val="16"/>
              </w:rPr>
              <w:t>—</w:t>
            </w:r>
          </w:p>
        </w:tc>
      </w:tr>
      <w:tr w14:paraId="343E8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06D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FB3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15421">
            <w:pPr>
              <w:jc w:val="center"/>
            </w:pPr>
            <w:r>
              <w:rPr>
                <w:rFonts w:ascii="宋体" w:hAnsi="宋体" w:eastAsia="宋体"/>
                <w:sz w:val="16"/>
              </w:rPr>
              <w:t>61.64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C27D0">
            <w:pPr>
              <w:jc w:val="center"/>
            </w:pPr>
            <w:r>
              <w:rPr>
                <w:rFonts w:ascii="宋体" w:hAnsi="宋体" w:eastAsia="宋体"/>
                <w:sz w:val="16"/>
              </w:rPr>
              <w:t>76.64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BE82E">
            <w:pPr>
              <w:jc w:val="center"/>
            </w:pPr>
            <w:r>
              <w:rPr>
                <w:rFonts w:ascii="宋体" w:hAnsi="宋体" w:eastAsia="宋体"/>
                <w:sz w:val="16"/>
              </w:rPr>
              <w:t>61.82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B9E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2D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47A8">
            <w:pPr>
              <w:jc w:val="center"/>
            </w:pPr>
            <w:r>
              <w:rPr>
                <w:rFonts w:ascii="宋体" w:hAnsi="宋体" w:eastAsia="宋体"/>
                <w:sz w:val="16"/>
              </w:rPr>
              <w:t>—</w:t>
            </w:r>
          </w:p>
        </w:tc>
      </w:tr>
      <w:tr w14:paraId="689906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F82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26C4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03741A">
            <w:pPr>
              <w:jc w:val="center"/>
            </w:pPr>
            <w:r>
              <w:rPr>
                <w:rFonts w:ascii="宋体" w:hAnsi="宋体" w:eastAsia="宋体"/>
                <w:sz w:val="16"/>
              </w:rPr>
              <w:t>实际完成情况</w:t>
            </w:r>
          </w:p>
        </w:tc>
      </w:tr>
      <w:tr w14:paraId="71F12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70A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F24F13">
            <w:pPr>
              <w:jc w:val="both"/>
            </w:pPr>
            <w:r>
              <w:rPr>
                <w:rFonts w:ascii="宋体" w:hAnsi="宋体" w:eastAsia="宋体"/>
                <w:sz w:val="16"/>
              </w:rPr>
              <w:t>该项目总投资76.64万元，其中财政资金0万元，其他资金76.64万元，主要用于持续深化检察业务、干部人才、教育培训、检察文化、信息科技和资金项目“六位一体”援助格局，有利于坚持统筹推进，优化援助资金，通过该项目实施达到推动双赢共赢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65E088">
            <w:pPr>
              <w:jc w:val="both"/>
            </w:pPr>
            <w:r>
              <w:rPr>
                <w:rFonts w:ascii="宋体" w:hAnsi="宋体" w:eastAsia="宋体"/>
                <w:sz w:val="16"/>
              </w:rPr>
              <w:t>截至2024年12月31日，完成了保障人数32人，保障业务部门5个，支持检察机关办案数量247个，保障食堂数量1个，通过该项目实施达到推动双赢共赢效果。</w:t>
            </w:r>
          </w:p>
        </w:tc>
      </w:tr>
      <w:tr w14:paraId="4CE155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BAC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1B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DC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3A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4C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76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81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E2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50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B4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D6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44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B086D">
            <w:pPr>
              <w:jc w:val="center"/>
            </w:pPr>
            <w:r>
              <w:rPr>
                <w:rFonts w:ascii="宋体" w:hAnsi="宋体" w:eastAsia="宋体"/>
                <w:sz w:val="16"/>
              </w:rPr>
              <w:t>偏差原因分析及改进措施</w:t>
            </w:r>
          </w:p>
        </w:tc>
      </w:tr>
      <w:tr w14:paraId="6416A0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110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1E6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7E6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DC64">
            <w:pPr>
              <w:jc w:val="center"/>
            </w:pPr>
            <w:r>
              <w:rPr>
                <w:rFonts w:ascii="宋体" w:hAnsi="宋体" w:eastAsia="宋体"/>
                <w:sz w:val="16"/>
              </w:rPr>
              <w:t>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A65D">
            <w:pPr>
              <w:jc w:val="center"/>
            </w:pPr>
            <w:r>
              <w:rPr>
                <w:rFonts w:ascii="宋体" w:hAnsi="宋体" w:eastAsia="宋体"/>
                <w:sz w:val="16"/>
              </w:rPr>
              <w:t>&gt;=32人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FC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01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69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B4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D8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15A8">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54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B6748">
            <w:pPr>
              <w:jc w:val="center"/>
            </w:pPr>
          </w:p>
        </w:tc>
      </w:tr>
      <w:tr w14:paraId="43DA9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05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3D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6D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D63C">
            <w:pPr>
              <w:jc w:val="center"/>
            </w:pPr>
            <w:r>
              <w:rPr>
                <w:rFonts w:ascii="宋体" w:hAnsi="宋体" w:eastAsia="宋体"/>
                <w:sz w:val="16"/>
              </w:rPr>
              <w:t>保障业务部门（个）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99DF">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5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DA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2C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1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7E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9D97">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8E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29AFA">
            <w:pPr>
              <w:jc w:val="center"/>
            </w:pPr>
          </w:p>
        </w:tc>
      </w:tr>
      <w:tr w14:paraId="0F483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23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95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D3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2FE6">
            <w:pPr>
              <w:jc w:val="center"/>
            </w:pPr>
            <w:r>
              <w:rPr>
                <w:rFonts w:ascii="宋体" w:hAnsi="宋体" w:eastAsia="宋体"/>
                <w:sz w:val="16"/>
              </w:rPr>
              <w:t>支持检察机关办案数量（件）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20666">
            <w:pPr>
              <w:jc w:val="center"/>
            </w:pPr>
            <w:r>
              <w:rPr>
                <w:rFonts w:ascii="宋体" w:hAnsi="宋体" w:eastAsia="宋体"/>
                <w:sz w:val="16"/>
              </w:rPr>
              <w:t>&gt;=247件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9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3B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16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67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B4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EFAC">
            <w:pPr>
              <w:jc w:val="center"/>
            </w:pPr>
            <w:r>
              <w:rPr>
                <w:rFonts w:ascii="宋体" w:hAnsi="宋体" w:eastAsia="宋体"/>
                <w:sz w:val="16"/>
              </w:rPr>
              <w:t>=247件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D7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C1BB4">
            <w:pPr>
              <w:jc w:val="center"/>
            </w:pPr>
          </w:p>
        </w:tc>
      </w:tr>
      <w:tr w14:paraId="7EEDAE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4D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D6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FC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4CAB">
            <w:pPr>
              <w:jc w:val="center"/>
            </w:pPr>
            <w:r>
              <w:rPr>
                <w:rFonts w:ascii="宋体" w:hAnsi="宋体" w:eastAsia="宋体"/>
                <w:sz w:val="16"/>
              </w:rPr>
              <w:t>保障食堂数量（个）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7FD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F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56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1C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86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96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76B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89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22AD0">
            <w:pPr>
              <w:jc w:val="center"/>
            </w:pPr>
          </w:p>
        </w:tc>
      </w:tr>
      <w:tr w14:paraId="129FF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7E1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DDD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DF3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A1B3">
            <w:pPr>
              <w:jc w:val="center"/>
            </w:pPr>
            <w:r>
              <w:rPr>
                <w:rFonts w:ascii="宋体" w:hAnsi="宋体" w:eastAsia="宋体"/>
                <w:sz w:val="16"/>
              </w:rPr>
              <w:t>车辆正常运行率（%）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32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A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1F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47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E5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8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1E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2C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7C1A">
            <w:pPr>
              <w:jc w:val="center"/>
            </w:pPr>
          </w:p>
        </w:tc>
      </w:tr>
      <w:tr w14:paraId="7BE56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10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7A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3F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BAEA">
            <w:pPr>
              <w:jc w:val="center"/>
            </w:pPr>
            <w:r>
              <w:rPr>
                <w:rFonts w:ascii="宋体" w:hAnsi="宋体" w:eastAsia="宋体"/>
                <w:sz w:val="16"/>
              </w:rPr>
              <w:t>批准逮捕准确率（%）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0F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5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82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E2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5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9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1B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4B9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5E401">
            <w:pPr>
              <w:jc w:val="center"/>
            </w:pPr>
          </w:p>
        </w:tc>
      </w:tr>
      <w:tr w14:paraId="56D8AE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16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0F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55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185A">
            <w:pPr>
              <w:jc w:val="center"/>
            </w:pPr>
            <w:r>
              <w:rPr>
                <w:rFonts w:ascii="宋体" w:hAnsi="宋体" w:eastAsia="宋体"/>
                <w:sz w:val="16"/>
              </w:rPr>
              <w:t>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4E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9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50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94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A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D7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B5E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1E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CFDA0">
            <w:pPr>
              <w:jc w:val="center"/>
            </w:pPr>
          </w:p>
        </w:tc>
      </w:tr>
      <w:tr w14:paraId="2E3D1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B4B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8BE1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E99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D0C6">
            <w:pPr>
              <w:jc w:val="center"/>
            </w:pPr>
            <w:r>
              <w:rPr>
                <w:rFonts w:ascii="宋体" w:hAnsi="宋体" w:eastAsia="宋体"/>
                <w:sz w:val="16"/>
              </w:rPr>
              <w:t>保障业务相关资金（万元）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7E77">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1E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44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B3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0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73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88D6">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1BE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9E542">
            <w:pPr>
              <w:jc w:val="center"/>
            </w:pPr>
          </w:p>
        </w:tc>
      </w:tr>
      <w:tr w14:paraId="2867A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FC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3A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EB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F372">
            <w:pPr>
              <w:jc w:val="center"/>
            </w:pPr>
            <w:r>
              <w:rPr>
                <w:rFonts w:ascii="宋体" w:hAnsi="宋体" w:eastAsia="宋体"/>
                <w:sz w:val="16"/>
              </w:rPr>
              <w:t>保障人员资金（万元）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1EFE">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82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B8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AA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29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F2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F532">
            <w:pPr>
              <w:jc w:val="center"/>
            </w:pPr>
            <w:r>
              <w:rPr>
                <w:rFonts w:ascii="宋体" w:hAnsi="宋体" w:eastAsia="宋体"/>
                <w:sz w:val="16"/>
              </w:rPr>
              <w:t>=10.18万元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54D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1AB59">
            <w:pPr>
              <w:jc w:val="center"/>
            </w:pPr>
            <w:r>
              <w:rPr>
                <w:rFonts w:ascii="宋体" w:hAnsi="宋体" w:eastAsia="宋体"/>
                <w:sz w:val="16"/>
              </w:rPr>
              <w:t>偏差原因：项目预算约束性不够。改进措施：进一步规范绩效目标编制。</w:t>
            </w:r>
          </w:p>
        </w:tc>
      </w:tr>
      <w:tr w14:paraId="53E86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E16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72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38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9D65">
            <w:pPr>
              <w:jc w:val="center"/>
            </w:pPr>
            <w:r>
              <w:rPr>
                <w:rFonts w:ascii="宋体" w:hAnsi="宋体" w:eastAsia="宋体"/>
                <w:sz w:val="16"/>
              </w:rPr>
              <w:t>保障食堂资金（万元）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3C74">
            <w:pPr>
              <w:jc w:val="center"/>
            </w:pPr>
            <w:r>
              <w:rPr>
                <w:rFonts w:ascii="宋体" w:hAnsi="宋体" w:eastAsia="宋体"/>
                <w:sz w:val="16"/>
              </w:rPr>
              <w:t>&lt;=11.64万元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47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EF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CA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3C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ED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1702">
            <w:pPr>
              <w:jc w:val="center"/>
            </w:pPr>
            <w:r>
              <w:rPr>
                <w:rFonts w:ascii="宋体" w:hAnsi="宋体" w:eastAsia="宋体"/>
                <w:sz w:val="16"/>
              </w:rPr>
              <w:t>=11.64万元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B1C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EC718">
            <w:pPr>
              <w:jc w:val="center"/>
            </w:pPr>
          </w:p>
        </w:tc>
      </w:tr>
      <w:tr w14:paraId="7F439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322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90A8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3E4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5B87">
            <w:pPr>
              <w:jc w:val="center"/>
            </w:pPr>
            <w:r>
              <w:rPr>
                <w:rFonts w:ascii="宋体" w:hAnsi="宋体" w:eastAsia="宋体"/>
                <w:sz w:val="16"/>
              </w:rPr>
              <w:t>保障社会稳定和长治久安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E999">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0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B1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F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F6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18A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D5B7">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EA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E74A8">
            <w:pPr>
              <w:jc w:val="center"/>
            </w:pPr>
          </w:p>
        </w:tc>
      </w:tr>
      <w:tr w14:paraId="49391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61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71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4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1D4C">
            <w:pPr>
              <w:jc w:val="center"/>
            </w:pPr>
            <w:r>
              <w:rPr>
                <w:rFonts w:ascii="宋体" w:hAnsi="宋体" w:eastAsia="宋体"/>
                <w:sz w:val="16"/>
              </w:rPr>
              <w:t>促进改善办案条件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722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D8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BC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97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6E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B2F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A11D">
            <w:pPr>
              <w:jc w:val="center"/>
            </w:pPr>
            <w:r>
              <w:rPr>
                <w:rFonts w:ascii="宋体" w:hAnsi="宋体" w:eastAsia="宋体"/>
                <w:sz w:val="16"/>
              </w:rPr>
              <w:tab/>
            </w: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0C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93552">
            <w:pPr>
              <w:jc w:val="center"/>
            </w:pPr>
          </w:p>
        </w:tc>
      </w:tr>
      <w:tr w14:paraId="28FEA2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D3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81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39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26AA">
            <w:pPr>
              <w:jc w:val="center"/>
            </w:pPr>
            <w:r>
              <w:rPr>
                <w:rFonts w:ascii="宋体" w:hAnsi="宋体" w:eastAsia="宋体"/>
                <w:sz w:val="16"/>
              </w:rPr>
              <w:t>保障人员满意度（%）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73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D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2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4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59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A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EA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A8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D6DA5">
            <w:pPr>
              <w:jc w:val="center"/>
            </w:pPr>
          </w:p>
        </w:tc>
      </w:tr>
      <w:tr w14:paraId="12A35B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D2C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D8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6C6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13E0E6">
            <w:pPr>
              <w:jc w:val="center"/>
            </w:pPr>
            <w:r>
              <w:rPr>
                <w:rFonts w:ascii="宋体" w:hAnsi="宋体" w:eastAsia="宋体"/>
                <w:sz w:val="16"/>
              </w:rPr>
              <w:t>87.16分</w:t>
            </w:r>
          </w:p>
        </w:tc>
      </w:tr>
    </w:tbl>
    <w:p w14:paraId="055CCA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3E161901">
        <w:tblPrEx>
          <w:tblCellMar>
            <w:top w:w="0" w:type="dxa"/>
            <w:left w:w="108" w:type="dxa"/>
            <w:bottom w:w="0" w:type="dxa"/>
            <w:right w:w="108" w:type="dxa"/>
          </w:tblCellMar>
        </w:tblPrEx>
        <w:tc>
          <w:tcPr>
            <w:tcW w:w="8848" w:type="dxa"/>
            <w:gridSpan w:val="14"/>
            <w:vAlign w:val="center"/>
          </w:tcPr>
          <w:p w14:paraId="4DCD0365">
            <w:pPr>
              <w:jc w:val="center"/>
            </w:pPr>
            <w:r>
              <w:rPr>
                <w:rFonts w:ascii="宋体" w:hAnsi="宋体" w:eastAsia="宋体"/>
                <w:sz w:val="24"/>
              </w:rPr>
              <w:t>项目支出绩效自评表</w:t>
            </w:r>
          </w:p>
        </w:tc>
      </w:tr>
      <w:tr w14:paraId="3981BB28">
        <w:tblPrEx>
          <w:tblCellMar>
            <w:top w:w="0" w:type="dxa"/>
            <w:left w:w="108" w:type="dxa"/>
            <w:bottom w:w="0" w:type="dxa"/>
            <w:right w:w="108" w:type="dxa"/>
          </w:tblCellMar>
        </w:tblPrEx>
        <w:tc>
          <w:tcPr>
            <w:tcW w:w="8848" w:type="dxa"/>
            <w:gridSpan w:val="14"/>
            <w:vAlign w:val="center"/>
          </w:tcPr>
          <w:p w14:paraId="39769BC4">
            <w:pPr>
              <w:jc w:val="center"/>
            </w:pPr>
            <w:r>
              <w:rPr>
                <w:rFonts w:ascii="宋体" w:hAnsi="宋体" w:eastAsia="宋体"/>
                <w:sz w:val="24"/>
              </w:rPr>
              <w:t>(2024年度)</w:t>
            </w:r>
          </w:p>
        </w:tc>
      </w:tr>
      <w:tr w14:paraId="4F9AD9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F3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2690CB">
            <w:pPr>
              <w:jc w:val="center"/>
            </w:pPr>
            <w:r>
              <w:rPr>
                <w:rFonts w:ascii="宋体" w:hAnsi="宋体" w:eastAsia="宋体"/>
                <w:sz w:val="16"/>
              </w:rPr>
              <w:t>驻村工作经费项目</w:t>
            </w:r>
          </w:p>
        </w:tc>
      </w:tr>
      <w:tr w14:paraId="3B9BDB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A7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CA7A7F">
            <w:pPr>
              <w:jc w:val="center"/>
            </w:pPr>
            <w:r>
              <w:rPr>
                <w:rFonts w:ascii="宋体" w:hAnsi="宋体" w:eastAsia="宋体"/>
                <w:sz w:val="16"/>
              </w:rPr>
              <w:t>克州人民检察院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51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B430FE">
            <w:pPr>
              <w:jc w:val="center"/>
            </w:pPr>
            <w:r>
              <w:rPr>
                <w:rFonts w:ascii="宋体" w:hAnsi="宋体" w:eastAsia="宋体"/>
                <w:sz w:val="16"/>
              </w:rPr>
              <w:t>乌恰县人民检察院</w:t>
            </w:r>
          </w:p>
        </w:tc>
      </w:tr>
      <w:tr w14:paraId="57590D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448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2DC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EAB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EED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8E4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38B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470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BD97">
            <w:pPr>
              <w:jc w:val="center"/>
            </w:pPr>
            <w:r>
              <w:rPr>
                <w:rFonts w:ascii="宋体" w:hAnsi="宋体" w:eastAsia="宋体"/>
                <w:sz w:val="16"/>
              </w:rPr>
              <w:t>得分</w:t>
            </w:r>
          </w:p>
        </w:tc>
      </w:tr>
      <w:tr w14:paraId="18761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526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834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66417">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567FF">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9DE8E">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592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8EFE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9510">
            <w:pPr>
              <w:jc w:val="center"/>
            </w:pPr>
            <w:r>
              <w:rPr>
                <w:rFonts w:ascii="宋体" w:hAnsi="宋体" w:eastAsia="宋体"/>
                <w:sz w:val="16"/>
              </w:rPr>
              <w:t>10.00分</w:t>
            </w:r>
          </w:p>
        </w:tc>
      </w:tr>
      <w:tr w14:paraId="0C545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99B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6D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D896D">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FB1B3">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D3249">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96A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443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2C17">
            <w:pPr>
              <w:jc w:val="center"/>
            </w:pPr>
            <w:r>
              <w:rPr>
                <w:rFonts w:ascii="宋体" w:hAnsi="宋体" w:eastAsia="宋体"/>
                <w:sz w:val="16"/>
              </w:rPr>
              <w:t>—</w:t>
            </w:r>
          </w:p>
        </w:tc>
      </w:tr>
      <w:tr w14:paraId="4827C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DCA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C2E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D9D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8B3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5ED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E74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26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0E58">
            <w:pPr>
              <w:jc w:val="center"/>
            </w:pPr>
            <w:r>
              <w:rPr>
                <w:rFonts w:ascii="宋体" w:hAnsi="宋体" w:eastAsia="宋体"/>
                <w:sz w:val="16"/>
              </w:rPr>
              <w:t>—</w:t>
            </w:r>
          </w:p>
        </w:tc>
      </w:tr>
      <w:tr w14:paraId="0A9612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86D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916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16B613">
            <w:pPr>
              <w:jc w:val="center"/>
            </w:pPr>
            <w:r>
              <w:rPr>
                <w:rFonts w:ascii="宋体" w:hAnsi="宋体" w:eastAsia="宋体"/>
                <w:sz w:val="16"/>
              </w:rPr>
              <w:t>实际完成情况</w:t>
            </w:r>
          </w:p>
        </w:tc>
      </w:tr>
      <w:tr w14:paraId="576F7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F8D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E6AAB6">
            <w:pPr>
              <w:jc w:val="both"/>
            </w:pPr>
            <w:r>
              <w:rPr>
                <w:rFonts w:ascii="宋体" w:hAnsi="宋体" w:eastAsia="宋体"/>
                <w:sz w:val="16"/>
              </w:rPr>
              <w:t>该项目资金投入总额为17.12万元，其中：财政资金17.12万元，其他资金0元，主要用于做好铁列克村驻村工作任务，扎实开展群众工作，为群众送温暖、送服务、积极开展各类活动，实现社会稳定和长治久安。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CAF18C">
            <w:pPr>
              <w:jc w:val="both"/>
            </w:pPr>
            <w:r>
              <w:rPr>
                <w:rFonts w:ascii="宋体" w:hAnsi="宋体" w:eastAsia="宋体"/>
                <w:sz w:val="16"/>
              </w:rPr>
              <w:t>截至2024年12月31日，购买慰问品及开展活动3次，安装路灯1次，积分超市兑换2次，印刷宣传广告牌1次，真正做到了为群众送温暖、送服务、开展各类活动，实现社会稳定和长治久安。</w:t>
            </w:r>
          </w:p>
        </w:tc>
      </w:tr>
      <w:tr w14:paraId="7B1416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B32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4D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06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0A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3C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C0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FA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DA2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67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E8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9C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D0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997D8">
            <w:pPr>
              <w:jc w:val="center"/>
            </w:pPr>
            <w:r>
              <w:rPr>
                <w:rFonts w:ascii="宋体" w:hAnsi="宋体" w:eastAsia="宋体"/>
                <w:sz w:val="16"/>
              </w:rPr>
              <w:t>偏差原因分析及改进措施</w:t>
            </w:r>
          </w:p>
        </w:tc>
      </w:tr>
      <w:tr w14:paraId="32619C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9D1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1EF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AE6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ABA2">
            <w:pPr>
              <w:jc w:val="center"/>
            </w:pPr>
            <w:r>
              <w:rPr>
                <w:rFonts w:ascii="宋体" w:hAnsi="宋体" w:eastAsia="宋体"/>
                <w:sz w:val="16"/>
              </w:rPr>
              <w:t>购买慰问品及开展活动（次）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54F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E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542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9E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8F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12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9FF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0E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BD58E">
            <w:pPr>
              <w:jc w:val="center"/>
            </w:pPr>
          </w:p>
        </w:tc>
      </w:tr>
      <w:tr w14:paraId="21E42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FC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03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12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A2ED">
            <w:pPr>
              <w:jc w:val="center"/>
            </w:pPr>
            <w:r>
              <w:rPr>
                <w:rFonts w:ascii="宋体" w:hAnsi="宋体" w:eastAsia="宋体"/>
                <w:sz w:val="16"/>
              </w:rPr>
              <w:t>安装路灯次数（次）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D2B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D3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B92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67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57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7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F9E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53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8F9C">
            <w:pPr>
              <w:jc w:val="center"/>
            </w:pPr>
          </w:p>
        </w:tc>
      </w:tr>
      <w:tr w14:paraId="68832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BA1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B8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2C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5A1A">
            <w:pPr>
              <w:jc w:val="center"/>
            </w:pPr>
            <w:r>
              <w:rPr>
                <w:rFonts w:ascii="宋体" w:hAnsi="宋体" w:eastAsia="宋体"/>
                <w:sz w:val="16"/>
              </w:rPr>
              <w:t>积分超市兑换（次）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A9A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4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DEE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BB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32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01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8E0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B2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89025">
            <w:pPr>
              <w:jc w:val="center"/>
            </w:pPr>
          </w:p>
        </w:tc>
      </w:tr>
      <w:tr w14:paraId="0956D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CB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F0E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27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031C">
            <w:pPr>
              <w:jc w:val="center"/>
            </w:pPr>
            <w:r>
              <w:rPr>
                <w:rFonts w:ascii="宋体" w:hAnsi="宋体" w:eastAsia="宋体"/>
                <w:sz w:val="16"/>
              </w:rPr>
              <w:t>印刷宣传广告牌（次）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CCD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0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4C5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79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FF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80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C53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64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D95B5">
            <w:pPr>
              <w:jc w:val="center"/>
            </w:pPr>
          </w:p>
        </w:tc>
      </w:tr>
      <w:tr w14:paraId="1F703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761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5A1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E47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FFBD">
            <w:pPr>
              <w:jc w:val="center"/>
            </w:pPr>
            <w:r>
              <w:rPr>
                <w:rFonts w:ascii="宋体" w:hAnsi="宋体" w:eastAsia="宋体"/>
                <w:sz w:val="16"/>
              </w:rPr>
              <w:t>慰问品及活动质量合格率（%）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B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C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C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51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E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B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5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F5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F2398">
            <w:pPr>
              <w:jc w:val="center"/>
            </w:pPr>
          </w:p>
        </w:tc>
      </w:tr>
      <w:tr w14:paraId="01554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338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B9C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A2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4C8F">
            <w:pPr>
              <w:jc w:val="center"/>
            </w:pPr>
            <w:r>
              <w:rPr>
                <w:rFonts w:ascii="宋体" w:hAnsi="宋体" w:eastAsia="宋体"/>
                <w:sz w:val="16"/>
              </w:rPr>
              <w:t>路灯验收合格率（%）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A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7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1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6A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CB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4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5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DB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6AA6B">
            <w:pPr>
              <w:jc w:val="center"/>
            </w:pPr>
          </w:p>
        </w:tc>
      </w:tr>
      <w:tr w14:paraId="1B88A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D2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FE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C2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A66A">
            <w:pPr>
              <w:jc w:val="center"/>
            </w:pPr>
            <w:r>
              <w:rPr>
                <w:rFonts w:ascii="宋体" w:hAnsi="宋体" w:eastAsia="宋体"/>
                <w:sz w:val="16"/>
              </w:rPr>
              <w:t>开展活动慰问及时率（%）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3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67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D1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E9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7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A9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A7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88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F2846">
            <w:pPr>
              <w:jc w:val="center"/>
            </w:pPr>
          </w:p>
        </w:tc>
      </w:tr>
      <w:tr w14:paraId="54EB1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37D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F79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F14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D96C">
            <w:pPr>
              <w:jc w:val="center"/>
            </w:pPr>
            <w:r>
              <w:rPr>
                <w:rFonts w:ascii="宋体" w:hAnsi="宋体" w:eastAsia="宋体"/>
                <w:sz w:val="16"/>
              </w:rPr>
              <w:t>慰问品加活动金额（万元）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CB08">
            <w:pPr>
              <w:jc w:val="center"/>
            </w:pPr>
            <w:r>
              <w:rPr>
                <w:rFonts w:ascii="宋体" w:hAnsi="宋体" w:eastAsia="宋体"/>
                <w:sz w:val="16"/>
              </w:rPr>
              <w:t>&lt;=1.51万元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29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B10C">
            <w:pPr>
              <w:jc w:val="center"/>
            </w:pPr>
            <w:r>
              <w:rPr>
                <w:rFonts w:ascii="宋体" w:hAnsi="宋体" w:eastAsia="宋体"/>
                <w:sz w:val="16"/>
              </w:rPr>
              <w:t>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C1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8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00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24CC">
            <w:pPr>
              <w:jc w:val="center"/>
            </w:pPr>
            <w:r>
              <w:rPr>
                <w:rFonts w:ascii="宋体" w:hAnsi="宋体" w:eastAsia="宋体"/>
                <w:sz w:val="16"/>
              </w:rPr>
              <w:t>=1.51万元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D8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1DCDF">
            <w:pPr>
              <w:jc w:val="center"/>
            </w:pPr>
          </w:p>
        </w:tc>
      </w:tr>
      <w:tr w14:paraId="6E50F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FF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D6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21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94D5">
            <w:pPr>
              <w:jc w:val="center"/>
            </w:pPr>
            <w:r>
              <w:rPr>
                <w:rFonts w:ascii="宋体" w:hAnsi="宋体" w:eastAsia="宋体"/>
                <w:sz w:val="16"/>
              </w:rPr>
              <w:t>安装路灯（万元）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056E">
            <w:pPr>
              <w:jc w:val="center"/>
            </w:pPr>
            <w:r>
              <w:rPr>
                <w:rFonts w:ascii="宋体" w:hAnsi="宋体" w:eastAsia="宋体"/>
                <w:sz w:val="16"/>
              </w:rPr>
              <w:t>&lt;=12.60万元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3A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6EFF">
            <w:pPr>
              <w:jc w:val="center"/>
            </w:pPr>
            <w:r>
              <w:rPr>
                <w:rFonts w:ascii="宋体" w:hAnsi="宋体" w:eastAsia="宋体"/>
                <w:sz w:val="16"/>
              </w:rPr>
              <w: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AC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1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FE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4FD7">
            <w:pPr>
              <w:jc w:val="center"/>
            </w:pPr>
            <w:r>
              <w:rPr>
                <w:rFonts w:ascii="宋体" w:hAnsi="宋体" w:eastAsia="宋体"/>
                <w:sz w:val="16"/>
              </w:rPr>
              <w: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F1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8C67F">
            <w:pPr>
              <w:jc w:val="center"/>
            </w:pPr>
          </w:p>
        </w:tc>
      </w:tr>
      <w:tr w14:paraId="1C5AC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AA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C7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AE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5E8F">
            <w:pPr>
              <w:jc w:val="center"/>
            </w:pPr>
            <w:r>
              <w:rPr>
                <w:rFonts w:ascii="宋体" w:hAnsi="宋体" w:eastAsia="宋体"/>
                <w:sz w:val="16"/>
              </w:rPr>
              <w:t>积分超市兑换（万元）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4F67">
            <w:pPr>
              <w:jc w:val="center"/>
            </w:pPr>
            <w:r>
              <w:rPr>
                <w:rFonts w:ascii="宋体" w:hAnsi="宋体" w:eastAsia="宋体"/>
                <w:sz w:val="16"/>
              </w:rPr>
              <w:t>&lt;=1.64万元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1C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174D">
            <w:pPr>
              <w:jc w:val="center"/>
            </w:pPr>
            <w:r>
              <w:rPr>
                <w:rFonts w:ascii="宋体" w:hAnsi="宋体" w:eastAsia="宋体"/>
                <w:sz w:val="16"/>
              </w:rPr>
              <w:t>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51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9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54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980E">
            <w:pPr>
              <w:jc w:val="center"/>
            </w:pPr>
            <w:r>
              <w:rPr>
                <w:rFonts w:ascii="宋体" w:hAnsi="宋体" w:eastAsia="宋体"/>
                <w:sz w:val="16"/>
              </w:rPr>
              <w:t>=1.64万元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CA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3ED0D">
            <w:pPr>
              <w:jc w:val="center"/>
            </w:pPr>
          </w:p>
        </w:tc>
      </w:tr>
      <w:tr w14:paraId="2EC1F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2A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39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05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CA16">
            <w:pPr>
              <w:jc w:val="center"/>
            </w:pPr>
            <w:r>
              <w:rPr>
                <w:rFonts w:ascii="宋体" w:hAnsi="宋体" w:eastAsia="宋体"/>
                <w:sz w:val="16"/>
              </w:rPr>
              <w:t>印刷宣传广告牌金额（万元）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E280">
            <w:pPr>
              <w:jc w:val="center"/>
            </w:pPr>
            <w:r>
              <w:rPr>
                <w:rFonts w:ascii="宋体" w:hAnsi="宋体" w:eastAsia="宋体"/>
                <w:sz w:val="16"/>
              </w:rPr>
              <w:t>&lt;=1.37万元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4E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1DB8">
            <w:pPr>
              <w:jc w:val="center"/>
            </w:pPr>
            <w:r>
              <w:rPr>
                <w:rFonts w:ascii="宋体" w:hAnsi="宋体" w:eastAsia="宋体"/>
                <w:sz w:val="16"/>
              </w:rPr>
              <w: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4A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05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FF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A7EB">
            <w:pPr>
              <w:jc w:val="center"/>
            </w:pPr>
            <w:r>
              <w:rPr>
                <w:rFonts w:ascii="宋体" w:hAnsi="宋体" w:eastAsia="宋体"/>
                <w:sz w:val="16"/>
              </w:rPr>
              <w: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AB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B52BC">
            <w:pPr>
              <w:jc w:val="center"/>
            </w:pPr>
          </w:p>
        </w:tc>
      </w:tr>
      <w:tr w14:paraId="04846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AB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80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EF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5071">
            <w:pPr>
              <w:jc w:val="center"/>
            </w:pPr>
            <w:r>
              <w:rPr>
                <w:rFonts w:ascii="宋体" w:hAnsi="宋体" w:eastAsia="宋体"/>
                <w:sz w:val="16"/>
              </w:rPr>
              <w:t>对社会稳定和长治久安的影响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A0C7">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3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2C13">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0E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C8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BA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2159">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3A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5A687">
            <w:pPr>
              <w:jc w:val="center"/>
            </w:pPr>
          </w:p>
        </w:tc>
      </w:tr>
      <w:tr w14:paraId="5D6A4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B8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2E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B0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513D">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47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6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57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E3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48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ED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08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B4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6241A">
            <w:pPr>
              <w:jc w:val="center"/>
            </w:pPr>
          </w:p>
        </w:tc>
      </w:tr>
      <w:tr w14:paraId="34E79E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B78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2F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CB4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A44737">
            <w:pPr>
              <w:jc w:val="center"/>
            </w:pPr>
            <w:r>
              <w:rPr>
                <w:rFonts w:ascii="宋体" w:hAnsi="宋体" w:eastAsia="宋体"/>
                <w:sz w:val="16"/>
              </w:rPr>
              <w:t>100分</w:t>
            </w:r>
          </w:p>
        </w:tc>
      </w:tr>
    </w:tbl>
    <w:p w14:paraId="6F17B444">
      <w:r>
        <w:br w:type="page"/>
      </w:r>
    </w:p>
    <w:p w14:paraId="1EA8002B">
      <w:pPr>
        <w:spacing w:line="640" w:lineRule="exact"/>
        <w:ind w:firstLine="640"/>
        <w:jc w:val="both"/>
        <w:outlineLvl w:val="2"/>
      </w:pPr>
      <w:r>
        <w:rPr>
          <w:rFonts w:ascii="黑体" w:hAnsi="黑体" w:eastAsia="黑体"/>
          <w:sz w:val="32"/>
        </w:rPr>
        <w:t>十二、其他需说明的事项</w:t>
      </w:r>
    </w:p>
    <w:p w14:paraId="276979A9">
      <w:pPr>
        <w:spacing w:line="580" w:lineRule="exact"/>
        <w:ind w:firstLine="640"/>
        <w:jc w:val="both"/>
      </w:pPr>
      <w:r>
        <w:rPr>
          <w:rFonts w:ascii="仿宋_GB2312" w:hAnsi="仿宋_GB2312" w:eastAsia="仿宋_GB2312"/>
          <w:b w:val="0"/>
          <w:sz w:val="32"/>
        </w:rPr>
        <w:t>本单位无其他需说明的事项。</w:t>
      </w:r>
    </w:p>
    <w:p w14:paraId="5E3890DC">
      <w:r>
        <w:br w:type="page"/>
      </w:r>
    </w:p>
    <w:p w14:paraId="36B3E86E">
      <w:pPr>
        <w:spacing w:line="240" w:lineRule="auto"/>
        <w:jc w:val="center"/>
        <w:outlineLvl w:val="1"/>
      </w:pPr>
      <w:r>
        <w:rPr>
          <w:rFonts w:ascii="黑体" w:hAnsi="黑体" w:eastAsia="黑体"/>
          <w:sz w:val="32"/>
        </w:rPr>
        <w:t>第三部分 专业名词解释</w:t>
      </w:r>
    </w:p>
    <w:p w14:paraId="0FC69A7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3D0BF2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FE95E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5A434B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02CDC1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08A104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D190A4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AB1E9D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CE105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3459A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8704DF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3A8906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DE0E3C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D7014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776E25A">
      <w:r>
        <w:br w:type="page"/>
      </w:r>
    </w:p>
    <w:p w14:paraId="42ED30FC">
      <w:pPr>
        <w:spacing w:line="240" w:lineRule="auto"/>
        <w:jc w:val="center"/>
        <w:outlineLvl w:val="1"/>
      </w:pPr>
      <w:r>
        <w:rPr>
          <w:rFonts w:ascii="黑体" w:hAnsi="黑体" w:eastAsia="黑体"/>
          <w:sz w:val="32"/>
        </w:rPr>
        <w:t>第四部分 部门决算报表（见附表）</w:t>
      </w:r>
    </w:p>
    <w:p w14:paraId="4B4942FD">
      <w:pPr>
        <w:spacing w:line="240" w:lineRule="auto"/>
        <w:ind w:firstLine="640"/>
        <w:jc w:val="both"/>
      </w:pPr>
      <w:r>
        <w:rPr>
          <w:rFonts w:ascii="仿宋_GB2312" w:hAnsi="仿宋_GB2312" w:eastAsia="仿宋_GB2312"/>
          <w:b w:val="0"/>
          <w:sz w:val="32"/>
        </w:rPr>
        <w:t>一、《收入支出决算总表》</w:t>
      </w:r>
    </w:p>
    <w:p w14:paraId="19F06D41">
      <w:pPr>
        <w:spacing w:line="240" w:lineRule="auto"/>
        <w:ind w:firstLine="640"/>
        <w:jc w:val="both"/>
      </w:pPr>
      <w:r>
        <w:rPr>
          <w:rFonts w:ascii="仿宋_GB2312" w:hAnsi="仿宋_GB2312" w:eastAsia="仿宋_GB2312"/>
          <w:b w:val="0"/>
          <w:sz w:val="32"/>
        </w:rPr>
        <w:t>二、《收入决算表》</w:t>
      </w:r>
    </w:p>
    <w:p w14:paraId="0186DDAA">
      <w:pPr>
        <w:spacing w:line="240" w:lineRule="auto"/>
        <w:ind w:firstLine="640"/>
        <w:jc w:val="both"/>
      </w:pPr>
      <w:r>
        <w:rPr>
          <w:rFonts w:ascii="仿宋_GB2312" w:hAnsi="仿宋_GB2312" w:eastAsia="仿宋_GB2312"/>
          <w:b w:val="0"/>
          <w:sz w:val="32"/>
        </w:rPr>
        <w:t>三、《支出决算表》</w:t>
      </w:r>
    </w:p>
    <w:p w14:paraId="26661123">
      <w:pPr>
        <w:spacing w:line="240" w:lineRule="auto"/>
        <w:ind w:firstLine="640"/>
        <w:jc w:val="both"/>
      </w:pPr>
      <w:r>
        <w:rPr>
          <w:rFonts w:ascii="仿宋_GB2312" w:hAnsi="仿宋_GB2312" w:eastAsia="仿宋_GB2312"/>
          <w:b w:val="0"/>
          <w:sz w:val="32"/>
        </w:rPr>
        <w:t>四、《财政拨款收入支出决算总表》</w:t>
      </w:r>
    </w:p>
    <w:p w14:paraId="6D985EF1">
      <w:pPr>
        <w:spacing w:line="240" w:lineRule="auto"/>
        <w:ind w:firstLine="640"/>
        <w:jc w:val="both"/>
      </w:pPr>
      <w:r>
        <w:rPr>
          <w:rFonts w:ascii="仿宋_GB2312" w:hAnsi="仿宋_GB2312" w:eastAsia="仿宋_GB2312"/>
          <w:b w:val="0"/>
          <w:sz w:val="32"/>
        </w:rPr>
        <w:t>五、《一般公共预算财政拨款支出决算表》</w:t>
      </w:r>
    </w:p>
    <w:p w14:paraId="39487126">
      <w:pPr>
        <w:spacing w:line="240" w:lineRule="auto"/>
        <w:ind w:firstLine="640"/>
        <w:jc w:val="both"/>
      </w:pPr>
      <w:r>
        <w:rPr>
          <w:rFonts w:ascii="仿宋_GB2312" w:hAnsi="仿宋_GB2312" w:eastAsia="仿宋_GB2312"/>
          <w:b w:val="0"/>
          <w:sz w:val="32"/>
        </w:rPr>
        <w:t>六、《一般公共预算财政拨款基本支出决算表》</w:t>
      </w:r>
    </w:p>
    <w:p w14:paraId="35DEEF6B">
      <w:pPr>
        <w:spacing w:line="240" w:lineRule="auto"/>
        <w:ind w:firstLine="640"/>
        <w:jc w:val="both"/>
      </w:pPr>
      <w:r>
        <w:rPr>
          <w:rFonts w:ascii="仿宋_GB2312" w:hAnsi="仿宋_GB2312" w:eastAsia="仿宋_GB2312"/>
          <w:b w:val="0"/>
          <w:sz w:val="32"/>
        </w:rPr>
        <w:t>七、《政府性基金预算财政拨款收入支出决算表》</w:t>
      </w:r>
    </w:p>
    <w:p w14:paraId="7D9664FE">
      <w:pPr>
        <w:spacing w:line="240" w:lineRule="auto"/>
        <w:ind w:firstLine="640"/>
        <w:jc w:val="both"/>
      </w:pPr>
      <w:r>
        <w:rPr>
          <w:rFonts w:ascii="仿宋_GB2312" w:hAnsi="仿宋_GB2312" w:eastAsia="仿宋_GB2312"/>
          <w:b w:val="0"/>
          <w:sz w:val="32"/>
        </w:rPr>
        <w:t>八、《国有资本经营预算财政拨款收入支出决算表》</w:t>
      </w:r>
    </w:p>
    <w:p w14:paraId="138C44E0">
      <w:pPr>
        <w:spacing w:line="240" w:lineRule="auto"/>
        <w:ind w:firstLine="640"/>
        <w:jc w:val="both"/>
      </w:pPr>
      <w:r>
        <w:rPr>
          <w:rFonts w:ascii="仿宋_GB2312" w:hAnsi="仿宋_GB2312" w:eastAsia="仿宋_GB2312"/>
          <w:b w:val="0"/>
          <w:sz w:val="32"/>
        </w:rPr>
        <w:t>九、《财政拨款“三公”经费支出决算表》</w:t>
      </w:r>
    </w:p>
    <w:p w14:paraId="0743A7A2">
      <w:pPr>
        <w:spacing w:line="240" w:lineRule="auto"/>
        <w:ind w:firstLine="640"/>
        <w:jc w:val="both"/>
      </w:pPr>
    </w:p>
    <w:p w14:paraId="60ACE173">
      <w:pPr>
        <w:spacing w:line="240" w:lineRule="auto"/>
        <w:ind w:firstLine="640"/>
        <w:jc w:val="both"/>
      </w:pPr>
    </w:p>
    <w:p w14:paraId="77215F79">
      <w:pPr>
        <w:spacing w:line="240" w:lineRule="auto"/>
        <w:ind w:firstLine="640"/>
        <w:jc w:val="both"/>
      </w:pPr>
    </w:p>
    <w:p w14:paraId="4CF5DEB8">
      <w:pPr>
        <w:spacing w:line="240" w:lineRule="auto"/>
        <w:ind w:firstLine="640"/>
        <w:jc w:val="both"/>
      </w:pPr>
    </w:p>
    <w:p w14:paraId="5791237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7F01D0-9A68-4922-80CE-1A401F5AB12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711A26A5-29FF-4C64-9761-C9A16E23F9C9}"/>
  </w:font>
  <w:font w:name="楷体_GB2312">
    <w:panose1 w:val="02010609030101010101"/>
    <w:charset w:val="86"/>
    <w:family w:val="auto"/>
    <w:pitch w:val="default"/>
    <w:sig w:usb0="00000001" w:usb1="080E0000" w:usb2="00000000" w:usb3="00000000" w:csb0="00040000" w:csb1="00000000"/>
    <w:embedRegular r:id="rId3" w:fontKey="{67D620CA-49B7-422E-B42D-5588287E9D7E}"/>
  </w:font>
  <w:font w:name="方正小标宋_GBK">
    <w:panose1 w:val="02000000000000000000"/>
    <w:charset w:val="86"/>
    <w:family w:val="script"/>
    <w:pitch w:val="default"/>
    <w:sig w:usb0="A00002BF" w:usb1="38CF7CFA" w:usb2="00082016" w:usb3="00000000" w:csb0="00040001" w:csb1="00000000"/>
    <w:embedRegular r:id="rId4" w:fontKey="{28C01C1C-CD98-4105-90C4-7CA8CF974B5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E85AB5"/>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113EED"/>
    <w:rsid w:val="282459E2"/>
    <w:rsid w:val="29116777"/>
    <w:rsid w:val="2A053397"/>
    <w:rsid w:val="2A444FB1"/>
    <w:rsid w:val="2A6064E2"/>
    <w:rsid w:val="2C1965E9"/>
    <w:rsid w:val="2D1136DF"/>
    <w:rsid w:val="2DAE0E44"/>
    <w:rsid w:val="2FD27414"/>
    <w:rsid w:val="313F1D52"/>
    <w:rsid w:val="318029AB"/>
    <w:rsid w:val="31C63837"/>
    <w:rsid w:val="326F0A17"/>
    <w:rsid w:val="3277581B"/>
    <w:rsid w:val="371E1274"/>
    <w:rsid w:val="38006E2C"/>
    <w:rsid w:val="3914510A"/>
    <w:rsid w:val="3B1220C9"/>
    <w:rsid w:val="3D5275AC"/>
    <w:rsid w:val="3EA7725F"/>
    <w:rsid w:val="3EC014A1"/>
    <w:rsid w:val="40834692"/>
    <w:rsid w:val="423A32B2"/>
    <w:rsid w:val="423C0CB4"/>
    <w:rsid w:val="427B5743"/>
    <w:rsid w:val="42D9578F"/>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CB92FD9"/>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4725</Words>
  <Characters>5418</Characters>
  <Lines>0</Lines>
  <Paragraphs>0</Paragraphs>
  <TotalTime>24</TotalTime>
  <ScaleCrop>false</ScaleCrop>
  <LinksUpToDate>false</LinksUpToDate>
  <CharactersWithSpaces>5426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2025-09-02T05:29:45Z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