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克孜勒苏柯尔克孜自治州人民政府外事办公室2024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F92ABF">
      <w:r>
        <w:br w:type="page"/>
      </w:r>
    </w:p>
    <w:p w14:paraId="065D8FDC">
      <w:pPr>
        <w:spacing w:line="640" w:lineRule="exact"/>
        <w:jc w:val="center"/>
        <w:outlineLvl w:val="1"/>
      </w:pPr>
      <w:r>
        <w:rPr>
          <w:rFonts w:ascii="黑体" w:hAnsi="黑体" w:eastAsia="黑体"/>
          <w:sz w:val="32"/>
        </w:rPr>
        <w:t>第一部分 单位概况</w:t>
      </w:r>
    </w:p>
    <w:p w14:paraId="78AB0FA3">
      <w:pPr>
        <w:spacing w:line="640" w:lineRule="exact"/>
        <w:ind w:firstLine="640"/>
        <w:jc w:val="both"/>
        <w:outlineLvl w:val="2"/>
      </w:pPr>
      <w:r>
        <w:rPr>
          <w:rFonts w:ascii="黑体" w:hAnsi="黑体" w:eastAsia="黑体"/>
          <w:sz w:val="32"/>
        </w:rPr>
        <w:t>一、主要职能</w:t>
      </w:r>
    </w:p>
    <w:p w14:paraId="37222E42">
      <w:pPr>
        <w:spacing w:line="580" w:lineRule="exact"/>
        <w:ind w:firstLine="640"/>
        <w:jc w:val="both"/>
      </w:pPr>
      <w:r>
        <w:rPr>
          <w:rFonts w:ascii="仿宋_GB2312" w:hAnsi="仿宋_GB2312" w:eastAsia="仿宋_GB2312"/>
          <w:sz w:val="32"/>
        </w:rPr>
        <w:t>（1）贯彻执行党和国家外事、侨务、口岸工作的方针、政策和有关法律、法规以及克州关于外事、侨务、口岸、边界工作的决定，依法拟定克州外事、侨务、口岸、边界工作的政策、法规及规划并组织实施。</w:t>
      </w:r>
    </w:p>
    <w:p w14:paraId="083FC0C9">
      <w:pPr>
        <w:spacing w:line="580" w:lineRule="exact"/>
        <w:ind w:firstLine="640"/>
        <w:jc w:val="both"/>
      </w:pPr>
      <w:r>
        <w:rPr>
          <w:rFonts w:ascii="仿宋_GB2312" w:hAnsi="仿宋_GB2312" w:eastAsia="仿宋_GB2312"/>
          <w:sz w:val="32"/>
        </w:rPr>
        <w:t>（2）负责协调、处理克州重大涉外涉侨事务。</w:t>
      </w:r>
    </w:p>
    <w:p w14:paraId="73378A0E">
      <w:pPr>
        <w:spacing w:line="580" w:lineRule="exact"/>
        <w:ind w:firstLine="640"/>
        <w:jc w:val="both"/>
      </w:pPr>
      <w:r>
        <w:rPr>
          <w:rFonts w:ascii="仿宋_GB2312" w:hAnsi="仿宋_GB2312" w:eastAsia="仿宋_GB2312"/>
          <w:sz w:val="32"/>
        </w:rPr>
        <w:t>（3）负责克州因公出国(境)管理工作。</w:t>
      </w:r>
    </w:p>
    <w:p w14:paraId="7D538DB8">
      <w:pPr>
        <w:spacing w:line="580" w:lineRule="exact"/>
        <w:ind w:firstLine="640"/>
        <w:jc w:val="both"/>
      </w:pPr>
      <w:r>
        <w:rPr>
          <w:rFonts w:ascii="仿宋_GB2312" w:hAnsi="仿宋_GB2312" w:eastAsia="仿宋_GB2312"/>
          <w:sz w:val="32"/>
        </w:rPr>
        <w:t>（4）按规定审批、承办克州因公出国(境)人员的护照、赴港澳通行证的审批和管理、外国签证的申办，审批应邀访华外国人的签证通知函电及邀请外国(境外)和港、澳人员来访事宜。</w:t>
      </w:r>
    </w:p>
    <w:p w14:paraId="598952CD">
      <w:pPr>
        <w:spacing w:line="640" w:lineRule="exact"/>
        <w:ind w:firstLine="640"/>
        <w:jc w:val="both"/>
        <w:outlineLvl w:val="2"/>
      </w:pPr>
      <w:r>
        <w:rPr>
          <w:rFonts w:ascii="黑体" w:hAnsi="黑体" w:eastAsia="黑体"/>
          <w:sz w:val="32"/>
        </w:rPr>
        <w:t>二、机构设置及人员情况</w:t>
      </w:r>
    </w:p>
    <w:p w14:paraId="609E2E1F">
      <w:pPr>
        <w:spacing w:line="580" w:lineRule="exact"/>
        <w:ind w:firstLine="640"/>
        <w:jc w:val="both"/>
      </w:pPr>
      <w:r>
        <w:rPr>
          <w:rFonts w:ascii="仿宋_GB2312" w:hAnsi="仿宋_GB2312" w:eastAsia="仿宋_GB2312"/>
          <w:sz w:val="32"/>
        </w:rPr>
        <w:t>克孜勒苏柯尔克孜自治州人民政府外事办公室2024年度，实有人数37人，其中：在职人员16人，减少1人；离休人员0人，增加0人；退休人员21人,增加2人。</w:t>
      </w:r>
    </w:p>
    <w:p w14:paraId="404FA133">
      <w:pPr>
        <w:spacing w:line="580" w:lineRule="exact"/>
        <w:ind w:firstLine="640"/>
        <w:jc w:val="both"/>
      </w:pPr>
      <w:r>
        <w:rPr>
          <w:rFonts w:ascii="仿宋_GB2312" w:hAnsi="仿宋_GB2312" w:eastAsia="仿宋_GB2312"/>
          <w:sz w:val="32"/>
        </w:rPr>
        <w:t>克孜勒苏柯尔克孜自治州人民政府外事办公室无下属预算单位，下设5个科室，分别是：综合科、外事科、边界科、侨联办公室、外事服务中心。</w:t>
      </w:r>
    </w:p>
    <w:p w14:paraId="3DED4A56">
      <w:r>
        <w:br w:type="page"/>
      </w:r>
    </w:p>
    <w:p w14:paraId="561534C3">
      <w:pPr>
        <w:spacing w:line="240" w:lineRule="auto"/>
        <w:jc w:val="center"/>
        <w:outlineLvl w:val="1"/>
      </w:pPr>
      <w:r>
        <w:rPr>
          <w:rFonts w:ascii="黑体" w:hAnsi="黑体" w:eastAsia="黑体"/>
          <w:sz w:val="32"/>
        </w:rPr>
        <w:t>第二部分 部门决算情况说明</w:t>
      </w:r>
    </w:p>
    <w:p w14:paraId="675EBAE5">
      <w:pPr>
        <w:spacing w:line="640" w:lineRule="exact"/>
        <w:ind w:firstLine="640"/>
        <w:jc w:val="both"/>
        <w:outlineLvl w:val="2"/>
      </w:pPr>
      <w:r>
        <w:rPr>
          <w:rFonts w:ascii="黑体" w:hAnsi="黑体" w:eastAsia="黑体"/>
          <w:sz w:val="32"/>
        </w:rPr>
        <w:t>一、收入支出决算总体情况说明</w:t>
      </w:r>
    </w:p>
    <w:p w14:paraId="71308D3A">
      <w:pPr>
        <w:spacing w:line="580" w:lineRule="exact"/>
        <w:ind w:firstLine="640"/>
        <w:jc w:val="both"/>
      </w:pPr>
      <w:r>
        <w:rPr>
          <w:rFonts w:ascii="仿宋_GB2312" w:hAnsi="仿宋_GB2312" w:eastAsia="仿宋_GB2312"/>
          <w:b/>
          <w:sz w:val="32"/>
        </w:rPr>
        <w:t>2024年度收入总计511.75万元，</w:t>
      </w:r>
      <w:r>
        <w:rPr>
          <w:rFonts w:ascii="仿宋_GB2312" w:hAnsi="仿宋_GB2312" w:eastAsia="仿宋_GB2312"/>
          <w:b w:val="0"/>
          <w:sz w:val="32"/>
        </w:rPr>
        <w:t>其中：本年收入合计510.57万元，使用非财政拨款结余（含专用结余）0.00万元，年初结转和结余1.18万元。</w:t>
      </w:r>
    </w:p>
    <w:p w14:paraId="7E1E32E6">
      <w:pPr>
        <w:spacing w:line="580" w:lineRule="exact"/>
        <w:ind w:firstLine="640"/>
        <w:jc w:val="both"/>
      </w:pPr>
      <w:r>
        <w:rPr>
          <w:rFonts w:ascii="仿宋_GB2312" w:hAnsi="仿宋_GB2312" w:eastAsia="仿宋_GB2312"/>
          <w:b/>
          <w:sz w:val="32"/>
        </w:rPr>
        <w:t>2024年度支出总计511.75万元，</w:t>
      </w:r>
      <w:r>
        <w:rPr>
          <w:rFonts w:ascii="仿宋_GB2312" w:hAnsi="仿宋_GB2312" w:eastAsia="仿宋_GB2312"/>
          <w:b w:val="0"/>
          <w:sz w:val="32"/>
        </w:rPr>
        <w:t>其中：本年支出合计503.23万元，结余分配0.00万元，年末结转和结余8.51万元。</w:t>
      </w:r>
    </w:p>
    <w:p w14:paraId="11A73A72">
      <w:pPr>
        <w:spacing w:line="580" w:lineRule="exact"/>
        <w:ind w:firstLine="640"/>
        <w:jc w:val="both"/>
      </w:pPr>
      <w:r>
        <w:rPr>
          <w:rFonts w:ascii="仿宋_GB2312" w:hAnsi="仿宋_GB2312" w:eastAsia="仿宋_GB2312"/>
          <w:b w:val="0"/>
          <w:sz w:val="32"/>
        </w:rPr>
        <w:t>收入支出总体与上年相比，减少7.84万元，下降1.51%，主要原因是：本年减少广播电视局办公楼暖气改造项目和边界日常维护经费项目。</w:t>
      </w:r>
    </w:p>
    <w:p w14:paraId="3A46E279">
      <w:pPr>
        <w:spacing w:line="640" w:lineRule="exact"/>
        <w:ind w:firstLine="640"/>
        <w:jc w:val="both"/>
        <w:outlineLvl w:val="2"/>
      </w:pPr>
      <w:r>
        <w:rPr>
          <w:rFonts w:ascii="黑体" w:hAnsi="黑体" w:eastAsia="黑体"/>
          <w:sz w:val="32"/>
        </w:rPr>
        <w:t>二、收入决算情况说明</w:t>
      </w:r>
    </w:p>
    <w:p w14:paraId="02C3641F">
      <w:pPr>
        <w:spacing w:line="580" w:lineRule="exact"/>
        <w:ind w:firstLine="640"/>
        <w:jc w:val="both"/>
      </w:pPr>
      <w:r>
        <w:rPr>
          <w:rFonts w:ascii="仿宋_GB2312" w:hAnsi="仿宋_GB2312" w:eastAsia="仿宋_GB2312"/>
          <w:b/>
          <w:sz w:val="32"/>
        </w:rPr>
        <w:t>本年收入510.57万元，</w:t>
      </w:r>
      <w:r>
        <w:rPr>
          <w:rFonts w:ascii="仿宋_GB2312" w:hAnsi="仿宋_GB2312" w:eastAsia="仿宋_GB2312"/>
          <w:b w:val="0"/>
          <w:sz w:val="32"/>
        </w:rPr>
        <w:t>其中：财政拨款收入489.41万元，占95.86%；上级补助收入0.00万元，占0.00%；事业收入0.00万元，占0.00%；经营收入0.00万元，占0.00%；附属单位上缴收入0.00万元，占0.00%；其他收入21.16万元，占4.14%。</w:t>
      </w:r>
    </w:p>
    <w:p w14:paraId="7B537DDF">
      <w:pPr>
        <w:spacing w:line="640" w:lineRule="exact"/>
        <w:ind w:firstLine="640"/>
        <w:jc w:val="both"/>
        <w:outlineLvl w:val="2"/>
      </w:pPr>
      <w:r>
        <w:rPr>
          <w:rFonts w:ascii="黑体" w:hAnsi="黑体" w:eastAsia="黑体"/>
          <w:sz w:val="32"/>
        </w:rPr>
        <w:t>三、支出决算情况说明</w:t>
      </w:r>
    </w:p>
    <w:p w14:paraId="727158A4">
      <w:pPr>
        <w:spacing w:line="580" w:lineRule="exact"/>
        <w:ind w:firstLine="640"/>
        <w:jc w:val="both"/>
      </w:pPr>
      <w:r>
        <w:rPr>
          <w:rFonts w:ascii="仿宋_GB2312" w:hAnsi="仿宋_GB2312" w:eastAsia="仿宋_GB2312"/>
          <w:b/>
          <w:sz w:val="32"/>
        </w:rPr>
        <w:t>本年支出503.23万元，</w:t>
      </w:r>
      <w:r>
        <w:rPr>
          <w:rFonts w:ascii="仿宋_GB2312" w:hAnsi="仿宋_GB2312" w:eastAsia="仿宋_GB2312"/>
          <w:b w:val="0"/>
          <w:sz w:val="32"/>
        </w:rPr>
        <w:t>其中：基本支出443.17万元，占88.07%；项目支出60.06万元，占11.93%；上缴上级支出0.00万元，占0.00%；经营支出0.00万元，占0.00%；对附属单位补助支出0.00万元，占0.00%。</w:t>
      </w:r>
    </w:p>
    <w:p w14:paraId="1426438A">
      <w:pPr>
        <w:spacing w:line="640" w:lineRule="exact"/>
        <w:ind w:firstLine="640"/>
        <w:jc w:val="both"/>
        <w:outlineLvl w:val="2"/>
      </w:pPr>
      <w:r>
        <w:rPr>
          <w:rFonts w:ascii="黑体" w:hAnsi="黑体" w:eastAsia="黑体"/>
          <w:sz w:val="32"/>
        </w:rPr>
        <w:t>四、财政拨款收入支出决算总体情况说明</w:t>
      </w:r>
    </w:p>
    <w:p w14:paraId="4F9241F7">
      <w:pPr>
        <w:spacing w:line="580" w:lineRule="exact"/>
        <w:ind w:firstLine="640"/>
        <w:jc w:val="both"/>
      </w:pPr>
      <w:r>
        <w:rPr>
          <w:rFonts w:ascii="仿宋_GB2312" w:hAnsi="仿宋_GB2312" w:eastAsia="仿宋_GB2312"/>
          <w:b/>
          <w:sz w:val="32"/>
        </w:rPr>
        <w:t>2024年度财政拨款收入总计489.41万元，</w:t>
      </w:r>
      <w:r>
        <w:rPr>
          <w:rFonts w:ascii="仿宋_GB2312" w:hAnsi="仿宋_GB2312" w:eastAsia="仿宋_GB2312"/>
          <w:b w:val="0"/>
          <w:sz w:val="32"/>
        </w:rPr>
        <w:t>其中：年初财政拨款结转和结余0.00万元，本年财政拨款收入489.41万元。</w:t>
      </w:r>
      <w:r>
        <w:rPr>
          <w:rFonts w:ascii="仿宋_GB2312" w:hAnsi="仿宋_GB2312" w:eastAsia="仿宋_GB2312"/>
          <w:b/>
          <w:sz w:val="32"/>
        </w:rPr>
        <w:t>财政拨款支出总计489.41万元，</w:t>
      </w:r>
      <w:r>
        <w:rPr>
          <w:rFonts w:ascii="仿宋_GB2312" w:hAnsi="仿宋_GB2312" w:eastAsia="仿宋_GB2312"/>
          <w:b w:val="0"/>
          <w:sz w:val="32"/>
        </w:rPr>
        <w:t>其中：年末财政拨款结转和结余0.00万元，本年财政拨款支出489.41万元。</w:t>
      </w:r>
    </w:p>
    <w:p w14:paraId="3BFF28B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增加1.02万元，增长0.21%，主要原因是：本年增加外事活动业务经费和党委外办业务经费。</w:t>
      </w:r>
      <w:r>
        <w:rPr>
          <w:rFonts w:ascii="仿宋_GB2312" w:hAnsi="仿宋_GB2312" w:eastAsia="仿宋_GB2312"/>
          <w:b/>
          <w:sz w:val="32"/>
        </w:rPr>
        <w:t>与年初预算相比，</w:t>
      </w:r>
      <w:r>
        <w:rPr>
          <w:rFonts w:ascii="仿宋_GB2312" w:hAnsi="仿宋_GB2312" w:eastAsia="仿宋_GB2312"/>
          <w:b w:val="0"/>
          <w:sz w:val="32"/>
        </w:rPr>
        <w:t>年初预算数447.77万元，决算数489.41万元，预决算差异率9.30%，主要原因是：年中追加人员工资、社保、公积金基数调增部分资金及外事活动业务经费和党委外办业务经费，导致预决算差异。</w:t>
      </w:r>
    </w:p>
    <w:p w14:paraId="20FC1277">
      <w:pPr>
        <w:spacing w:line="640" w:lineRule="exact"/>
        <w:ind w:firstLine="640"/>
        <w:jc w:val="both"/>
        <w:outlineLvl w:val="2"/>
      </w:pPr>
      <w:r>
        <w:rPr>
          <w:rFonts w:ascii="黑体" w:hAnsi="黑体" w:eastAsia="黑体"/>
          <w:sz w:val="32"/>
        </w:rPr>
        <w:t>五、一般公共预算财政拨款支出决算情况说明</w:t>
      </w:r>
    </w:p>
    <w:p w14:paraId="14AB2DF3">
      <w:pPr>
        <w:spacing w:line="640" w:lineRule="exact"/>
        <w:ind w:firstLine="640"/>
        <w:jc w:val="both"/>
        <w:outlineLvl w:val="3"/>
      </w:pPr>
      <w:r>
        <w:rPr>
          <w:rFonts w:ascii="楷体_GB2312" w:hAnsi="楷体_GB2312" w:eastAsia="楷体_GB2312"/>
          <w:b/>
          <w:sz w:val="32"/>
        </w:rPr>
        <w:t>（一）一般公共预算财政拨款支出决算总体情况</w:t>
      </w:r>
    </w:p>
    <w:p w14:paraId="1621785C">
      <w:pPr>
        <w:spacing w:line="580" w:lineRule="exact"/>
        <w:ind w:firstLine="640"/>
        <w:jc w:val="both"/>
      </w:pPr>
      <w:r>
        <w:rPr>
          <w:rFonts w:ascii="仿宋_GB2312" w:hAnsi="仿宋_GB2312" w:eastAsia="仿宋_GB2312"/>
          <w:b/>
          <w:sz w:val="32"/>
        </w:rPr>
        <w:t>2024年度一般公共预算财政拨款支出489.41万元，</w:t>
      </w:r>
      <w:r>
        <w:rPr>
          <w:rFonts w:ascii="仿宋_GB2312" w:hAnsi="仿宋_GB2312" w:eastAsia="仿宋_GB2312"/>
          <w:b w:val="0"/>
          <w:sz w:val="32"/>
        </w:rPr>
        <w:t>占本年支出合计的97.25%。</w:t>
      </w:r>
      <w:r>
        <w:rPr>
          <w:rFonts w:ascii="仿宋_GB2312" w:hAnsi="仿宋_GB2312" w:eastAsia="仿宋_GB2312"/>
          <w:b/>
          <w:sz w:val="32"/>
        </w:rPr>
        <w:t>与上年相比，</w:t>
      </w:r>
      <w:r>
        <w:rPr>
          <w:rFonts w:ascii="仿宋_GB2312" w:hAnsi="仿宋_GB2312" w:eastAsia="仿宋_GB2312"/>
          <w:b w:val="0"/>
          <w:sz w:val="32"/>
        </w:rPr>
        <w:t>增加1.02万元，增长0.21%，主要原因是：本年增加外事活动业务经费和党委外办业务经费。</w:t>
      </w:r>
      <w:r>
        <w:rPr>
          <w:rFonts w:ascii="仿宋_GB2312" w:hAnsi="仿宋_GB2312" w:eastAsia="仿宋_GB2312"/>
          <w:b/>
          <w:sz w:val="32"/>
        </w:rPr>
        <w:t>与年初预算相比,</w:t>
      </w:r>
      <w:r>
        <w:rPr>
          <w:rFonts w:ascii="仿宋_GB2312" w:hAnsi="仿宋_GB2312" w:eastAsia="仿宋_GB2312"/>
          <w:b w:val="0"/>
          <w:sz w:val="32"/>
        </w:rPr>
        <w:t>年初预算数447.77万元，决算数489.41万元，预决算差异率9.30%，主要原因是：年中追加人员工资、社保、公积金基数调增部分资金及外事活动业务经费和党委外办业务经费，导致预决算差异。</w:t>
      </w:r>
    </w:p>
    <w:p w14:paraId="39ED623E">
      <w:pPr>
        <w:spacing w:line="640" w:lineRule="exact"/>
        <w:ind w:firstLine="640"/>
        <w:jc w:val="both"/>
        <w:outlineLvl w:val="3"/>
      </w:pPr>
      <w:r>
        <w:rPr>
          <w:rFonts w:ascii="楷体_GB2312" w:hAnsi="楷体_GB2312" w:eastAsia="楷体_GB2312"/>
          <w:b/>
          <w:sz w:val="32"/>
        </w:rPr>
        <w:t>（二）一般公共预算财政拨款支出决算结构情况</w:t>
      </w:r>
    </w:p>
    <w:p w14:paraId="74ED3D9E">
      <w:pPr>
        <w:spacing w:line="580" w:lineRule="exact"/>
        <w:ind w:firstLine="640"/>
        <w:jc w:val="both"/>
      </w:pPr>
      <w:r>
        <w:rPr>
          <w:rFonts w:ascii="仿宋_GB2312" w:hAnsi="仿宋_GB2312" w:eastAsia="仿宋_GB2312"/>
          <w:b w:val="0"/>
          <w:sz w:val="32"/>
        </w:rPr>
        <w:t>1.一般公共服务支出(类)398.61万元,占81.45%。</w:t>
      </w:r>
    </w:p>
    <w:p w14:paraId="7A456D0F">
      <w:pPr>
        <w:spacing w:line="580" w:lineRule="exact"/>
        <w:ind w:firstLine="640"/>
        <w:jc w:val="both"/>
      </w:pPr>
      <w:r>
        <w:rPr>
          <w:rFonts w:ascii="仿宋_GB2312" w:hAnsi="仿宋_GB2312" w:eastAsia="仿宋_GB2312"/>
          <w:b w:val="0"/>
          <w:sz w:val="32"/>
        </w:rPr>
        <w:t>2.社会保障和就业支出(类)90.80万元,占18.55%。</w:t>
      </w:r>
    </w:p>
    <w:p w14:paraId="3C01CA8D">
      <w:pPr>
        <w:spacing w:line="640" w:lineRule="exact"/>
        <w:ind w:firstLine="640"/>
        <w:jc w:val="both"/>
        <w:outlineLvl w:val="3"/>
      </w:pPr>
      <w:r>
        <w:rPr>
          <w:rFonts w:ascii="楷体_GB2312" w:hAnsi="楷体_GB2312" w:eastAsia="楷体_GB2312"/>
          <w:b/>
          <w:sz w:val="32"/>
        </w:rPr>
        <w:t>（三）一般公共预算财政拨款支出决算具体情况</w:t>
      </w:r>
    </w:p>
    <w:p w14:paraId="28E32250">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1.一般公共服务支出(类)政府办公厅（室）及相关机构事务(款)行政运行(项):支出决算数为296.48万元，比上年决算减少34.79万元，下降10.50%,主要原因是：本年在职人员减少，相应人员经费较上年减少。</w:t>
      </w:r>
    </w:p>
    <w:p w14:paraId="078E2CFB">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2.一般公共服务支出(类)政府办公厅（室）及相关机构事务(款)事业运行(项):支出决算数为42.07万元，比上年决算增加2.66万元，增长6.75%,主要原因是：本年在职人员工资调增，导致相关人员经费较上年有所增加。</w:t>
      </w:r>
    </w:p>
    <w:p w14:paraId="631D84E1">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60.06万元，比上年决算增加29.40万元，增长95.89%,主要原因是：本年增加外事活动业务经费和党委外办业务经费。</w:t>
      </w:r>
    </w:p>
    <w:p w14:paraId="30657CE0">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4.社会保障和就业支出(类)行政事业单位养老支出(款)行政单位离退休(项):支出决算数为33.85万元，比上年决算增加9.18万元，增长37.21%,主要原因是：本年退休人员增加，发放退休人员基础绩效，退休费增加。</w:t>
      </w:r>
    </w:p>
    <w:p w14:paraId="2A838C4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34.94万元，比上年决算增加0.42万元，增长1.22%,主要原因是：本年在职人员工资基数调增，养老缴费基数上涨，相应支出增加。</w:t>
      </w:r>
    </w:p>
    <w:p w14:paraId="047FE99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22.02万元，比上年决算减少5.83万元，下降20.93%,主要原因是：本年新增退休人员较上年减少，职业年金缴费较上年减少。</w:t>
      </w:r>
    </w:p>
    <w:p w14:paraId="4B25D641">
      <w:pPr>
        <w:spacing w:line="640" w:lineRule="exact"/>
        <w:ind w:firstLine="640"/>
        <w:jc w:val="both"/>
        <w:outlineLvl w:val="2"/>
      </w:pPr>
      <w:r>
        <w:rPr>
          <w:rFonts w:ascii="黑体" w:hAnsi="黑体" w:eastAsia="黑体"/>
          <w:sz w:val="32"/>
        </w:rPr>
        <w:t>六、一般公共预算财政拨款基本支出决算情况说明</w:t>
      </w:r>
    </w:p>
    <w:p w14:paraId="18371582">
      <w:pPr>
        <w:spacing w:line="580" w:lineRule="exact"/>
        <w:ind w:firstLine="640"/>
        <w:jc w:val="both"/>
      </w:pPr>
      <w:r>
        <w:rPr>
          <w:rFonts w:ascii="仿宋_GB2312" w:hAnsi="仿宋_GB2312" w:eastAsia="仿宋_GB2312"/>
          <w:b w:val="0"/>
          <w:sz w:val="32"/>
        </w:rPr>
        <w:t>2024年度一般公共预算财政拨款基本支出429.35万元，其中：</w:t>
      </w:r>
      <w:r>
        <w:rPr>
          <w:rFonts w:ascii="仿宋_GB2312" w:hAnsi="仿宋_GB2312" w:eastAsia="仿宋_GB2312"/>
          <w:b/>
          <w:sz w:val="32"/>
        </w:rPr>
        <w:t>人员经费415.21万元，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14:paraId="0963B36F">
      <w:pPr>
        <w:spacing w:line="580" w:lineRule="exact"/>
        <w:ind w:firstLine="640"/>
        <w:jc w:val="both"/>
      </w:pPr>
      <w:r>
        <w:rPr>
          <w:rFonts w:ascii="仿宋_GB2312" w:hAnsi="仿宋_GB2312" w:eastAsia="仿宋_GB2312"/>
          <w:b/>
          <w:sz w:val="32"/>
        </w:rPr>
        <w:t>公用经费14.14万元，</w:t>
      </w:r>
      <w:r>
        <w:rPr>
          <w:rFonts w:ascii="仿宋_GB2312" w:hAnsi="仿宋_GB2312" w:eastAsia="仿宋_GB2312"/>
          <w:b w:val="0"/>
          <w:sz w:val="32"/>
        </w:rPr>
        <w:t>包括：办公费、印刷费、电费、邮电费、公务接待费、工会经费、福利费、公务用车运行维护费、其他商品和服务支出。</w:t>
      </w:r>
    </w:p>
    <w:p w14:paraId="4B594F6C">
      <w:pPr>
        <w:spacing w:line="640" w:lineRule="exact"/>
        <w:ind w:firstLine="640"/>
        <w:jc w:val="both"/>
        <w:outlineLvl w:val="2"/>
      </w:pPr>
      <w:r>
        <w:rPr>
          <w:rFonts w:ascii="黑体" w:hAnsi="黑体" w:eastAsia="黑体"/>
          <w:sz w:val="32"/>
        </w:rPr>
        <w:t>七、政府性基金预算财政拨款收入支出决算情况说明</w:t>
      </w:r>
    </w:p>
    <w:p w14:paraId="4586C34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AE581C4">
      <w:pPr>
        <w:spacing w:line="640" w:lineRule="exact"/>
        <w:ind w:firstLine="640"/>
        <w:jc w:val="both"/>
        <w:outlineLvl w:val="2"/>
      </w:pPr>
      <w:r>
        <w:rPr>
          <w:rFonts w:ascii="黑体" w:hAnsi="黑体" w:eastAsia="黑体"/>
          <w:sz w:val="32"/>
        </w:rPr>
        <w:t>八、国有资本经营预算财政拨款收入支出决算情况说明</w:t>
      </w:r>
    </w:p>
    <w:p w14:paraId="25B8AD4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21C33D">
      <w:pPr>
        <w:spacing w:line="640" w:lineRule="exact"/>
        <w:ind w:firstLine="640"/>
        <w:jc w:val="both"/>
        <w:outlineLvl w:val="2"/>
      </w:pPr>
      <w:r>
        <w:rPr>
          <w:rFonts w:ascii="黑体" w:hAnsi="黑体" w:eastAsia="黑体"/>
          <w:sz w:val="32"/>
        </w:rPr>
        <w:t>九、财政拨款“三公”经费支出决算情况说明</w:t>
      </w:r>
    </w:p>
    <w:p w14:paraId="1B9C2203">
      <w:pPr>
        <w:spacing w:line="580" w:lineRule="exact"/>
        <w:ind w:firstLine="640"/>
        <w:jc w:val="both"/>
      </w:pPr>
      <w:r>
        <w:rPr>
          <w:rFonts w:ascii="仿宋_GB2312" w:hAnsi="仿宋_GB2312" w:eastAsia="仿宋_GB2312"/>
          <w:b/>
          <w:sz w:val="32"/>
        </w:rPr>
        <w:t>2024年度财政拨款“三公”经费支出5.50万元，</w:t>
      </w:r>
      <w:r>
        <w:rPr>
          <w:rFonts w:ascii="仿宋_GB2312" w:hAnsi="仿宋_GB2312" w:eastAsia="仿宋_GB2312"/>
          <w:b w:val="0"/>
          <w:sz w:val="32"/>
        </w:rPr>
        <w:t>比上年减少2.40万元，下降30.42%，主要原因是：采取有效措施加强公务接待管理，严格控制公务接待活动，认真执行经费开支标准，减少公务接待运行成本费用。其中：因公出国（境）费支出0.00万元，占0.00%，比上年减少0.36万元，下降100.00%，主要原因是：本年本单位未安排因公出国（境）费。公务用车购置及运行维护费支出4.27万元，占77.64%，比上年增加2.22万元，增长108.29%，主要原因是：本年因业务需求，用车次数增加，燃油费增加，导致公务用车运行维护费较上年增加。公务接待费支出1.23万元，占22.36%，比上年减少4.26万元，下降77.60%，主要原因是：采取有效措施加强公务接待管理，严格控制公务接待活动，认真执行经费开支标准，减少公务接待运行成本费用。</w:t>
      </w:r>
    </w:p>
    <w:p w14:paraId="5EDD43E0">
      <w:pPr>
        <w:spacing w:line="580" w:lineRule="exact"/>
        <w:ind w:firstLine="640"/>
        <w:jc w:val="both"/>
      </w:pPr>
      <w:r>
        <w:rPr>
          <w:rFonts w:ascii="仿宋_GB2312" w:hAnsi="仿宋_GB2312" w:eastAsia="仿宋_GB2312"/>
          <w:b/>
          <w:sz w:val="32"/>
        </w:rPr>
        <w:t>具体情况如下：</w:t>
      </w:r>
    </w:p>
    <w:p w14:paraId="0B721C8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251E42D">
      <w:pPr>
        <w:spacing w:line="580" w:lineRule="exact"/>
        <w:ind w:firstLine="640"/>
        <w:jc w:val="both"/>
      </w:pPr>
      <w:r>
        <w:rPr>
          <w:rFonts w:ascii="仿宋_GB2312" w:hAnsi="仿宋_GB2312" w:eastAsia="仿宋_GB2312"/>
          <w:b w:val="0"/>
          <w:sz w:val="32"/>
        </w:rPr>
        <w:t>公务用车购置及运行维护费4.27万元，其中：公务用车购置费0.00万元，公务用车运行维护费4.27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44B68AF4">
      <w:pPr>
        <w:spacing w:line="580" w:lineRule="exact"/>
        <w:ind w:firstLine="640"/>
        <w:jc w:val="both"/>
      </w:pPr>
      <w:r>
        <w:rPr>
          <w:rFonts w:ascii="仿宋_GB2312" w:hAnsi="仿宋_GB2312" w:eastAsia="仿宋_GB2312"/>
          <w:b w:val="0"/>
          <w:sz w:val="32"/>
        </w:rPr>
        <w:t>公务接待费1.23万元，开支内容包括因外事对外交往相关工作安排，接待外宾参访产生的就餐费。单位全年安排的国内公务接待6批次，66人次。</w:t>
      </w:r>
    </w:p>
    <w:p w14:paraId="182C965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5.50万元，决算数5.50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4.27万元，决算数4.27万元，预决算差异率0.00%，主要原因是：严格按照预算执行，预决算无差异。公务接待费全年预算数1.23万元，决算数1.23万元，预决算差异率0.00%，主要原因是：严格按照预算执行，预决算无差异。</w:t>
      </w:r>
    </w:p>
    <w:p w14:paraId="71DF4D28">
      <w:pPr>
        <w:spacing w:line="640" w:lineRule="exact"/>
        <w:ind w:firstLine="640"/>
        <w:jc w:val="both"/>
        <w:outlineLvl w:val="2"/>
      </w:pPr>
      <w:r>
        <w:rPr>
          <w:rFonts w:ascii="黑体" w:hAnsi="黑体" w:eastAsia="黑体"/>
          <w:sz w:val="32"/>
        </w:rPr>
        <w:t>十、其他重要事项的情况说明</w:t>
      </w:r>
    </w:p>
    <w:p w14:paraId="0C0A9956">
      <w:pPr>
        <w:spacing w:line="640" w:lineRule="exact"/>
        <w:ind w:firstLine="640"/>
        <w:jc w:val="both"/>
        <w:outlineLvl w:val="3"/>
      </w:pPr>
      <w:r>
        <w:rPr>
          <w:rFonts w:ascii="楷体_GB2312" w:hAnsi="楷体_GB2312" w:eastAsia="楷体_GB2312"/>
          <w:b/>
          <w:sz w:val="32"/>
        </w:rPr>
        <w:t>（一）机关运行经费及公用经费支出情况</w:t>
      </w:r>
    </w:p>
    <w:p w14:paraId="7C2F898F">
      <w:pPr>
        <w:spacing w:line="580" w:lineRule="exact"/>
        <w:ind w:firstLine="640"/>
        <w:jc w:val="both"/>
      </w:pPr>
      <w:r>
        <w:rPr>
          <w:rFonts w:ascii="仿宋_GB2312" w:hAnsi="仿宋_GB2312" w:eastAsia="仿宋_GB2312"/>
          <w:b w:val="0"/>
          <w:sz w:val="32"/>
        </w:rPr>
        <w:t>2024年度克孜勒苏柯尔克孜自治州人民政府外事办公室（行政单位和参照公务员法管理事业单位）机关运行经费支出14.14万元，比上年减少21.23万元，下降60.02%，主要原因是：本年减少办公费、差旅费等。</w:t>
      </w:r>
    </w:p>
    <w:p w14:paraId="53008363">
      <w:pPr>
        <w:spacing w:line="640" w:lineRule="exact"/>
        <w:ind w:firstLine="640"/>
        <w:jc w:val="both"/>
        <w:outlineLvl w:val="3"/>
      </w:pPr>
      <w:r>
        <w:rPr>
          <w:rFonts w:ascii="楷体_GB2312" w:hAnsi="楷体_GB2312" w:eastAsia="楷体_GB2312"/>
          <w:b/>
          <w:sz w:val="32"/>
        </w:rPr>
        <w:t>（二）政府采购情况</w:t>
      </w:r>
    </w:p>
    <w:p w14:paraId="67E69BA5">
      <w:pPr>
        <w:spacing w:line="580" w:lineRule="exact"/>
        <w:ind w:firstLine="640"/>
        <w:jc w:val="both"/>
      </w:pPr>
      <w:r>
        <w:rPr>
          <w:rFonts w:ascii="仿宋_GB2312" w:hAnsi="仿宋_GB2312" w:eastAsia="仿宋_GB2312"/>
          <w:b w:val="0"/>
          <w:sz w:val="32"/>
        </w:rPr>
        <w:t>2024年度政府采购支出总额19.22万元，其中：政府采购货物支出11.05万元、政府采购工程支出0.00万元、政府采购服务支出8.17万元。</w:t>
      </w:r>
    </w:p>
    <w:p w14:paraId="6332AF21">
      <w:pPr>
        <w:spacing w:line="580" w:lineRule="exact"/>
        <w:ind w:firstLine="640"/>
        <w:jc w:val="both"/>
      </w:pPr>
      <w:r>
        <w:rPr>
          <w:rFonts w:ascii="仿宋_GB2312" w:hAnsi="仿宋_GB2312" w:eastAsia="仿宋_GB2312"/>
          <w:b w:val="0"/>
          <w:sz w:val="32"/>
        </w:rPr>
        <w:t>授予中小企业合同金额18.88万元，占政府采购支出总额的98.23%，其中：授予小微企业合同金额18.88万元，占政府采购支出总额的98.23%。</w:t>
      </w:r>
    </w:p>
    <w:p w14:paraId="3BA6F1F3">
      <w:pPr>
        <w:spacing w:line="640" w:lineRule="exact"/>
        <w:ind w:firstLine="640"/>
        <w:jc w:val="both"/>
        <w:outlineLvl w:val="3"/>
      </w:pPr>
      <w:r>
        <w:rPr>
          <w:rFonts w:ascii="楷体_GB2312" w:hAnsi="楷体_GB2312" w:eastAsia="楷体_GB2312"/>
          <w:b/>
          <w:sz w:val="32"/>
        </w:rPr>
        <w:t>（三）国有资产占用情况说明</w:t>
      </w:r>
    </w:p>
    <w:p w14:paraId="778E3AF9">
      <w:pPr>
        <w:spacing w:line="580" w:lineRule="exact"/>
        <w:ind w:firstLine="640"/>
        <w:jc w:val="both"/>
      </w:pPr>
      <w:r>
        <w:rPr>
          <w:rFonts w:ascii="仿宋_GB2312" w:hAnsi="仿宋_GB2312" w:eastAsia="仿宋_GB2312"/>
          <w:b w:val="0"/>
          <w:sz w:val="32"/>
        </w:rPr>
        <w:t>截至2024年12月31日，房屋0.00平方米，价值0.00万元。车辆3辆，价值65.92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08098D2">
      <w:pPr>
        <w:spacing w:line="640" w:lineRule="exact"/>
        <w:ind w:firstLine="640"/>
        <w:jc w:val="both"/>
        <w:outlineLvl w:val="2"/>
      </w:pPr>
      <w:r>
        <w:rPr>
          <w:rFonts w:ascii="黑体" w:hAnsi="黑体" w:eastAsia="黑体"/>
          <w:sz w:val="32"/>
        </w:rPr>
        <w:t>十一、预算绩效的情况说明</w:t>
      </w:r>
    </w:p>
    <w:p w14:paraId="343D6DD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511.74万元，实际执行总额503.23万元；预算绩效评价项目2个，全年预算数64.04万元，全年执行数56.74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22B8E9C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744620">
        <w:tblPrEx>
          <w:tblCellMar>
            <w:top w:w="0" w:type="dxa"/>
            <w:left w:w="108" w:type="dxa"/>
            <w:bottom w:w="0" w:type="dxa"/>
            <w:right w:w="108" w:type="dxa"/>
          </w:tblCellMar>
        </w:tblPrEx>
        <w:tc>
          <w:tcPr>
            <w:tcW w:w="8840" w:type="dxa"/>
            <w:gridSpan w:val="8"/>
            <w:vAlign w:val="center"/>
          </w:tcPr>
          <w:p w14:paraId="72D61818">
            <w:pPr>
              <w:jc w:val="center"/>
            </w:pPr>
            <w:r>
              <w:rPr>
                <w:rFonts w:ascii="宋体" w:hAnsi="宋体" w:eastAsia="宋体"/>
                <w:sz w:val="24"/>
              </w:rPr>
              <w:t>单位整体支出绩效自评表</w:t>
            </w:r>
          </w:p>
        </w:tc>
      </w:tr>
      <w:tr w14:paraId="7F2336FA">
        <w:tblPrEx>
          <w:tblCellMar>
            <w:top w:w="0" w:type="dxa"/>
            <w:left w:w="108" w:type="dxa"/>
            <w:bottom w:w="0" w:type="dxa"/>
            <w:right w:w="108" w:type="dxa"/>
          </w:tblCellMar>
        </w:tblPrEx>
        <w:tc>
          <w:tcPr>
            <w:tcW w:w="8840" w:type="dxa"/>
            <w:gridSpan w:val="8"/>
            <w:vAlign w:val="center"/>
          </w:tcPr>
          <w:p w14:paraId="6FA31697">
            <w:pPr>
              <w:jc w:val="center"/>
            </w:pPr>
            <w:r>
              <w:rPr>
                <w:rFonts w:ascii="宋体" w:hAnsi="宋体" w:eastAsia="宋体"/>
                <w:sz w:val="24"/>
              </w:rPr>
              <w:t>（2024年度）</w:t>
            </w:r>
          </w:p>
        </w:tc>
      </w:tr>
      <w:tr w14:paraId="0E435B3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2F8F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4A7DB">
            <w:pPr>
              <w:jc w:val="center"/>
            </w:pPr>
            <w:r>
              <w:rPr>
                <w:rFonts w:ascii="宋体" w:hAnsi="宋体" w:eastAsia="宋体"/>
                <w:sz w:val="16"/>
              </w:rPr>
              <w:t>克孜勒苏柯尔克孜自治州人民政府外事办公室</w:t>
            </w:r>
          </w:p>
        </w:tc>
      </w:tr>
      <w:tr w14:paraId="6A3DB79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961C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A7ED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7C1C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ED59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918CA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8F27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07138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9712F">
            <w:pPr>
              <w:jc w:val="center"/>
            </w:pPr>
            <w:r>
              <w:rPr>
                <w:rFonts w:ascii="宋体" w:hAnsi="宋体" w:eastAsia="宋体"/>
                <w:sz w:val="16"/>
              </w:rPr>
              <w:t>得分</w:t>
            </w:r>
          </w:p>
        </w:tc>
      </w:tr>
      <w:tr w14:paraId="4F2C6A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5A5E7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11DA1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8FBE3">
            <w:pPr>
              <w:jc w:val="center"/>
            </w:pPr>
            <w:r>
              <w:rPr>
                <w:rFonts w:ascii="宋体" w:hAnsi="宋体" w:eastAsia="宋体"/>
                <w:sz w:val="16"/>
              </w:rPr>
              <w:t>537.44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FB3E6">
            <w:pPr>
              <w:jc w:val="center"/>
            </w:pPr>
            <w:r>
              <w:rPr>
                <w:rFonts w:ascii="宋体" w:hAnsi="宋体" w:eastAsia="宋体"/>
                <w:sz w:val="16"/>
              </w:rPr>
              <w:t>511.74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85639">
            <w:pPr>
              <w:jc w:val="center"/>
            </w:pPr>
            <w:r>
              <w:rPr>
                <w:rFonts w:ascii="宋体" w:hAnsi="宋体" w:eastAsia="宋体"/>
                <w:sz w:val="16"/>
              </w:rPr>
              <w:t>503.23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B0A2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E11DD9">
            <w:pPr>
              <w:jc w:val="center"/>
            </w:pPr>
            <w:r>
              <w:rPr>
                <w:rFonts w:ascii="宋体" w:hAnsi="宋体" w:eastAsia="宋体"/>
                <w:sz w:val="16"/>
              </w:rPr>
              <w:t>98.34%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5FE58">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83</w:t>
            </w:r>
          </w:p>
        </w:tc>
      </w:tr>
      <w:tr w14:paraId="35F84E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9E8A8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7405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A174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D6FC26">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D6B58">
            <w:pPr>
              <w:jc w:val="center"/>
            </w:pPr>
            <w:r>
              <w:rPr>
                <w:rFonts w:ascii="宋体" w:hAnsi="宋体" w:eastAsia="宋体"/>
                <w:sz w:val="16"/>
              </w:rPr>
              <w:t>12.00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EA7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1114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D1402">
            <w:pPr>
              <w:jc w:val="center"/>
            </w:pPr>
            <w:r>
              <w:rPr>
                <w:rFonts w:ascii="宋体" w:hAnsi="宋体" w:eastAsia="宋体"/>
                <w:sz w:val="16"/>
              </w:rPr>
              <w:t>—</w:t>
            </w:r>
          </w:p>
        </w:tc>
      </w:tr>
      <w:tr w14:paraId="2FEAF2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2A23C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2E0A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34461">
            <w:pPr>
              <w:jc w:val="center"/>
            </w:pPr>
            <w:r>
              <w:rPr>
                <w:rFonts w:ascii="宋体" w:hAnsi="宋体" w:eastAsia="宋体"/>
                <w:sz w:val="16"/>
              </w:rPr>
              <w:t>447.77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A11FF2">
            <w:pPr>
              <w:jc w:val="center"/>
            </w:pPr>
            <w:r>
              <w:rPr>
                <w:rFonts w:ascii="宋体" w:hAnsi="宋体" w:eastAsia="宋体"/>
                <w:sz w:val="16"/>
              </w:rPr>
              <w:t>499.74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7160C">
            <w:pPr>
              <w:jc w:val="center"/>
            </w:pPr>
            <w:r>
              <w:rPr>
                <w:rFonts w:ascii="宋体" w:hAnsi="宋体" w:eastAsia="宋体"/>
                <w:sz w:val="16"/>
              </w:rPr>
              <w:t>491.23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BB9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EC64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23B0A">
            <w:pPr>
              <w:jc w:val="center"/>
            </w:pPr>
            <w:r>
              <w:rPr>
                <w:rFonts w:ascii="宋体" w:hAnsi="宋体" w:eastAsia="宋体"/>
                <w:sz w:val="16"/>
              </w:rPr>
              <w:t>—</w:t>
            </w:r>
          </w:p>
        </w:tc>
      </w:tr>
      <w:tr w14:paraId="43BF98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A883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D707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8AC7B3">
            <w:pPr>
              <w:jc w:val="center"/>
            </w:pPr>
            <w:r>
              <w:rPr>
                <w:rFonts w:ascii="宋体" w:hAnsi="宋体" w:eastAsia="宋体"/>
                <w:sz w:val="16"/>
              </w:rPr>
              <w:t>89.67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3EFD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4585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969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357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C835A">
            <w:pPr>
              <w:jc w:val="center"/>
            </w:pPr>
            <w:r>
              <w:rPr>
                <w:rFonts w:ascii="宋体" w:hAnsi="宋体" w:eastAsia="宋体"/>
                <w:sz w:val="16"/>
              </w:rPr>
              <w:t>—</w:t>
            </w:r>
          </w:p>
        </w:tc>
      </w:tr>
      <w:tr w14:paraId="48B780A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1006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F8389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F74580">
            <w:pPr>
              <w:jc w:val="center"/>
            </w:pPr>
            <w:r>
              <w:rPr>
                <w:rFonts w:ascii="宋体" w:hAnsi="宋体" w:eastAsia="宋体"/>
                <w:sz w:val="16"/>
              </w:rPr>
              <w:t>实际完成情况</w:t>
            </w:r>
          </w:p>
        </w:tc>
      </w:tr>
      <w:tr w14:paraId="79AB37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2581D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E10DD2">
            <w:pPr>
              <w:jc w:val="both"/>
            </w:pPr>
            <w:r>
              <w:rPr>
                <w:rFonts w:ascii="宋体" w:hAnsi="宋体" w:eastAsia="宋体"/>
                <w:sz w:val="16"/>
              </w:rPr>
              <w:t>1.扩大对外开放，深化交流合作。按照国家、自治区关于核心区丝绸之路建设要求，为各类对外交往合作“走出去”、“请进来”提供帮助、指导和支持。开展周边国家民间交往交流交融，促成中吉、中巴在经贸、人文、医药、教育、口岸</w:t>
            </w:r>
            <w:r>
              <w:rPr>
                <w:rFonts w:hint="eastAsia" w:ascii="宋体" w:hAnsi="宋体"/>
                <w:sz w:val="16"/>
                <w:lang w:eastAsia="zh-CN"/>
              </w:rPr>
              <w:t>人员</w:t>
            </w:r>
            <w:r>
              <w:rPr>
                <w:rFonts w:ascii="宋体" w:hAnsi="宋体" w:eastAsia="宋体"/>
                <w:sz w:val="16"/>
              </w:rPr>
              <w:t>通关等多方面达成初步合作意向。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2.拓展民间对外交往，推进友协友城工作。积极发展境外友华力量，引导友好组织和友好人士在涉疆问题上给予我坚定支持，在国际多边场合为我仗义执言，为新疆反恐</w:t>
            </w:r>
            <w:r>
              <w:rPr>
                <w:rFonts w:hint="eastAsia" w:ascii="宋体" w:hAnsi="宋体"/>
                <w:sz w:val="16"/>
                <w:lang w:eastAsia="zh-CN"/>
              </w:rPr>
              <w:t>WW</w:t>
            </w:r>
            <w:r>
              <w:rPr>
                <w:rFonts w:ascii="宋体" w:hAnsi="宋体" w:eastAsia="宋体"/>
                <w:sz w:val="16"/>
              </w:rPr>
              <w:t>和去极端化工作营造良好的国际舆论环境。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3.突出特色优势，提升合作交流质效。积极发挥克州地缘、资源、区位和对口援疆、区内协作优势，坚持</w:t>
            </w:r>
            <w:r>
              <w:rPr>
                <w:rFonts w:hint="eastAsia" w:ascii="宋体" w:hAnsi="宋体"/>
                <w:sz w:val="16"/>
                <w:lang w:eastAsia="zh-CN"/>
              </w:rPr>
              <w:t>“引进来”和“走出去”</w:t>
            </w:r>
            <w:r>
              <w:rPr>
                <w:rFonts w:ascii="宋体" w:hAnsi="宋体" w:eastAsia="宋体"/>
                <w:sz w:val="16"/>
              </w:rPr>
              <w:t>并重，促进内需与外需、进口与出口、引进内外资与对外投资协调发展。深化国际产能合作，支持企业参与境外经贸合作园区建设，拓展与中亚及周边国家和地区多层次、多领域务实合作，大力发展互补性强的进出口加工业，鼓励和引导有实力的企业到周边国家投资办厂，探索建立边境经济合作区和边境旅游试验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4.维护边界安全，科学谋划边界工作。对克州1133.7公里边界线进行边界日常巡查调研。积极争取项目资金，及时上报边界维护情况，切实维护边界安全。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凝聚侨心，当好最美声音传播者。持续办好“中国寻根之旅”“暖侨行动”等活动。针对克州籍侨胞护照换发、回国探亲、解决就业、婚姻证明、养老金领取等问题，主动听取侨界意见建议，依法稳妥协调帮助解决实际困难和合理诉求。配合自治区做好海外疆籍侨胞、留学生代表“云访疆”视频交流会、海外疆籍侨领研习班。继续加大宣传贯彻侨务政策法规，不断增强广大归侨侨眷依法维权意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抓好民族团结工作，加强各民族交往交流交融。加强和民族团结创建办的沟通，充分发挥我办职能作用，切实做好结亲走访慰问活动，进一步把民族团结创建与自己的业务工作结合起来，积极为群众办好事、办实事。</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F17D43">
            <w:pPr>
              <w:jc w:val="both"/>
            </w:pPr>
            <w:r>
              <w:rPr>
                <w:rFonts w:ascii="宋体" w:hAnsi="宋体" w:eastAsia="宋体"/>
                <w:sz w:val="16"/>
              </w:rPr>
              <w:t>截至2024年12月31日，已完成：1.邀请吉尔吉斯斯坦相关代表参加“5·19中国旅游日”、第十届国际玛纳斯文化旅游节、紫金锌业技能大赛等5批40人入境来州参访工作，指标完成率为125%。偏差原因：对外开放“请进来”政策环境等外部因素创造了良好的外部条件，改进措施：不断优化工作方式，推动履职效能持续提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邀请吉尔吉斯斯坦相关代表参加“5·19中国旅游日”、第十届国际玛纳斯文化旅游节、紫金锌业技能大赛等5批40人入境来州参访工作。热情接待吉尔吉斯斯坦、乌兹别克斯坦总理，阿拉伯国家左翼党干部考察团等13批238人来州参访工作，推动更多国际人士仗义执言、为我发声，不断扩大知疆友华的国际舆论“朋友圈”，指标完成率为300%。偏差原因：在工作中积极引入新理念优化了业务流程，提高了工作效率和服务质量，改进措施：继续加强单位干部的培训，提升其专业素养和业务能力以适应不断变化的工作需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优化程序，提升服务。以不破法规破常规的决心，不断优化因公出国境审批流程，按照“人事相符，因事定人”的要求，支持有实际性大项目团组走出去抓招商、拓市场、抢订单。积极做好政府代表团、商务洽谈等出国（境）的护照、签证办理工作，推动外向型经济量质齐升。2024年办理因公出国境团组19批次67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按照“重点区域必到、重点部位必巡、重点信息必采”的原则，周密合理制定边界巡查及踏查方案，明确人员、路线、工作重点、车辆保障等各环节事项，采用步行、车巡相结合的方式，对边境辖区界桩受损、界线走向、地形地貌展开巡查28次42天，共出动踏查力量28批次100余人次、车辆28批次40辆次，巡查里程数2万余公里，实地巡查调研界碑67个，确保了边界标志清晰可见，设施完好无损，为边界管理提供了准确依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利用召开座谈会、慰问、入户走访等形式，充分了解各族归侨、侨眷生产生活现状，掌握在外克州籍人员思想动态。及时向有关部门上报克州籍在外企业和人员情况。组织各级侨联组织深入重点归侨侨眷家中开展走访座谈，帮助解决生产生活困难诉求16条，并对10户困难归侨侨眷每户发放慰问金1000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强化学题教育，提升干部队伍整体水平。强化示范引领，高水平发挥带头作用。办其他班子成员、驻村工作队开展“我为群众办实事”，采取集中宣讲、小分队入户宣讲的方式，为各族群众办实事好事15件，切实将解决基层群众急难</w:t>
            </w:r>
            <w:r>
              <w:rPr>
                <w:rFonts w:hint="eastAsia" w:ascii="宋体" w:hAnsi="宋体"/>
                <w:sz w:val="16"/>
                <w:lang w:eastAsia="zh-CN"/>
              </w:rPr>
              <w:t>愁盼</w:t>
            </w:r>
            <w:r>
              <w:rPr>
                <w:rFonts w:ascii="宋体" w:hAnsi="宋体" w:eastAsia="宋体"/>
                <w:sz w:val="16"/>
              </w:rPr>
              <w:t>落到实处、落实在行动上。</w:t>
            </w:r>
          </w:p>
        </w:tc>
      </w:tr>
      <w:tr w14:paraId="483B66C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29D9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6CF01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AF6F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A73B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5ECBA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622C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6977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8D9E72">
            <w:pPr>
              <w:jc w:val="center"/>
            </w:pPr>
            <w:r>
              <w:rPr>
                <w:rFonts w:ascii="宋体" w:hAnsi="宋体" w:eastAsia="宋体"/>
                <w:sz w:val="16"/>
              </w:rPr>
              <w:t>得分</w:t>
            </w:r>
          </w:p>
        </w:tc>
      </w:tr>
      <w:tr w14:paraId="7A33A77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122A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A24F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17838">
            <w:pPr>
              <w:jc w:val="center"/>
            </w:pPr>
            <w:r>
              <w:rPr>
                <w:rFonts w:ascii="宋体" w:hAnsi="宋体" w:eastAsia="宋体"/>
                <w:sz w:val="16"/>
              </w:rPr>
              <w:t>开展对外会晤次数（次）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0C5E5C">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C94E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7EA0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37EEC">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4BDE4">
            <w:pPr>
              <w:jc w:val="center"/>
            </w:pPr>
            <w:r>
              <w:rPr>
                <w:rFonts w:ascii="宋体" w:hAnsi="宋体" w:eastAsia="宋体"/>
                <w:sz w:val="16"/>
              </w:rPr>
              <w:t>15</w:t>
            </w:r>
          </w:p>
        </w:tc>
      </w:tr>
      <w:tr w14:paraId="2FE90D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03404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FE0B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A6057">
            <w:pPr>
              <w:jc w:val="center"/>
            </w:pPr>
            <w:r>
              <w:rPr>
                <w:rFonts w:ascii="宋体" w:hAnsi="宋体" w:eastAsia="宋体"/>
                <w:sz w:val="16"/>
              </w:rPr>
              <w:t>对接外宾次数（次）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07C7B">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126DB">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F6ED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3FE78">
            <w:pPr>
              <w:jc w:val="center"/>
            </w:pPr>
            <w:r>
              <w:rPr>
                <w:rFonts w:ascii="宋体" w:hAnsi="宋体" w:eastAsia="宋体"/>
                <w:sz w:val="16"/>
              </w:rPr>
              <w:t>18次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CA9D6">
            <w:pPr>
              <w:jc w:val="center"/>
            </w:pPr>
            <w:r>
              <w:rPr>
                <w:rFonts w:ascii="宋体" w:hAnsi="宋体" w:eastAsia="宋体"/>
                <w:sz w:val="16"/>
              </w:rPr>
              <w:t>15</w:t>
            </w:r>
          </w:p>
        </w:tc>
      </w:tr>
      <w:tr w14:paraId="47F5BA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26DF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F8DA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201A4">
            <w:pPr>
              <w:jc w:val="center"/>
            </w:pPr>
            <w:r>
              <w:rPr>
                <w:rFonts w:ascii="宋体" w:hAnsi="宋体" w:eastAsia="宋体"/>
                <w:sz w:val="16"/>
              </w:rPr>
              <w:t>办理因公出国护照批次（次）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051A5">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D245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3EE5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283B0">
            <w:pPr>
              <w:jc w:val="center"/>
            </w:pPr>
            <w:r>
              <w:rPr>
                <w:rFonts w:ascii="宋体" w:hAnsi="宋体" w:eastAsia="宋体"/>
                <w:sz w:val="16"/>
              </w:rPr>
              <w:t>19次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1E1FA">
            <w:pPr>
              <w:jc w:val="center"/>
            </w:pPr>
            <w:r>
              <w:rPr>
                <w:rFonts w:ascii="宋体" w:hAnsi="宋体" w:eastAsia="宋体"/>
                <w:sz w:val="16"/>
              </w:rPr>
              <w:t>20</w:t>
            </w:r>
          </w:p>
        </w:tc>
      </w:tr>
      <w:tr w14:paraId="48AB90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E357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A209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B3222">
            <w:pPr>
              <w:jc w:val="center"/>
            </w:pPr>
            <w:r>
              <w:rPr>
                <w:rFonts w:ascii="宋体" w:hAnsi="宋体" w:eastAsia="宋体"/>
                <w:sz w:val="16"/>
              </w:rPr>
              <w:t>边界巡查调研次数（次）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8559E">
            <w:pPr>
              <w:jc w:val="center"/>
            </w:pPr>
            <w:r>
              <w:rPr>
                <w:rFonts w:ascii="宋体" w:hAnsi="宋体" w:eastAsia="宋体"/>
                <w:sz w:val="16"/>
              </w:rPr>
              <w:t>&gt;=8次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6D65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47A42">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F6A470">
            <w:pPr>
              <w:jc w:val="center"/>
            </w:pPr>
            <w:r>
              <w:rPr>
                <w:rFonts w:ascii="宋体" w:hAnsi="宋体" w:eastAsia="宋体"/>
                <w:sz w:val="16"/>
              </w:rPr>
              <w:t>28次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CBDE7">
            <w:pPr>
              <w:jc w:val="center"/>
            </w:pPr>
            <w:r>
              <w:rPr>
                <w:rFonts w:ascii="宋体" w:hAnsi="宋体" w:eastAsia="宋体"/>
                <w:sz w:val="16"/>
              </w:rPr>
              <w:t>15</w:t>
            </w:r>
          </w:p>
        </w:tc>
      </w:tr>
      <w:tr w14:paraId="0F3CDE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0B55B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512D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EF3B9">
            <w:pPr>
              <w:jc w:val="center"/>
            </w:pPr>
            <w:r>
              <w:rPr>
                <w:rFonts w:ascii="宋体" w:hAnsi="宋体" w:eastAsia="宋体"/>
                <w:sz w:val="16"/>
              </w:rPr>
              <w:t>侨联慰问批次（次）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CEF2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69AA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54DC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95D0E">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08A0B">
            <w:pPr>
              <w:jc w:val="center"/>
            </w:pPr>
            <w:r>
              <w:rPr>
                <w:rFonts w:ascii="宋体" w:hAnsi="宋体" w:eastAsia="宋体"/>
                <w:sz w:val="16"/>
              </w:rPr>
              <w:t>15</w:t>
            </w:r>
          </w:p>
        </w:tc>
      </w:tr>
      <w:tr w14:paraId="101F84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E1002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30B7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6D1DF">
            <w:pPr>
              <w:jc w:val="center"/>
            </w:pPr>
            <w:r>
              <w:rPr>
                <w:rFonts w:ascii="宋体" w:hAnsi="宋体" w:eastAsia="宋体"/>
                <w:sz w:val="16"/>
              </w:rPr>
              <w:t>开展基层慰问活动次数（次）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B81C3">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40695">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CD35E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685B4">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37D8C">
            <w:pPr>
              <w:jc w:val="center"/>
            </w:pPr>
            <w:r>
              <w:rPr>
                <w:rFonts w:ascii="宋体" w:hAnsi="宋体" w:eastAsia="宋体"/>
                <w:sz w:val="16"/>
              </w:rPr>
              <w:t>10</w:t>
            </w:r>
          </w:p>
        </w:tc>
      </w:tr>
    </w:tbl>
    <w:p w14:paraId="716464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B21D49F">
        <w:tblPrEx>
          <w:tblCellMar>
            <w:top w:w="0" w:type="dxa"/>
            <w:left w:w="108" w:type="dxa"/>
            <w:bottom w:w="0" w:type="dxa"/>
            <w:right w:w="108" w:type="dxa"/>
          </w:tblCellMar>
        </w:tblPrEx>
        <w:tc>
          <w:tcPr>
            <w:tcW w:w="8848" w:type="dxa"/>
            <w:gridSpan w:val="14"/>
            <w:vAlign w:val="center"/>
          </w:tcPr>
          <w:p w14:paraId="059AB5A1">
            <w:pPr>
              <w:jc w:val="center"/>
            </w:pPr>
            <w:r>
              <w:rPr>
                <w:rFonts w:ascii="宋体" w:hAnsi="宋体" w:eastAsia="宋体"/>
                <w:sz w:val="24"/>
              </w:rPr>
              <w:t>项目支出绩效自评表</w:t>
            </w:r>
          </w:p>
        </w:tc>
      </w:tr>
      <w:tr w14:paraId="14777D12">
        <w:tblPrEx>
          <w:tblCellMar>
            <w:top w:w="0" w:type="dxa"/>
            <w:left w:w="108" w:type="dxa"/>
            <w:bottom w:w="0" w:type="dxa"/>
            <w:right w:w="108" w:type="dxa"/>
          </w:tblCellMar>
        </w:tblPrEx>
        <w:tc>
          <w:tcPr>
            <w:tcW w:w="8848" w:type="dxa"/>
            <w:gridSpan w:val="14"/>
            <w:vAlign w:val="center"/>
          </w:tcPr>
          <w:p w14:paraId="1C2A7E50">
            <w:pPr>
              <w:jc w:val="center"/>
            </w:pPr>
            <w:r>
              <w:rPr>
                <w:rFonts w:ascii="宋体" w:hAnsi="宋体" w:eastAsia="宋体"/>
                <w:sz w:val="24"/>
              </w:rPr>
              <w:t>(2024年度)</w:t>
            </w:r>
          </w:p>
        </w:tc>
      </w:tr>
      <w:tr w14:paraId="03D567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CA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9F658F">
            <w:pPr>
              <w:jc w:val="center"/>
            </w:pPr>
            <w:r>
              <w:rPr>
                <w:rFonts w:ascii="宋体" w:hAnsi="宋体" w:eastAsia="宋体"/>
                <w:sz w:val="16"/>
              </w:rPr>
              <w:t>2024年为民办实事和第一书记工作经费项目</w:t>
            </w:r>
          </w:p>
        </w:tc>
      </w:tr>
      <w:tr w14:paraId="31E4C4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0C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E426F">
            <w:pPr>
              <w:jc w:val="center"/>
            </w:pPr>
            <w:r>
              <w:rPr>
                <w:rFonts w:ascii="宋体" w:hAnsi="宋体" w:eastAsia="宋体"/>
                <w:sz w:val="16"/>
              </w:rPr>
              <w:t>克孜勒苏柯尔克孜自治州人民政府外事办公室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B2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E67F6F">
            <w:pPr>
              <w:jc w:val="center"/>
            </w:pPr>
            <w:r>
              <w:rPr>
                <w:rFonts w:ascii="宋体" w:hAnsi="宋体" w:eastAsia="宋体"/>
                <w:sz w:val="16"/>
              </w:rPr>
              <w:t>克孜勒苏柯尔克孜自治州人民政府外事办公室</w:t>
            </w:r>
          </w:p>
        </w:tc>
      </w:tr>
      <w:tr w14:paraId="4E74C2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4B3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E7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C5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9F1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943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D6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B37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B1C7">
            <w:pPr>
              <w:jc w:val="center"/>
            </w:pPr>
            <w:r>
              <w:rPr>
                <w:rFonts w:ascii="宋体" w:hAnsi="宋体" w:eastAsia="宋体"/>
                <w:sz w:val="16"/>
              </w:rPr>
              <w:t>得分</w:t>
            </w:r>
          </w:p>
        </w:tc>
      </w:tr>
      <w:tr w14:paraId="50AD1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970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41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277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C8EB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4F23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8B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5A9A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70C1">
            <w:pPr>
              <w:jc w:val="center"/>
            </w:pPr>
            <w:r>
              <w:rPr>
                <w:rFonts w:ascii="宋体" w:hAnsi="宋体" w:eastAsia="宋体"/>
                <w:sz w:val="16"/>
              </w:rPr>
              <w:t>10.00分</w:t>
            </w:r>
          </w:p>
        </w:tc>
      </w:tr>
      <w:tr w14:paraId="4D259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578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FF4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190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35E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334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0B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EC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37D9">
            <w:pPr>
              <w:jc w:val="center"/>
            </w:pPr>
            <w:r>
              <w:rPr>
                <w:rFonts w:ascii="宋体" w:hAnsi="宋体" w:eastAsia="宋体"/>
                <w:sz w:val="16"/>
              </w:rPr>
              <w:t>—</w:t>
            </w:r>
          </w:p>
        </w:tc>
      </w:tr>
      <w:tr w14:paraId="424DA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8F7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62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13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36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FC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EC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17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2DD5">
            <w:pPr>
              <w:jc w:val="center"/>
            </w:pPr>
            <w:r>
              <w:rPr>
                <w:rFonts w:ascii="宋体" w:hAnsi="宋体" w:eastAsia="宋体"/>
                <w:sz w:val="16"/>
              </w:rPr>
              <w:t>—</w:t>
            </w:r>
          </w:p>
        </w:tc>
      </w:tr>
      <w:tr w14:paraId="45829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F51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93A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6E4928">
            <w:pPr>
              <w:jc w:val="center"/>
            </w:pPr>
            <w:r>
              <w:rPr>
                <w:rFonts w:ascii="宋体" w:hAnsi="宋体" w:eastAsia="宋体"/>
                <w:sz w:val="16"/>
              </w:rPr>
              <w:t>实际完成情况</w:t>
            </w:r>
          </w:p>
        </w:tc>
      </w:tr>
      <w:tr w14:paraId="18DD0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B25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66E88">
            <w:pPr>
              <w:jc w:val="both"/>
            </w:pPr>
            <w:r>
              <w:rPr>
                <w:rFonts w:hint="eastAsia" w:ascii="宋体" w:hAnsi="宋体"/>
                <w:sz w:val="16"/>
                <w:lang w:eastAsia="zh-CN"/>
              </w:rPr>
              <w:t>实际完成情况</w:t>
            </w:r>
            <w:r>
              <w:rPr>
                <w:rFonts w:ascii="宋体" w:hAnsi="宋体" w:eastAsia="宋体"/>
                <w:sz w:val="16"/>
              </w:rPr>
              <w:t>：截至2024年12月31日，已完成：</w:t>
            </w:r>
            <w:r>
              <w:rPr>
                <w:rFonts w:ascii="宋体" w:hAnsi="宋体" w:eastAsia="宋体"/>
                <w:sz w:val="16"/>
              </w:rPr>
              <w:br w:type="textWrapping"/>
            </w:r>
            <w:r>
              <w:rPr>
                <w:rFonts w:ascii="宋体" w:hAnsi="宋体" w:eastAsia="宋体"/>
                <w:sz w:val="16"/>
              </w:rPr>
              <w:t>访问困难家庭户次数2次，开展群众活动次数4次，购买办公用品2次，通过该项目的实施，及时有效</w:t>
            </w:r>
            <w:r>
              <w:rPr>
                <w:rFonts w:hint="eastAsia" w:ascii="宋体" w:hAnsi="宋体"/>
                <w:sz w:val="16"/>
                <w:lang w:eastAsia="zh-CN"/>
              </w:rPr>
              <w:t>地</w:t>
            </w:r>
            <w:r>
              <w:rPr>
                <w:rFonts w:ascii="宋体" w:hAnsi="宋体" w:eastAsia="宋体"/>
                <w:sz w:val="16"/>
              </w:rPr>
              <w:t>缓解了困难家庭的燃眉之急，解决其生产生活、子女上学等方面的困难。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2D3CF3">
            <w:pPr>
              <w:jc w:val="both"/>
            </w:pPr>
            <w:r>
              <w:rPr>
                <w:rFonts w:ascii="宋体" w:hAnsi="宋体" w:eastAsia="宋体"/>
                <w:sz w:val="16"/>
              </w:rPr>
              <w:t>截至2024年12月31日，已完成：访问困难家庭户次数2次，开展群众活动次数4次，购买办公用品2次，通过该项目的实施，及时有效</w:t>
            </w:r>
            <w:r>
              <w:rPr>
                <w:rFonts w:hint="eastAsia" w:ascii="宋体" w:hAnsi="宋体"/>
                <w:sz w:val="16"/>
                <w:lang w:eastAsia="zh-CN"/>
              </w:rPr>
              <w:t>地</w:t>
            </w:r>
            <w:r>
              <w:rPr>
                <w:rFonts w:ascii="宋体" w:hAnsi="宋体" w:eastAsia="宋体"/>
                <w:sz w:val="16"/>
              </w:rPr>
              <w:t>缓解了困难家庭的燃眉之急，解决其生产生活、子女上学等方面的困难。</w:t>
            </w:r>
          </w:p>
        </w:tc>
      </w:tr>
      <w:tr w14:paraId="5EAFC4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31A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FB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31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D9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21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9D5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74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F4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68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69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93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90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7B79">
            <w:pPr>
              <w:jc w:val="center"/>
            </w:pPr>
            <w:r>
              <w:rPr>
                <w:rFonts w:ascii="宋体" w:hAnsi="宋体" w:eastAsia="宋体"/>
                <w:sz w:val="16"/>
              </w:rPr>
              <w:t>偏差原因分析及改进措施</w:t>
            </w:r>
          </w:p>
        </w:tc>
      </w:tr>
      <w:tr w14:paraId="49AF6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3C8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13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DB2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CC5E">
            <w:pPr>
              <w:jc w:val="center"/>
            </w:pPr>
            <w:r>
              <w:rPr>
                <w:rFonts w:ascii="宋体" w:hAnsi="宋体" w:eastAsia="宋体"/>
                <w:sz w:val="16"/>
              </w:rPr>
              <w:t>访问困难家庭户次数（次）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5C8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D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028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B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4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6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BFC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A1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3742">
            <w:pPr>
              <w:jc w:val="center"/>
            </w:pPr>
          </w:p>
        </w:tc>
      </w:tr>
      <w:tr w14:paraId="51967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66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CD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47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AA72">
            <w:pPr>
              <w:jc w:val="center"/>
            </w:pPr>
            <w:r>
              <w:rPr>
                <w:rFonts w:ascii="宋体" w:hAnsi="宋体" w:eastAsia="宋体"/>
                <w:sz w:val="16"/>
              </w:rPr>
              <w:t>开展群众活动次数（次）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B68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D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B16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C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C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15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DBC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4F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A4817">
            <w:pPr>
              <w:jc w:val="center"/>
            </w:pPr>
          </w:p>
        </w:tc>
      </w:tr>
      <w:tr w14:paraId="6C7B0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5D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8A4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AF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0A4D">
            <w:pPr>
              <w:jc w:val="center"/>
            </w:pPr>
            <w:r>
              <w:rPr>
                <w:rFonts w:ascii="宋体" w:hAnsi="宋体" w:eastAsia="宋体"/>
                <w:sz w:val="16"/>
              </w:rPr>
              <w:t>购买办公用品（次）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9A7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6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AC0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7D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7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5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F99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EF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48E4">
            <w:pPr>
              <w:jc w:val="center"/>
            </w:pPr>
          </w:p>
        </w:tc>
      </w:tr>
      <w:tr w14:paraId="5BB68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C8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487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FC0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75D3">
            <w:pPr>
              <w:jc w:val="center"/>
            </w:pPr>
            <w:r>
              <w:rPr>
                <w:rFonts w:ascii="宋体" w:hAnsi="宋体" w:eastAsia="宋体"/>
                <w:sz w:val="16"/>
              </w:rPr>
              <w:t>开展活动覆盖率（%）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8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8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E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2A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E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B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1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EC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2C91B">
            <w:pPr>
              <w:jc w:val="center"/>
            </w:pPr>
          </w:p>
        </w:tc>
      </w:tr>
      <w:tr w14:paraId="52B51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1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C9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C6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9AAA">
            <w:pPr>
              <w:jc w:val="center"/>
            </w:pPr>
            <w:r>
              <w:rPr>
                <w:rFonts w:ascii="宋体" w:hAnsi="宋体" w:eastAsia="宋体"/>
                <w:sz w:val="16"/>
              </w:rPr>
              <w:t>购买办公用品质量验收合格率（%）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6E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B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1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A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6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1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F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6B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41EB">
            <w:pPr>
              <w:jc w:val="center"/>
            </w:pPr>
          </w:p>
        </w:tc>
      </w:tr>
      <w:tr w14:paraId="4799C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2E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037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3EB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B12C">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4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D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5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91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3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D7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8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B1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967A">
            <w:pPr>
              <w:jc w:val="center"/>
            </w:pPr>
          </w:p>
        </w:tc>
      </w:tr>
      <w:tr w14:paraId="5A7E0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0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70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1A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8195">
            <w:pPr>
              <w:jc w:val="center"/>
            </w:pPr>
            <w:r>
              <w:rPr>
                <w:rFonts w:ascii="宋体" w:hAnsi="宋体" w:eastAsia="宋体"/>
                <w:sz w:val="16"/>
              </w:rPr>
              <w:t>访问困难家庭户及时率（%）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6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8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36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0E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B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10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C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15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1931E">
            <w:pPr>
              <w:jc w:val="center"/>
            </w:pPr>
          </w:p>
        </w:tc>
      </w:tr>
      <w:tr w14:paraId="59A02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B3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0B6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F7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AF73">
            <w:pPr>
              <w:jc w:val="center"/>
            </w:pPr>
            <w:r>
              <w:rPr>
                <w:rFonts w:ascii="宋体" w:hAnsi="宋体" w:eastAsia="宋体"/>
                <w:sz w:val="16"/>
              </w:rPr>
              <w:t>访问困难家庭户（万元）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C2EA">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D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795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06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30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84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E251">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C7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62968">
            <w:pPr>
              <w:jc w:val="center"/>
            </w:pPr>
          </w:p>
        </w:tc>
      </w:tr>
      <w:tr w14:paraId="6C811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4D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A2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0F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8BDC">
            <w:pPr>
              <w:jc w:val="center"/>
            </w:pPr>
            <w:r>
              <w:rPr>
                <w:rFonts w:ascii="宋体" w:hAnsi="宋体" w:eastAsia="宋体"/>
                <w:sz w:val="16"/>
              </w:rPr>
              <w:t>开展群众活动经费（万元）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554A">
            <w:pPr>
              <w:jc w:val="center"/>
            </w:pPr>
            <w:r>
              <w:rPr>
                <w:rFonts w:ascii="宋体" w:hAnsi="宋体" w:eastAsia="宋体"/>
                <w:sz w:val="16"/>
              </w:rPr>
              <w:t>&lt;=9.65万元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A8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752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78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7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7A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3E60">
            <w:pPr>
              <w:jc w:val="center"/>
            </w:pPr>
            <w:r>
              <w:rPr>
                <w:rFonts w:ascii="宋体" w:hAnsi="宋体" w:eastAsia="宋体"/>
                <w:sz w:val="16"/>
              </w:rPr>
              <w:t>=9.65万元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CC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C74AE">
            <w:pPr>
              <w:jc w:val="center"/>
            </w:pPr>
          </w:p>
        </w:tc>
      </w:tr>
      <w:tr w14:paraId="1EF41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C6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3F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92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60AF">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4B49">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0B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9670">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49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0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A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7BD5">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273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DB3B">
            <w:pPr>
              <w:jc w:val="center"/>
            </w:pPr>
          </w:p>
        </w:tc>
      </w:tr>
      <w:tr w14:paraId="3F430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2A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E6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C0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4296">
            <w:pPr>
              <w:jc w:val="center"/>
            </w:pPr>
            <w:r>
              <w:rPr>
                <w:rFonts w:ascii="宋体" w:hAnsi="宋体" w:eastAsia="宋体"/>
                <w:sz w:val="16"/>
              </w:rPr>
              <w:t>基层工作生活保障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C2E7">
            <w:pPr>
              <w:jc w:val="center"/>
            </w:pPr>
            <w:r>
              <w:rPr>
                <w:rFonts w:ascii="宋体" w:hAnsi="宋体" w:eastAsia="宋体"/>
                <w:sz w:val="16"/>
              </w:rPr>
              <w:t>基层工作生活保障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8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068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6D6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1C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B5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6E3D">
            <w:pPr>
              <w:jc w:val="center"/>
            </w:pPr>
            <w:r>
              <w:rPr>
                <w:rFonts w:ascii="宋体" w:hAnsi="宋体" w:eastAsia="宋体"/>
                <w:sz w:val="16"/>
              </w:rPr>
              <w:t>基层工作生活保障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41E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7FD8">
            <w:pPr>
              <w:jc w:val="center"/>
            </w:pPr>
          </w:p>
        </w:tc>
      </w:tr>
      <w:tr w14:paraId="29FDD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FF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B3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5C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CA4A">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25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D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17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A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8A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8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E2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45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6A06">
            <w:pPr>
              <w:jc w:val="center"/>
            </w:pPr>
          </w:p>
        </w:tc>
      </w:tr>
      <w:tr w14:paraId="6BCC1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79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AB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6B9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BB41B9">
            <w:pPr>
              <w:jc w:val="center"/>
            </w:pPr>
            <w:r>
              <w:rPr>
                <w:rFonts w:ascii="宋体" w:hAnsi="宋体" w:eastAsia="宋体"/>
                <w:sz w:val="16"/>
              </w:rPr>
              <w:t>100分</w:t>
            </w:r>
          </w:p>
        </w:tc>
      </w:tr>
    </w:tbl>
    <w:p w14:paraId="2CB190A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6"/>
        <w:gridCol w:w="626"/>
        <w:gridCol w:w="626"/>
        <w:gridCol w:w="696"/>
        <w:gridCol w:w="630"/>
        <w:gridCol w:w="618"/>
        <w:gridCol w:w="630"/>
      </w:tblGrid>
      <w:tr w14:paraId="40E2EDBC">
        <w:tblPrEx>
          <w:tblCellMar>
            <w:top w:w="0" w:type="dxa"/>
            <w:left w:w="108" w:type="dxa"/>
            <w:bottom w:w="0" w:type="dxa"/>
            <w:right w:w="108" w:type="dxa"/>
          </w:tblCellMar>
        </w:tblPrEx>
        <w:tc>
          <w:tcPr>
            <w:tcW w:w="8848" w:type="dxa"/>
            <w:gridSpan w:val="14"/>
            <w:vAlign w:val="center"/>
          </w:tcPr>
          <w:p w14:paraId="2C32E48D">
            <w:pPr>
              <w:jc w:val="center"/>
            </w:pPr>
            <w:r>
              <w:rPr>
                <w:rFonts w:ascii="宋体" w:hAnsi="宋体" w:eastAsia="宋体"/>
                <w:sz w:val="24"/>
              </w:rPr>
              <w:t>项目支出绩效自评表</w:t>
            </w:r>
          </w:p>
        </w:tc>
      </w:tr>
      <w:tr w14:paraId="5B213839">
        <w:tblPrEx>
          <w:tblCellMar>
            <w:top w:w="0" w:type="dxa"/>
            <w:left w:w="108" w:type="dxa"/>
            <w:bottom w:w="0" w:type="dxa"/>
            <w:right w:w="108" w:type="dxa"/>
          </w:tblCellMar>
        </w:tblPrEx>
        <w:tc>
          <w:tcPr>
            <w:tcW w:w="8848" w:type="dxa"/>
            <w:gridSpan w:val="14"/>
            <w:vAlign w:val="center"/>
          </w:tcPr>
          <w:p w14:paraId="2E119D33">
            <w:pPr>
              <w:jc w:val="center"/>
            </w:pPr>
            <w:r>
              <w:rPr>
                <w:rFonts w:ascii="宋体" w:hAnsi="宋体" w:eastAsia="宋体"/>
                <w:sz w:val="24"/>
              </w:rPr>
              <w:t>(2024年度)</w:t>
            </w:r>
          </w:p>
        </w:tc>
      </w:tr>
      <w:tr w14:paraId="35AF0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CF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596C55">
            <w:pPr>
              <w:jc w:val="center"/>
            </w:pPr>
            <w:r>
              <w:rPr>
                <w:rFonts w:ascii="宋体" w:hAnsi="宋体" w:eastAsia="宋体"/>
                <w:sz w:val="16"/>
              </w:rPr>
              <w:t>2024年预计拨入其他资金账户项目</w:t>
            </w:r>
          </w:p>
        </w:tc>
      </w:tr>
      <w:tr w14:paraId="67D197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EC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B4940">
            <w:pPr>
              <w:jc w:val="center"/>
            </w:pPr>
            <w:r>
              <w:rPr>
                <w:rFonts w:ascii="宋体" w:hAnsi="宋体" w:eastAsia="宋体"/>
                <w:sz w:val="16"/>
              </w:rPr>
              <w:t>克孜勒苏柯尔克孜自治州人民政府外事办公室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1D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C08D9">
            <w:pPr>
              <w:jc w:val="center"/>
            </w:pPr>
            <w:r>
              <w:rPr>
                <w:rFonts w:ascii="宋体" w:hAnsi="宋体" w:eastAsia="宋体"/>
                <w:sz w:val="16"/>
              </w:rPr>
              <w:t>克孜勒苏柯尔克孜自治州人民政府外事办公室</w:t>
            </w:r>
          </w:p>
        </w:tc>
      </w:tr>
      <w:tr w14:paraId="6DA3BE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1BD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249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E0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E4C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C3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B36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E58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6BC2">
            <w:pPr>
              <w:jc w:val="center"/>
            </w:pPr>
            <w:r>
              <w:rPr>
                <w:rFonts w:ascii="宋体" w:hAnsi="宋体" w:eastAsia="宋体"/>
                <w:sz w:val="16"/>
              </w:rPr>
              <w:t>得分</w:t>
            </w:r>
          </w:p>
        </w:tc>
      </w:tr>
      <w:tr w14:paraId="5B20A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B1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2C47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5371F">
            <w:pPr>
              <w:jc w:val="center"/>
            </w:pPr>
            <w:r>
              <w:rPr>
                <w:rFonts w:ascii="宋体" w:hAnsi="宋体" w:eastAsia="宋体"/>
                <w:sz w:val="16"/>
              </w:rPr>
              <w:t>89.67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66BB">
            <w:pPr>
              <w:jc w:val="center"/>
            </w:pPr>
            <w:r>
              <w:rPr>
                <w:rFonts w:ascii="宋体" w:hAnsi="宋体" w:eastAsia="宋体"/>
                <w:sz w:val="16"/>
              </w:rPr>
              <w:t>52.04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80904">
            <w:pPr>
              <w:jc w:val="center"/>
            </w:pPr>
            <w:r>
              <w:rPr>
                <w:rFonts w:ascii="宋体" w:hAnsi="宋体" w:eastAsia="宋体"/>
                <w:sz w:val="16"/>
              </w:rPr>
              <w:t>44.74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43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13205">
            <w:pPr>
              <w:jc w:val="center"/>
            </w:pPr>
            <w:r>
              <w:rPr>
                <w:rFonts w:ascii="宋体" w:hAnsi="宋体" w:eastAsia="宋体"/>
                <w:sz w:val="16"/>
              </w:rPr>
              <w:t>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29F1">
            <w:pPr>
              <w:jc w:val="center"/>
            </w:pPr>
            <w:r>
              <w:rPr>
                <w:rFonts w:ascii="宋体" w:hAnsi="宋体" w:eastAsia="宋体"/>
                <w:sz w:val="16"/>
              </w:rPr>
              <w:t>6.49分</w:t>
            </w:r>
          </w:p>
        </w:tc>
      </w:tr>
      <w:tr w14:paraId="26089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74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B9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A7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DF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45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02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7FB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96B5">
            <w:pPr>
              <w:jc w:val="center"/>
            </w:pPr>
            <w:r>
              <w:rPr>
                <w:rFonts w:ascii="宋体" w:hAnsi="宋体" w:eastAsia="宋体"/>
                <w:sz w:val="16"/>
              </w:rPr>
              <w:t>—</w:t>
            </w:r>
          </w:p>
        </w:tc>
      </w:tr>
      <w:tr w14:paraId="6A777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A09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9E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6DA6">
            <w:pPr>
              <w:jc w:val="center"/>
            </w:pPr>
            <w:r>
              <w:rPr>
                <w:rFonts w:ascii="宋体" w:hAnsi="宋体" w:eastAsia="宋体"/>
                <w:sz w:val="16"/>
              </w:rPr>
              <w:t>89.67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E44D4">
            <w:pPr>
              <w:jc w:val="center"/>
            </w:pPr>
            <w:r>
              <w:rPr>
                <w:rFonts w:ascii="宋体" w:hAnsi="宋体" w:eastAsia="宋体"/>
                <w:sz w:val="16"/>
              </w:rPr>
              <w:t>52.04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EB39">
            <w:pPr>
              <w:jc w:val="center"/>
            </w:pPr>
            <w:r>
              <w:rPr>
                <w:rFonts w:ascii="宋体" w:hAnsi="宋体" w:eastAsia="宋体"/>
                <w:sz w:val="16"/>
              </w:rPr>
              <w:t>44.74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EE5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A14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6DAB">
            <w:pPr>
              <w:jc w:val="center"/>
            </w:pPr>
            <w:r>
              <w:rPr>
                <w:rFonts w:ascii="宋体" w:hAnsi="宋体" w:eastAsia="宋体"/>
                <w:sz w:val="16"/>
              </w:rPr>
              <w:t>—</w:t>
            </w:r>
          </w:p>
        </w:tc>
      </w:tr>
      <w:tr w14:paraId="5F73C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011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04D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8B53C5">
            <w:pPr>
              <w:jc w:val="center"/>
            </w:pPr>
            <w:r>
              <w:rPr>
                <w:rFonts w:ascii="宋体" w:hAnsi="宋体" w:eastAsia="宋体"/>
                <w:sz w:val="16"/>
              </w:rPr>
              <w:t>实际完成情况</w:t>
            </w:r>
          </w:p>
        </w:tc>
      </w:tr>
      <w:tr w14:paraId="07A54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546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C5C4D3">
            <w:pPr>
              <w:jc w:val="both"/>
            </w:pPr>
            <w:r>
              <w:rPr>
                <w:rFonts w:ascii="宋体" w:hAnsi="宋体" w:eastAsia="宋体"/>
                <w:sz w:val="16"/>
              </w:rPr>
              <w:t>该项目总投资52.04万元，其中：财政资金0万元，其他资金52.04万元，根据自治州相关工作要求，主要用于做好边界日常维护工作，联合克孜勒苏分区、365团、边境管理支队，全面掌握全州172个界碑（桩）及上界路情况；协同三县一市外办开展边界巡查调研,完成相关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D47F9">
            <w:pPr>
              <w:jc w:val="both"/>
            </w:pPr>
            <w:r>
              <w:rPr>
                <w:rFonts w:ascii="宋体" w:hAnsi="宋体" w:eastAsia="宋体"/>
                <w:sz w:val="16"/>
              </w:rPr>
              <w:t>截至2024年12月31日，已完成：边界日常维护次数28次，边界巡查调研28次，开展侨联侨眷慰问次数1次，通过该项目的实施，边界日常维护工作稳步推进，全面掌握全州172个界碑（桩）及上界路情况；协同三县一市外办开展边界巡查调研,完成相关任务。</w:t>
            </w:r>
          </w:p>
        </w:tc>
      </w:tr>
      <w:tr w14:paraId="4181C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538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4A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E9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3E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4B6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4F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C6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F2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F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4C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04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D6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6F41">
            <w:pPr>
              <w:jc w:val="center"/>
            </w:pPr>
            <w:r>
              <w:rPr>
                <w:rFonts w:ascii="宋体" w:hAnsi="宋体" w:eastAsia="宋体"/>
                <w:sz w:val="16"/>
              </w:rPr>
              <w:t>偏差原因分析及改进措施</w:t>
            </w:r>
          </w:p>
        </w:tc>
      </w:tr>
      <w:tr w14:paraId="2F9470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570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221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E20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9AD3">
            <w:pPr>
              <w:jc w:val="center"/>
            </w:pPr>
            <w:r>
              <w:rPr>
                <w:rFonts w:ascii="宋体" w:hAnsi="宋体" w:eastAsia="宋体"/>
                <w:sz w:val="16"/>
              </w:rPr>
              <w:t>边界日常维护次数（次）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B807">
            <w:pPr>
              <w:jc w:val="center"/>
            </w:pPr>
            <w:r>
              <w:rPr>
                <w:rFonts w:ascii="宋体" w:hAnsi="宋体" w:eastAsia="宋体"/>
                <w:sz w:val="16"/>
              </w:rPr>
              <w:t>&gt;=28次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A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B5E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0C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0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D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5167">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F4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2BE1D">
            <w:pPr>
              <w:jc w:val="center"/>
            </w:pPr>
          </w:p>
        </w:tc>
      </w:tr>
      <w:tr w14:paraId="14082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3B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EA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A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D572">
            <w:pPr>
              <w:jc w:val="center"/>
            </w:pPr>
            <w:r>
              <w:rPr>
                <w:rFonts w:ascii="宋体" w:hAnsi="宋体" w:eastAsia="宋体"/>
                <w:sz w:val="16"/>
              </w:rPr>
              <w:t>边界巡查调研（次）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4C8">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B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1E2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01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8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9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3B28">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F9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1E2E">
            <w:pPr>
              <w:jc w:val="center"/>
            </w:pPr>
          </w:p>
        </w:tc>
      </w:tr>
      <w:tr w14:paraId="3A10E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5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12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0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016A">
            <w:pPr>
              <w:jc w:val="center"/>
            </w:pPr>
            <w:r>
              <w:rPr>
                <w:rFonts w:ascii="宋体" w:hAnsi="宋体" w:eastAsia="宋体"/>
                <w:sz w:val="16"/>
              </w:rPr>
              <w:t>开展侨联侨眷慰问次数（次）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954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A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2FB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47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E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4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999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24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C7D6C">
            <w:pPr>
              <w:jc w:val="center"/>
            </w:pPr>
          </w:p>
        </w:tc>
      </w:tr>
      <w:tr w14:paraId="7958A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C7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8E3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381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080A">
            <w:pPr>
              <w:jc w:val="center"/>
            </w:pPr>
            <w:r>
              <w:rPr>
                <w:rFonts w:ascii="宋体" w:hAnsi="宋体" w:eastAsia="宋体"/>
                <w:sz w:val="16"/>
              </w:rPr>
              <w:t>踏查联检界碑（桩）覆盖率(%)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3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B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A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10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0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B2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6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1F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EF9B">
            <w:pPr>
              <w:jc w:val="center"/>
            </w:pPr>
          </w:p>
        </w:tc>
      </w:tr>
      <w:tr w14:paraId="15395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3C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0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3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B765">
            <w:pPr>
              <w:jc w:val="center"/>
            </w:pPr>
            <w:r>
              <w:rPr>
                <w:rFonts w:ascii="宋体" w:hAnsi="宋体" w:eastAsia="宋体"/>
                <w:sz w:val="16"/>
              </w:rPr>
              <w:t>开展巡查覆盖率（%）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6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9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9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C3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6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F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D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21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4E7D">
            <w:pPr>
              <w:jc w:val="center"/>
            </w:pPr>
          </w:p>
        </w:tc>
      </w:tr>
      <w:tr w14:paraId="28EB1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4C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CD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BD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A430">
            <w:pPr>
              <w:jc w:val="center"/>
            </w:pPr>
            <w:r>
              <w:rPr>
                <w:rFonts w:ascii="宋体" w:hAnsi="宋体" w:eastAsia="宋体"/>
                <w:sz w:val="16"/>
              </w:rPr>
              <w:t>开展侨联侨眷慰问群众覆盖率（%）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9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C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A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5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3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D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B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D9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82773">
            <w:pPr>
              <w:jc w:val="center"/>
            </w:pPr>
          </w:p>
        </w:tc>
      </w:tr>
      <w:tr w14:paraId="61BF8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E1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559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2DB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242E">
            <w:pPr>
              <w:jc w:val="center"/>
            </w:pPr>
            <w:r>
              <w:rPr>
                <w:rFonts w:ascii="宋体" w:hAnsi="宋体" w:eastAsia="宋体"/>
                <w:sz w:val="16"/>
              </w:rPr>
              <w:t>巡查活动开展及时率（%）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3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9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0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E7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25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1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A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42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AE68">
            <w:pPr>
              <w:jc w:val="center"/>
            </w:pPr>
          </w:p>
        </w:tc>
      </w:tr>
      <w:tr w14:paraId="7275E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B4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FC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1CD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E7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1DA5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2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6D4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8B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11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D9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0F9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6F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3515">
            <w:pPr>
              <w:jc w:val="center"/>
            </w:pPr>
          </w:p>
        </w:tc>
      </w:tr>
      <w:tr w14:paraId="069D66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7B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9D8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849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6723">
            <w:pPr>
              <w:jc w:val="center"/>
            </w:pPr>
            <w:r>
              <w:rPr>
                <w:rFonts w:ascii="宋体" w:hAnsi="宋体" w:eastAsia="宋体"/>
                <w:sz w:val="16"/>
              </w:rPr>
              <w:t>边界日常维护经费（万元）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8946">
            <w:pPr>
              <w:jc w:val="center"/>
            </w:pPr>
            <w:r>
              <w:rPr>
                <w:rFonts w:ascii="宋体" w:hAnsi="宋体" w:eastAsia="宋体"/>
                <w:sz w:val="16"/>
              </w:rPr>
              <w:t>&lt;=39.62万元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58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B9040">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F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7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7B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DB9A">
            <w:pPr>
              <w:jc w:val="center"/>
            </w:pPr>
            <w:r>
              <w:rPr>
                <w:rFonts w:ascii="宋体" w:hAnsi="宋体" w:eastAsia="宋体"/>
                <w:sz w:val="16"/>
              </w:rPr>
              <w:t>=39.62万元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7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AC514">
            <w:pPr>
              <w:jc w:val="center"/>
            </w:pPr>
          </w:p>
        </w:tc>
      </w:tr>
      <w:tr w14:paraId="4B816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1E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DD0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ED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A969">
            <w:pPr>
              <w:jc w:val="center"/>
            </w:pPr>
            <w:r>
              <w:rPr>
                <w:rFonts w:ascii="宋体" w:hAnsi="宋体" w:eastAsia="宋体"/>
                <w:sz w:val="16"/>
              </w:rPr>
              <w:t>侨联侨眷慰问经费（万元）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FA8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C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00B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FD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B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D0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71F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19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03F03">
            <w:pPr>
              <w:jc w:val="center"/>
            </w:pPr>
          </w:p>
        </w:tc>
      </w:tr>
      <w:tr w14:paraId="4671E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6D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CF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22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E8E7">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1665">
            <w:pPr>
              <w:jc w:val="center"/>
            </w:pPr>
            <w:r>
              <w:rPr>
                <w:rFonts w:ascii="宋体" w:hAnsi="宋体" w:eastAsia="宋体"/>
                <w:sz w:val="16"/>
              </w:rPr>
              <w:t>&lt;=11.42万元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DC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A3FE">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26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D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FE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980E">
            <w:pPr>
              <w:jc w:val="center"/>
            </w:pPr>
            <w:r>
              <w:rPr>
                <w:rFonts w:ascii="宋体" w:hAnsi="宋体" w:eastAsia="宋体"/>
                <w:sz w:val="16"/>
              </w:rPr>
              <w:t>=4.12万元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EC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5670">
            <w:pPr>
              <w:jc w:val="center"/>
            </w:pPr>
            <w:r>
              <w:rPr>
                <w:rFonts w:ascii="宋体" w:hAnsi="宋体" w:eastAsia="宋体"/>
                <w:sz w:val="16"/>
              </w:rPr>
              <w:t>偏差原因：组织部于年底拨入柔性引才专项经费，当时已扎</w:t>
            </w:r>
            <w:r>
              <w:rPr>
                <w:rFonts w:hint="eastAsia" w:ascii="宋体" w:hAnsi="宋体"/>
                <w:sz w:val="16"/>
                <w:lang w:eastAsia="zh-CN"/>
              </w:rPr>
              <w:t>账</w:t>
            </w:r>
            <w:r>
              <w:rPr>
                <w:rFonts w:ascii="宋体" w:hAnsi="宋体" w:eastAsia="宋体"/>
                <w:sz w:val="16"/>
              </w:rPr>
              <w:t>，无法及时支出。改进措施：合理编制年度计划，根据年度计划安排及时支出。</w:t>
            </w:r>
          </w:p>
        </w:tc>
      </w:tr>
      <w:tr w14:paraId="47EC2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A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A9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6E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88B2">
            <w:pPr>
              <w:jc w:val="center"/>
            </w:pPr>
            <w:r>
              <w:rPr>
                <w:rFonts w:ascii="宋体" w:hAnsi="宋体" w:eastAsia="宋体"/>
                <w:sz w:val="16"/>
              </w:rPr>
              <w:t>基层工作开展保障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C10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0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3A2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68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96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1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99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2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BCA3">
            <w:pPr>
              <w:jc w:val="center"/>
            </w:pPr>
          </w:p>
        </w:tc>
      </w:tr>
      <w:tr w14:paraId="37B08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EF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858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0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27DB">
            <w:pPr>
              <w:jc w:val="center"/>
            </w:pPr>
            <w:r>
              <w:rPr>
                <w:rFonts w:ascii="宋体" w:hAnsi="宋体" w:eastAsia="宋体"/>
                <w:sz w:val="16"/>
              </w:rPr>
              <w:t>受益边民、侨眷满意度（%）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2A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97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2E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0F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90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D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E1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1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7086">
            <w:pPr>
              <w:jc w:val="center"/>
            </w:pPr>
          </w:p>
        </w:tc>
      </w:tr>
      <w:tr w14:paraId="67DCF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5F6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9FD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83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FF6E33">
            <w:pPr>
              <w:jc w:val="center"/>
            </w:pPr>
            <w:r>
              <w:rPr>
                <w:rFonts w:ascii="宋体" w:hAnsi="宋体" w:eastAsia="宋体"/>
                <w:sz w:val="16"/>
              </w:rPr>
              <w:t>91.49分</w:t>
            </w:r>
          </w:p>
        </w:tc>
      </w:tr>
    </w:tbl>
    <w:p w14:paraId="58FF1D9F">
      <w:r>
        <w:br w:type="page"/>
      </w:r>
    </w:p>
    <w:p w14:paraId="6D64013D">
      <w:pPr>
        <w:spacing w:line="640" w:lineRule="exact"/>
        <w:ind w:firstLine="640"/>
        <w:jc w:val="both"/>
        <w:outlineLvl w:val="2"/>
      </w:pPr>
      <w:r>
        <w:rPr>
          <w:rFonts w:ascii="黑体" w:hAnsi="黑体" w:eastAsia="黑体"/>
          <w:sz w:val="32"/>
        </w:rPr>
        <w:t>十二、其他需说明的事项</w:t>
      </w:r>
    </w:p>
    <w:p w14:paraId="19DA9965">
      <w:pPr>
        <w:spacing w:line="580" w:lineRule="exact"/>
        <w:ind w:firstLine="640"/>
        <w:jc w:val="both"/>
      </w:pPr>
      <w:r>
        <w:rPr>
          <w:rFonts w:ascii="仿宋_GB2312" w:hAnsi="仿宋_GB2312" w:eastAsia="仿宋_GB2312"/>
          <w:b w:val="0"/>
          <w:sz w:val="32"/>
        </w:rPr>
        <w:t>本单位无其他需说明的事项。</w:t>
      </w:r>
    </w:p>
    <w:p w14:paraId="7BE0E8DA">
      <w:r>
        <w:br w:type="page"/>
      </w:r>
    </w:p>
    <w:p w14:paraId="0C8C5CA6">
      <w:pPr>
        <w:spacing w:line="240" w:lineRule="auto"/>
        <w:jc w:val="center"/>
        <w:outlineLvl w:val="1"/>
      </w:pPr>
      <w:r>
        <w:rPr>
          <w:rFonts w:ascii="黑体" w:hAnsi="黑体" w:eastAsia="黑体"/>
          <w:sz w:val="32"/>
        </w:rPr>
        <w:t>第三部分 专业名词解释</w:t>
      </w:r>
    </w:p>
    <w:p w14:paraId="23A99F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09B63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94D92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A1FE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5FD988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F7B7D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E765E9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33BC5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224C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4D60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50BE3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EB2DF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B15E1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A9F2B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3C2E4A">
      <w:r>
        <w:br w:type="page"/>
      </w:r>
    </w:p>
    <w:p w14:paraId="2B26A2F2">
      <w:pPr>
        <w:spacing w:line="240" w:lineRule="auto"/>
        <w:jc w:val="center"/>
        <w:outlineLvl w:val="1"/>
      </w:pPr>
      <w:r>
        <w:rPr>
          <w:rFonts w:ascii="黑体" w:hAnsi="黑体" w:eastAsia="黑体"/>
          <w:sz w:val="32"/>
        </w:rPr>
        <w:t>第四部分 部门决算报表（见附表）</w:t>
      </w:r>
    </w:p>
    <w:p w14:paraId="730A22C2">
      <w:pPr>
        <w:spacing w:line="240" w:lineRule="auto"/>
        <w:ind w:firstLine="640"/>
        <w:jc w:val="both"/>
      </w:pPr>
      <w:r>
        <w:rPr>
          <w:rFonts w:ascii="仿宋_GB2312" w:hAnsi="仿宋_GB2312" w:eastAsia="仿宋_GB2312"/>
          <w:b w:val="0"/>
          <w:sz w:val="32"/>
        </w:rPr>
        <w:t>一、《收入支出决算总表》</w:t>
      </w:r>
    </w:p>
    <w:p w14:paraId="296F74B2">
      <w:pPr>
        <w:spacing w:line="240" w:lineRule="auto"/>
        <w:ind w:firstLine="640"/>
        <w:jc w:val="both"/>
      </w:pPr>
      <w:r>
        <w:rPr>
          <w:rFonts w:ascii="仿宋_GB2312" w:hAnsi="仿宋_GB2312" w:eastAsia="仿宋_GB2312"/>
          <w:b w:val="0"/>
          <w:sz w:val="32"/>
        </w:rPr>
        <w:t>二、《收入决算表》</w:t>
      </w:r>
    </w:p>
    <w:p w14:paraId="58510ECE">
      <w:pPr>
        <w:spacing w:line="240" w:lineRule="auto"/>
        <w:ind w:firstLine="640"/>
        <w:jc w:val="both"/>
      </w:pPr>
      <w:r>
        <w:rPr>
          <w:rFonts w:ascii="仿宋_GB2312" w:hAnsi="仿宋_GB2312" w:eastAsia="仿宋_GB2312"/>
          <w:b w:val="0"/>
          <w:sz w:val="32"/>
        </w:rPr>
        <w:t>三、《支出决算表》</w:t>
      </w:r>
    </w:p>
    <w:p w14:paraId="7E901B85">
      <w:pPr>
        <w:spacing w:line="240" w:lineRule="auto"/>
        <w:ind w:firstLine="640"/>
        <w:jc w:val="both"/>
      </w:pPr>
      <w:r>
        <w:rPr>
          <w:rFonts w:ascii="仿宋_GB2312" w:hAnsi="仿宋_GB2312" w:eastAsia="仿宋_GB2312"/>
          <w:b w:val="0"/>
          <w:sz w:val="32"/>
        </w:rPr>
        <w:t>四、《财政拨款收入支出决算总表》</w:t>
      </w:r>
    </w:p>
    <w:p w14:paraId="5D9CF33B">
      <w:pPr>
        <w:spacing w:line="240" w:lineRule="auto"/>
        <w:ind w:firstLine="640"/>
        <w:jc w:val="both"/>
      </w:pPr>
      <w:r>
        <w:rPr>
          <w:rFonts w:ascii="仿宋_GB2312" w:hAnsi="仿宋_GB2312" w:eastAsia="仿宋_GB2312"/>
          <w:b w:val="0"/>
          <w:sz w:val="32"/>
        </w:rPr>
        <w:t>五、《一般公共预算财政拨款支出决算表》</w:t>
      </w:r>
    </w:p>
    <w:p w14:paraId="7193D31B">
      <w:pPr>
        <w:spacing w:line="240" w:lineRule="auto"/>
        <w:ind w:firstLine="640"/>
        <w:jc w:val="both"/>
      </w:pPr>
      <w:r>
        <w:rPr>
          <w:rFonts w:ascii="仿宋_GB2312" w:hAnsi="仿宋_GB2312" w:eastAsia="仿宋_GB2312"/>
          <w:b w:val="0"/>
          <w:sz w:val="32"/>
        </w:rPr>
        <w:t>六、《一般公共预算财政拨款基本支出决算表》</w:t>
      </w:r>
    </w:p>
    <w:p w14:paraId="758237EC">
      <w:pPr>
        <w:spacing w:line="240" w:lineRule="auto"/>
        <w:ind w:firstLine="640"/>
        <w:jc w:val="both"/>
      </w:pPr>
      <w:r>
        <w:rPr>
          <w:rFonts w:ascii="仿宋_GB2312" w:hAnsi="仿宋_GB2312" w:eastAsia="仿宋_GB2312"/>
          <w:b w:val="0"/>
          <w:sz w:val="32"/>
        </w:rPr>
        <w:t>七、《政府性基金预算财政拨款收入支出决算表》</w:t>
      </w:r>
    </w:p>
    <w:p w14:paraId="275C252B">
      <w:pPr>
        <w:spacing w:line="240" w:lineRule="auto"/>
        <w:ind w:firstLine="640"/>
        <w:jc w:val="both"/>
      </w:pPr>
      <w:r>
        <w:rPr>
          <w:rFonts w:ascii="仿宋_GB2312" w:hAnsi="仿宋_GB2312" w:eastAsia="仿宋_GB2312"/>
          <w:b w:val="0"/>
          <w:sz w:val="32"/>
        </w:rPr>
        <w:t>八、《国有资本经营预算财政拨款收入支出决算表》</w:t>
      </w:r>
    </w:p>
    <w:p w14:paraId="05069FDE">
      <w:pPr>
        <w:spacing w:line="240" w:lineRule="auto"/>
        <w:ind w:firstLine="640"/>
        <w:jc w:val="both"/>
      </w:pPr>
      <w:r>
        <w:rPr>
          <w:rFonts w:ascii="仿宋_GB2312" w:hAnsi="仿宋_GB2312" w:eastAsia="仿宋_GB2312"/>
          <w:b w:val="0"/>
          <w:sz w:val="32"/>
        </w:rPr>
        <w:t>九、《财政拨款“三公”经费支出决算表》</w:t>
      </w:r>
    </w:p>
    <w:p w14:paraId="54BF3E2E">
      <w:pPr>
        <w:spacing w:line="240" w:lineRule="auto"/>
        <w:ind w:firstLine="640"/>
        <w:jc w:val="both"/>
      </w:pPr>
    </w:p>
    <w:p w14:paraId="5D9B2C9B">
      <w:pPr>
        <w:spacing w:line="240" w:lineRule="auto"/>
        <w:ind w:firstLine="640"/>
        <w:jc w:val="both"/>
      </w:pPr>
    </w:p>
    <w:p w14:paraId="097F84C3">
      <w:pPr>
        <w:spacing w:line="240" w:lineRule="auto"/>
        <w:ind w:firstLine="640"/>
        <w:jc w:val="both"/>
      </w:pPr>
    </w:p>
    <w:p w14:paraId="49F0DC10">
      <w:pPr>
        <w:spacing w:line="240" w:lineRule="auto"/>
        <w:ind w:firstLine="640"/>
        <w:jc w:val="both"/>
      </w:pPr>
    </w:p>
    <w:p w14:paraId="121061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4039D"/>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7B10D0"/>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7D29F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4464</Words>
  <Characters>5050</Characters>
  <Lines>0</Lines>
  <Paragraphs>0</Paragraphs>
  <TotalTime>4</TotalTime>
  <ScaleCrop>false</ScaleCrop>
  <LinksUpToDate>false</LinksUpToDate>
  <CharactersWithSpaces>5058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