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E2159"/>
    <w:p w14:paraId="57FC287F">
      <w:pPr>
        <w:spacing w:line="570" w:lineRule="exact"/>
        <w:jc w:val="center"/>
        <w:rPr>
          <w:rFonts w:ascii="华文中宋" w:hAnsi="华文中宋" w:eastAsia="华文中宋" w:cs="宋体"/>
          <w:b/>
          <w:kern w:val="0"/>
          <w:sz w:val="52"/>
          <w:szCs w:val="52"/>
        </w:rPr>
      </w:pPr>
    </w:p>
    <w:p w14:paraId="72329764">
      <w:pPr>
        <w:spacing w:line="570" w:lineRule="exact"/>
        <w:jc w:val="center"/>
        <w:rPr>
          <w:rFonts w:ascii="华文中宋" w:hAnsi="华文中宋" w:eastAsia="华文中宋" w:cs="宋体"/>
          <w:b/>
          <w:kern w:val="0"/>
          <w:sz w:val="52"/>
          <w:szCs w:val="52"/>
        </w:rPr>
      </w:pPr>
    </w:p>
    <w:p w14:paraId="33BBF9C7">
      <w:pPr>
        <w:spacing w:line="570" w:lineRule="exact"/>
        <w:jc w:val="center"/>
        <w:rPr>
          <w:rFonts w:ascii="华文中宋" w:hAnsi="华文中宋" w:eastAsia="华文中宋" w:cs="宋体"/>
          <w:b/>
          <w:kern w:val="0"/>
          <w:sz w:val="52"/>
          <w:szCs w:val="52"/>
        </w:rPr>
      </w:pPr>
    </w:p>
    <w:p w14:paraId="1A80AC79">
      <w:pPr>
        <w:spacing w:line="570" w:lineRule="exact"/>
        <w:jc w:val="center"/>
        <w:rPr>
          <w:rFonts w:ascii="华文中宋" w:hAnsi="华文中宋" w:eastAsia="华文中宋" w:cs="宋体"/>
          <w:b/>
          <w:kern w:val="0"/>
          <w:sz w:val="52"/>
          <w:szCs w:val="52"/>
        </w:rPr>
      </w:pPr>
    </w:p>
    <w:p w14:paraId="3BED081C">
      <w:pPr>
        <w:spacing w:line="570" w:lineRule="exact"/>
        <w:jc w:val="both"/>
        <w:rPr>
          <w:rFonts w:ascii="华文中宋" w:hAnsi="华文中宋" w:eastAsia="华文中宋" w:cs="宋体"/>
          <w:b/>
          <w:kern w:val="0"/>
          <w:sz w:val="52"/>
          <w:szCs w:val="52"/>
        </w:rPr>
      </w:pPr>
    </w:p>
    <w:p w14:paraId="411BBCD1">
      <w:pPr>
        <w:spacing w:line="570" w:lineRule="exact"/>
        <w:jc w:val="center"/>
        <w:rPr>
          <w:rFonts w:ascii="华文中宋" w:hAnsi="华文中宋" w:eastAsia="华文中宋" w:cs="宋体"/>
          <w:b/>
          <w:kern w:val="0"/>
          <w:sz w:val="52"/>
          <w:szCs w:val="52"/>
        </w:rPr>
      </w:pPr>
    </w:p>
    <w:p w14:paraId="3A67EB1A">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3BDF869">
      <w:pPr>
        <w:spacing w:line="570" w:lineRule="exact"/>
        <w:jc w:val="center"/>
        <w:rPr>
          <w:rFonts w:ascii="华文中宋" w:hAnsi="华文中宋" w:eastAsia="华文中宋" w:cs="宋体"/>
          <w:b/>
          <w:kern w:val="0"/>
          <w:sz w:val="52"/>
          <w:szCs w:val="52"/>
        </w:rPr>
      </w:pPr>
    </w:p>
    <w:p w14:paraId="3F22DFC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4B6AFB8">
      <w:pPr>
        <w:spacing w:line="570" w:lineRule="exact"/>
        <w:jc w:val="center"/>
        <w:rPr>
          <w:rFonts w:hAnsi="宋体" w:eastAsia="仿宋_GB2312" w:cs="宋体"/>
          <w:kern w:val="0"/>
          <w:sz w:val="30"/>
          <w:szCs w:val="30"/>
        </w:rPr>
      </w:pPr>
    </w:p>
    <w:p w14:paraId="69F47741">
      <w:pPr>
        <w:spacing w:line="570" w:lineRule="exact"/>
        <w:jc w:val="center"/>
        <w:rPr>
          <w:rFonts w:hAnsi="宋体" w:eastAsia="仿宋_GB2312" w:cs="宋体"/>
          <w:kern w:val="0"/>
          <w:sz w:val="30"/>
          <w:szCs w:val="30"/>
        </w:rPr>
      </w:pPr>
    </w:p>
    <w:p w14:paraId="59BC40E5">
      <w:pPr>
        <w:spacing w:line="570" w:lineRule="exact"/>
        <w:jc w:val="center"/>
        <w:rPr>
          <w:rFonts w:hAnsi="宋体" w:eastAsia="仿宋_GB2312" w:cs="宋体"/>
          <w:kern w:val="0"/>
          <w:sz w:val="30"/>
          <w:szCs w:val="30"/>
        </w:rPr>
      </w:pPr>
    </w:p>
    <w:p w14:paraId="78B96B3E">
      <w:pPr>
        <w:spacing w:line="570" w:lineRule="exact"/>
        <w:jc w:val="center"/>
        <w:rPr>
          <w:rFonts w:hAnsi="宋体" w:eastAsia="仿宋_GB2312" w:cs="宋体"/>
          <w:kern w:val="0"/>
          <w:sz w:val="30"/>
          <w:szCs w:val="30"/>
        </w:rPr>
      </w:pPr>
    </w:p>
    <w:p w14:paraId="4C78289D">
      <w:pPr>
        <w:spacing w:line="570" w:lineRule="exact"/>
        <w:jc w:val="center"/>
        <w:rPr>
          <w:rFonts w:hAnsi="宋体" w:eastAsia="仿宋_GB2312" w:cs="宋体"/>
          <w:kern w:val="0"/>
          <w:sz w:val="30"/>
          <w:szCs w:val="30"/>
        </w:rPr>
      </w:pPr>
    </w:p>
    <w:p w14:paraId="0F1190C6">
      <w:pPr>
        <w:spacing w:line="570" w:lineRule="exact"/>
        <w:jc w:val="center"/>
        <w:rPr>
          <w:rFonts w:hAnsi="宋体" w:eastAsia="仿宋_GB2312" w:cs="宋体"/>
          <w:kern w:val="0"/>
          <w:sz w:val="30"/>
          <w:szCs w:val="30"/>
        </w:rPr>
      </w:pPr>
    </w:p>
    <w:p w14:paraId="0B197BA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克州老年养护院建设项目</w:t>
      </w:r>
    </w:p>
    <w:p w14:paraId="17D90DC3">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克孜勒苏柯尔克孜自治州民政局</w:t>
      </w:r>
    </w:p>
    <w:p w14:paraId="43A7F59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克孜勒苏柯尔克孜自治州民政局</w:t>
      </w:r>
    </w:p>
    <w:p w14:paraId="217395A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赵超</w:t>
      </w:r>
    </w:p>
    <w:p w14:paraId="0D6D8AE0">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2025年04月24日</w:t>
      </w:r>
    </w:p>
    <w:p w14:paraId="0274802C">
      <w:pPr>
        <w:rPr>
          <w:rStyle w:val="19"/>
          <w:rFonts w:hint="eastAsia" w:ascii="仿宋" w:hAnsi="仿宋" w:eastAsia="仿宋" w:cs="仿宋"/>
          <w:b w:val="0"/>
          <w:bCs w:val="0"/>
          <w:spacing w:val="-4"/>
          <w:sz w:val="32"/>
          <w:szCs w:val="32"/>
        </w:rPr>
      </w:pPr>
      <w:r>
        <w:br w:type="page"/>
      </w:r>
    </w:p>
    <w:p w14:paraId="3EF2293C">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CCDABED">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06AC1D3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克州老年养护院建设项目实施前期、过程及效果，评价财政预算资金使用的效率及效益。我国社会养老服务体系建设仍然处于起步阶段，还存在着与新形势、新任务、新需求不相适应的问题,如缺乏统筹规划，体系 建设缺乏整体性和连续性；社区养老服务和养老机构床位严重不足，供需矛盾突出；设施简陋、功能单一，难以提供照料护理、医疗康复、精神慰藉等多方面服务；布局不合理，区域之间、城乡之间发展不平衡；政府投入不足，民间投资规模有限；服务队伍专业化程度不高，行业发展缺乏后劲等等。克州人口 65 万，随着老龄化的发展，失能失智的老年人逐渐增多。但是克州养老服务机构数量有限，难以满足社会需要。根据克州的实际，建设一所具有一定规模的机构养老院，为失能、失智的老年人提供专门服务。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建设一座克州老年养护院，设置总床位 200 张，总建筑总面积 8500 ㎡。室内室外装饰装修，给排水、强弱电、消防监控、设备购置、道路、停车场、绿化、景观等。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建设面积8500平方米，设置总床位 200 张。通过该项目的实施，完善养老福利机构的设施配备，为保障完善养老福利机构的设施配备，提高养老服务水平。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根据自治州党委办公室、自治州人民政府办公室《关于印发克孜勒苏柯尔克孜自治州民政局职能配置、内设机构和人员编制规定的通知》（克党室字〔2024〕23号）文件精神。</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民政局实施，内设3个科室，分别是：办公室(基层政权和社会治理科)、社会救助和民间组织管理科、社会事务和区划地名科。主要职能是自治州民政局贯彻落实党中央关于民政工作的方针政策和决策部署以及自治区、自治州党委工作要求，在履行职责过程中坚持和加强党对民政工作的集中统一领导。主要职责是：贯彻执行国家、自治区关于民政工作的法律、法规规章、政策;拟订自治州民政事业发展规划并组织实施。拟订社会救助规划、政策和标准，健全城乡社会救助体系，指导有意愿的特困老人集中供养和孤儿集中收养;拟订社会保障兜底脱贫政策和标准，指导城乡最低生活保障、临时救助。承担自治州社会团体、民办非企业、社会服务机构的登记管理、监督责任;依法对自治州社会团体、民办非企业进行登记、年检和监督;指导社会组织党建工作。拟订自治州城乡基层群众自治建设和社区治理的规划、政策和标准;指导加强和完善城乡基层政权及社区治理，推动基层民主政治建设;指导城多社区服务体系建设。拟订行政区划、行政区城界线和地名管理政策和标准指导自治州行政区划调整、行政区城界线勘定和管理、地名管理负责县(市)、乡(镇)级行政区划设立、撤销、命名、变更和政府驻地迁移的初审上报工作。拟订</w:t>
      </w:r>
      <w:bookmarkStart w:id="0" w:name="_GoBack"/>
      <w:bookmarkEnd w:id="0"/>
      <w:r>
        <w:rPr>
          <w:rStyle w:val="19"/>
          <w:rFonts w:hint="eastAsia" w:ascii="仿宋" w:hAnsi="仿宋" w:eastAsia="仿宋" w:cs="仿宋"/>
          <w:b w:val="0"/>
          <w:bCs w:val="0"/>
          <w:spacing w:val="-4"/>
          <w:sz w:val="32"/>
          <w:szCs w:val="32"/>
          <w:lang w:eastAsia="zh-CN"/>
        </w:rPr>
        <w:t>婚姻</w:t>
      </w:r>
      <w:r>
        <w:rPr>
          <w:rStyle w:val="19"/>
          <w:rFonts w:hint="eastAsia" w:ascii="仿宋" w:hAnsi="仿宋" w:eastAsia="仿宋" w:cs="仿宋"/>
          <w:b w:val="0"/>
          <w:bCs w:val="0"/>
          <w:spacing w:val="-4"/>
          <w:sz w:val="32"/>
          <w:szCs w:val="32"/>
        </w:rPr>
        <w:t>登记、殡葬管理办法;指导婚姻登记、殡葬服务机构管理，推进婚俗和殡葬改革。拟订老年人福利和养老服务业发展规划、政策和标准，推进社会养老服务体系建设;指导养老机构和特困人员救助供养机构建设和管理。拟订儿童福利、儿童收养和儿童保护政策、标准;健全农村留守儿童关爱体系和困境儿童保障制度;指导儿童福利收养登记、未成年人保护机构管理。拟订生活无着的流浪、乞讨人员救助政策和标准;指导救助管理和机构建设工作。拟订促进慈善事业发展规划、政策和标准;指导社会捐助，监管慈善行为;负责福利彩票发行管理。拟订残障福利发展政策和标准;指导残障福利和康复辅助器具行业发展;负责民政职责范围内的精神卫生工作。拟订社会工作发展规划、政策和职业规范，指导社会工作人才和志愿者队伍建设。按照“管行业必须管安全、管业务必须管安全”的要求，对本行业领城安全生产负行业监管(行业主管)职责，组织开展本行业领城安全生产宣传教育、日常监督检查工作。完成自治州党委、自治州人民政府交办的其他任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编制人数30人，其中：行政人员编制8人、工勤2人、事业编制20人。实有在职人数29人，其中：行政在职8人、工勤2人、事业在职19人。离退休人员20人，其中：行政退休人员17人、事业退休3人。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中央安排《关于下达2023年积极应对人口老龄化工程和托育建设中央基建投资预算的通知》（克财建【2023】15号）克州老年养护院项目，总资金3000万元，本年度安排下达资金1187.65万元，为中央资金，最终确定项目资金总数为3000万元。其中：中央财政拨款0万元，自治区财政拨款0万元，本级财政拨款0万元，上年结余1187.65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截至2024年12月31日，克州老年养护院项目，实际支出1187.65万元，预算执行率100%。主要用于支付克州老年养护院建设项目的工程款。</w:t>
      </w:r>
    </w:p>
    <w:p w14:paraId="4EDD8D1B">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24B2C45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计划资金1187.65万元，其中：中央财政资金1187.65万元，已完成新建安全疏散出口4处，新建（改造提升）养老服务项目数量8581.62平方米，通过该项目的实施，完善了精神卫生福利机构的设施配备，保障完善了精神卫生福利机构的设施配备，提高了养老服务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“新建安全疏散出口（处）”指标，预期指标值为4处；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“新建（改造提升）养老服务项目数量（平方米）”指标，预期指标值为8581.62平方米；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“竣工验收合格率（%）”指标，预期指标值为=100%；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“项目工程按期完成率（%）”指标，预期指标值为=100%；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“居家养老服务中心完工及时率（%）”指标，预期指标值为=100%；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“老年养护院项目建设工程经费（万元）”指标，预期指标值为&lt;=1000万元；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“项目前期工作经费（万元）”指标，预期指标值为&lt;=187.65万元；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“养老服务水平”指标，预期指标值为有效提高；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“社会力量参与养老服务的积极性”指标，预期指标值为有效提高；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“受益对象满意度（%）”指标，预期指标值为&gt;=95%。</w:t>
      </w:r>
    </w:p>
    <w:p w14:paraId="64CA937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6E922BB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474D141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克州老年养护院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F2AE08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528F329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老年养护院建设项目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F0FD4AD">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62A115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吴建标（评价小组组长）：主要负责绩效评价组织协调工作，上情下达，制定绩效评价目标及考核项目；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赵超（评价小组组员）：主要负责对接项目承建单位经办人员，组织收集审核项目相关工程资料，审核项目相关文件、实施方案、招投标档案等资料；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罗中惠（评价小组组员）：主要负责对接项目相关财务人员，负责收集查阅项目资金支付财务凭证相关附件资料，审核资金使用合规性、管理机制及操作流程。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冯静（评价小组组员）：主要负责记录整理绩效评价过程中存在问题，编制绩效评价目标初稿，撰写绩效评价相关文稿。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12B0DCF5">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2112024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高校毕业生“三支一扶”计划中央财政补助资金”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本项目达到了年初设立的绩效目标，在实施过程中取得了良好的成效，具体表现在：2024年本项目计划资金1187.65万元，其中：中央财政资金1187.65万元，已完成新建安全疏散出口4处，新建（改造提升）养老服务项目数量8581.62平方米，通过该项目的实施，完善了精神卫生福利机构的设施配备，保障完善了精神卫生福利机构的设施配备，提高了养老服务水平。</w:t>
      </w:r>
    </w:p>
    <w:p w14:paraId="04414C5A">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30DAB83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BDD8E5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项目决策类指标包括项目立项、绩效目标和资金投入三方面的内容，由5个三级指标构成，权重分为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（1）立项依据充分性：依据克州财政局文件（克财建【2023】15号）《关于下达2023年积极应对人口老龄化工程和托育建设中央基建投资预算的通知》，其目的在于建设一座克州老年养护院，设置总床位 200 张，总建筑总面积 8500 ㎡。室内室外装饰装修，给排水、强弱电、消防监控、设备购置、道路、停车场、绿化、景观等。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建设面积8500平方米，设置总床位200 张。通过该项目的实施，完善养老福利机构的设施配备，为保障完善养老福利机构的设施配备，提高养老服务水平。并结合克州民政局职责组织实施，围绕2023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（2）立项程序规范性：根据决策依据编制工作计划和经费预算，经过与克州民政局财经领导小组进行沟通、筛选确定经费预算计划，上局务会研究确定最终预算方案，根据评分标准，该指标不扣分，得2分。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（1）预算编制科学性：依据克州财政局文件（克财建【2023】15号）《关于下达2023年积极应对人口老龄化工程和托育建设中央基建投资预算的通知》，其目的在于建设一座克州老年养护院，设置总床位 200 张，总建筑总面积 8500 ㎡。室内室外装饰装修，给排水、强弱电、消防监控、设备购置、道路、停车场、绿化、景观等。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建设面积8500平方米，设置总床位200 张。通过该项目的实施，完善养老福利机构的设施配备，为保障完善养老福利机构的设施配备，提高养老服务水平。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克财建【2023】15号）《关于下达2023年积极应对人口老龄化工程和托育建设中央基建投资预算的通知》要求下拨，实际完成内容与项目内容匹配，项目投资额与工作任务相匹配，资金分配与实际相适应，根据评分标准，该指标不扣分，得5分。</w:t>
      </w:r>
    </w:p>
    <w:p w14:paraId="027D56A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CF676B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（1）资金到位率：该项目总金额1187.65万元，克州财政局实际下达资金1187.65万元，财政资金足额拨付到位，根据评分标准，该指标不扣分，得5分。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（2）预算执行率：本项目申请预算金额为1187.65万元，预算批复实际下达金额为 1187.65万元，截止 2024年 12 月 31日，资金执行1187.65万元，资金执行率100.00%。项目资金支出总体能够按照预算执行，根据评分标准，该指标不扣分，得5分。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（3）资金使用合规性：依据克州财政局文件（克财建【2023】15号）《关于下达2023年积极应对人口老龄化工程和托育建设中央基建投资预算的通知》，其目的在于建设一座克州老年养护院，设置总床位 200 张，总建筑总面积 8500 ㎡。室内室外装饰装修，给排水、强弱电、消 防监控、设备购置、道路、停车场、绿化、景观等。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建设面积8500平方米，设置总床位200 张。通过该项目的实施，完善养老福利机构的设施配备，为保障完善养老福利机构的设施配备，提高养老服务水平。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民政局财务制度》及《关于下达2023年积极应对人口老龄化工程和托育建设中央基建投资预算的通知》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党组会议研究执行，财务对资金的使用合法合规性进行监督，年底对资金使用效果进行自评，根据评分标准，该指标不扣分，得3分。</w:t>
      </w:r>
    </w:p>
    <w:p w14:paraId="2875164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597CAE0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项目产出类指标包括产出数量、产出质量、产出时效三方面的内容，由7个三级指标构成，权重分为40分，实际得分40分，得分率为100%。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完成新建安全疏散出口4处，与预期目标一致，根据评分标准，该指标不扣分，得5分。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新建（改造提升）养老服务项目数量8581.62平方米，与预期目标一致，根据评分标准，该指标不扣分，得5分。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完成竣工验收合格率100%，与预期目标一致，根据评分标准，该指标不扣分，得10分。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项目工程按期完成率100%，与预期目标指标一致，根据评分标准，该指标不扣分，得5分。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居家养老服务中心完工及时率100%，与预期目标指标一致，根据评分标准，该指标不扣分，得5分。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老年养护院项目建设工程经费1000万元，与预期目标一致，根据评分标准，该指标不扣分，得5分。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项目前期工作经费187.65万元，与预期目标一致，根据评分标准，该指标不扣分，得5分。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2DE6931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E9E7FEC">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有效提高养老服务水平，与预期指标一致，根据评分标准，该指标不扣分，得5分。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有效提高社会力量参与养老服务的积极性，与预期指标一致，根据评分标准，该指标不扣分，得5分。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w:t>
      </w:r>
    </w:p>
    <w:p w14:paraId="58E731E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受益对象满意度95%，与预期指标一致，根据评分标准，该指标不扣分，得10分。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06057917">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496757CA">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w:t>
      </w:r>
    </w:p>
    <w:p w14:paraId="1131196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14B0F80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4．评价工作应从项目实施方案源头抓起，评价工作和意识应贯穿项目整个过程。</w:t>
      </w:r>
    </w:p>
    <w:p w14:paraId="646BEB2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19F3BE9C">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附件1：克州老年养护院建设项目绩效评价指标体系及评分标准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2920586">
        <w:pPr>
          <w:pStyle w:val="12"/>
          <w:jc w:val="center"/>
        </w:pPr>
        <w:r>
          <w:fldChar w:fldCharType="begin"/>
        </w:r>
        <w:r>
          <w:instrText xml:space="preserve">PAGE   \* MERGEFORMAT</w:instrText>
        </w:r>
        <w:r>
          <w:fldChar w:fldCharType="separate"/>
        </w:r>
        <w:r>
          <w:rPr>
            <w:lang w:val="zh-CN"/>
          </w:rPr>
          <w:t>1</w:t>
        </w:r>
        <w:r>
          <w:fldChar w:fldCharType="end"/>
        </w:r>
      </w:p>
    </w:sdtContent>
  </w:sdt>
  <w:p w14:paraId="61BCD90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575CD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5ac9b976-4a98-45b2-a7e0-f2c27496857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10708</Words>
  <Characters>11200</Characters>
  <Lines>5</Lines>
  <Paragraphs>1</Paragraphs>
  <TotalTime>0</TotalTime>
  <ScaleCrop>false</ScaleCrop>
  <LinksUpToDate>false</LinksUpToDate>
  <CharactersWithSpaces>11566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2025-09-04T11:14:44Z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eyJoZGlkIjoiZjc0YWFlMzUxNjVlZTcxY2FlZTNjZDFlMzE3YzBjNDEiLCJ1c2VySWQiOiIyMDM3MTI1NTkifQ==</vt:lpwstr>
  </property>
  <property fmtid="{D5CDD505-2E9C-101B-9397-08002B2CF9AE}" pid="4" name="ICV">
    <vt:lpwstr>25B96D28ADDE4CA98E5B5474285CF72E_12</vt:lpwstr>
  </property>
</Properties>
</file>