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克孜勒苏柯尔克孜自治州平原林场2024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1A9F33D">
      <w:r>
        <w:br w:type="page"/>
      </w:r>
    </w:p>
    <w:p w14:paraId="239A41BC">
      <w:pPr>
        <w:spacing w:line="640" w:lineRule="exact"/>
        <w:jc w:val="center"/>
        <w:outlineLvl w:val="1"/>
      </w:pPr>
      <w:r>
        <w:rPr>
          <w:rFonts w:ascii="黑体" w:hAnsi="黑体" w:eastAsia="黑体"/>
          <w:sz w:val="32"/>
        </w:rPr>
        <w:t>第一部分 单位概况</w:t>
      </w:r>
    </w:p>
    <w:p w14:paraId="6DAFBB2F">
      <w:pPr>
        <w:spacing w:line="640" w:lineRule="exact"/>
        <w:ind w:firstLine="640"/>
        <w:jc w:val="both"/>
        <w:outlineLvl w:val="2"/>
      </w:pPr>
      <w:r>
        <w:rPr>
          <w:rFonts w:ascii="黑体" w:hAnsi="黑体" w:eastAsia="黑体"/>
          <w:sz w:val="32"/>
        </w:rPr>
        <w:t>一、主要职能</w:t>
      </w:r>
    </w:p>
    <w:p w14:paraId="002CAA5F">
      <w:pPr>
        <w:spacing w:line="580" w:lineRule="exact"/>
        <w:ind w:firstLine="640"/>
        <w:jc w:val="both"/>
      </w:pPr>
      <w:r>
        <w:rPr>
          <w:rFonts w:ascii="仿宋_GB2312" w:hAnsi="仿宋_GB2312" w:eastAsia="仿宋_GB2312"/>
          <w:sz w:val="32"/>
        </w:rPr>
        <w:t>新疆克孜勒苏柯尔克孜自治州平原林场是克州林业局下属的事业单位，机构规格相当于正科级。新疆克孜勒苏柯尔克孜自治州平原林场是造林</w:t>
      </w:r>
      <w:r>
        <w:rPr>
          <w:rFonts w:hint="eastAsia" w:ascii="仿宋_GB2312" w:hAnsi="仿宋_GB2312" w:eastAsia="仿宋_GB2312"/>
          <w:sz w:val="32"/>
          <w:lang w:eastAsia="zh-CN"/>
        </w:rPr>
        <w:t>与</w:t>
      </w:r>
      <w:r>
        <w:rPr>
          <w:rFonts w:ascii="仿宋_GB2312" w:hAnsi="仿宋_GB2312" w:eastAsia="仿宋_GB2312"/>
          <w:sz w:val="32"/>
        </w:rPr>
        <w:t>管护相结合，生态与产业相结合发展的公益性事业单位，主要职责如下。</w:t>
      </w:r>
    </w:p>
    <w:p w14:paraId="336AB3C5">
      <w:pPr>
        <w:spacing w:line="580" w:lineRule="exact"/>
        <w:ind w:firstLine="640"/>
        <w:jc w:val="both"/>
      </w:pPr>
      <w:r>
        <w:rPr>
          <w:rFonts w:ascii="仿宋_GB2312" w:hAnsi="仿宋_GB2312" w:eastAsia="仿宋_GB2312"/>
          <w:sz w:val="32"/>
        </w:rPr>
        <w:t>1.依法管理好现有的森林，林木和林地资源，很大程度</w:t>
      </w:r>
      <w:r>
        <w:rPr>
          <w:rFonts w:hint="eastAsia" w:ascii="仿宋_GB2312" w:hAnsi="仿宋_GB2312" w:eastAsia="仿宋_GB2312"/>
          <w:sz w:val="32"/>
          <w:lang w:eastAsia="zh-CN"/>
        </w:rPr>
        <w:t>地</w:t>
      </w:r>
      <w:r>
        <w:rPr>
          <w:rFonts w:ascii="仿宋_GB2312" w:hAnsi="仿宋_GB2312" w:eastAsia="仿宋_GB2312"/>
          <w:sz w:val="32"/>
        </w:rPr>
        <w:t>发挥现有资源的生态效益，社会效益和经济效益。</w:t>
      </w:r>
    </w:p>
    <w:p w14:paraId="7E3A2C45">
      <w:pPr>
        <w:spacing w:line="580" w:lineRule="exact"/>
        <w:ind w:firstLine="640"/>
        <w:jc w:val="both"/>
      </w:pPr>
      <w:r>
        <w:rPr>
          <w:rFonts w:ascii="仿宋_GB2312" w:hAnsi="仿宋_GB2312" w:eastAsia="仿宋_GB2312"/>
          <w:sz w:val="32"/>
        </w:rPr>
        <w:t>2.根据《自治区党委、人民政府关于进一步加快林业发展的意见》精神充分利用现有荒地资源建设好生态公益林对于自治州的生态建设做贡献。</w:t>
      </w:r>
    </w:p>
    <w:p w14:paraId="10AFCB3D">
      <w:pPr>
        <w:spacing w:line="580" w:lineRule="exact"/>
        <w:ind w:firstLine="640"/>
        <w:jc w:val="both"/>
      </w:pPr>
      <w:r>
        <w:rPr>
          <w:rFonts w:ascii="仿宋_GB2312" w:hAnsi="仿宋_GB2312" w:eastAsia="仿宋_GB2312"/>
          <w:sz w:val="32"/>
        </w:rPr>
        <w:t>3.根据上级林业部门的要求建立好林果业发展示范基地，对于自治州的特色林果业建设起到样板作用。</w:t>
      </w:r>
    </w:p>
    <w:p w14:paraId="7DC22D3E">
      <w:pPr>
        <w:spacing w:line="580" w:lineRule="exact"/>
        <w:ind w:firstLine="640"/>
        <w:jc w:val="both"/>
      </w:pPr>
      <w:r>
        <w:rPr>
          <w:rFonts w:ascii="仿宋_GB2312" w:hAnsi="仿宋_GB2312" w:eastAsia="仿宋_GB2312"/>
          <w:sz w:val="32"/>
        </w:rPr>
        <w:t>4.做好林场的多种经营工作，为职工子女安置积极创造条件，缓解社会就业压力。</w:t>
      </w:r>
    </w:p>
    <w:p w14:paraId="654933B8">
      <w:pPr>
        <w:spacing w:line="580" w:lineRule="exact"/>
        <w:ind w:firstLine="640"/>
        <w:jc w:val="both"/>
      </w:pPr>
      <w:r>
        <w:rPr>
          <w:rFonts w:ascii="仿宋_GB2312" w:hAnsi="仿宋_GB2312" w:eastAsia="仿宋_GB2312"/>
          <w:sz w:val="32"/>
        </w:rPr>
        <w:t>5.完成上级</w:t>
      </w:r>
      <w:r>
        <w:rPr>
          <w:rFonts w:hint="eastAsia" w:ascii="仿宋_GB2312" w:hAnsi="仿宋_GB2312" w:eastAsia="仿宋_GB2312"/>
          <w:sz w:val="32"/>
          <w:lang w:eastAsia="zh-CN"/>
        </w:rPr>
        <w:t>党委、政府</w:t>
      </w:r>
      <w:r>
        <w:rPr>
          <w:rFonts w:ascii="仿宋_GB2312" w:hAnsi="仿宋_GB2312" w:eastAsia="仿宋_GB2312"/>
          <w:sz w:val="32"/>
        </w:rPr>
        <w:t>和业务部门安排的相关工作任务。</w:t>
      </w:r>
    </w:p>
    <w:p w14:paraId="033067C8">
      <w:pPr>
        <w:spacing w:line="640" w:lineRule="exact"/>
        <w:ind w:firstLine="640"/>
        <w:jc w:val="both"/>
        <w:outlineLvl w:val="2"/>
      </w:pPr>
      <w:r>
        <w:rPr>
          <w:rFonts w:ascii="黑体" w:hAnsi="黑体" w:eastAsia="黑体"/>
          <w:sz w:val="32"/>
        </w:rPr>
        <w:t>二、机构设置及人员情况</w:t>
      </w:r>
    </w:p>
    <w:p w14:paraId="19E61F54">
      <w:pPr>
        <w:spacing w:line="580" w:lineRule="exact"/>
        <w:ind w:firstLine="640"/>
        <w:jc w:val="both"/>
      </w:pPr>
      <w:r>
        <w:rPr>
          <w:rFonts w:ascii="仿宋_GB2312" w:hAnsi="仿宋_GB2312" w:eastAsia="仿宋_GB2312"/>
          <w:sz w:val="32"/>
        </w:rPr>
        <w:t>克孜勒苏柯尔克孜自治州平原林场2024年度，实有人数105人，其中：在职人员43人，减少2人；离休人员0人，增加0人；退休人员62人,减少2人。</w:t>
      </w:r>
    </w:p>
    <w:p w14:paraId="288C8641">
      <w:pPr>
        <w:spacing w:line="580" w:lineRule="exact"/>
        <w:ind w:firstLine="640"/>
        <w:jc w:val="both"/>
      </w:pPr>
      <w:r>
        <w:rPr>
          <w:rFonts w:ascii="仿宋_GB2312" w:hAnsi="仿宋_GB2312" w:eastAsia="仿宋_GB2312"/>
          <w:sz w:val="32"/>
        </w:rPr>
        <w:t>克孜勒苏柯尔克孜自治州平原林场无下属预算单位，下设2个科室，分别是：办公室、林长制办公室。</w:t>
      </w:r>
    </w:p>
    <w:p w14:paraId="14DD5D57">
      <w:r>
        <w:br w:type="page"/>
      </w:r>
    </w:p>
    <w:p w14:paraId="6DABEBAD">
      <w:pPr>
        <w:spacing w:line="240" w:lineRule="auto"/>
        <w:jc w:val="center"/>
        <w:outlineLvl w:val="1"/>
      </w:pPr>
      <w:r>
        <w:rPr>
          <w:rFonts w:ascii="黑体" w:hAnsi="黑体" w:eastAsia="黑体"/>
          <w:sz w:val="32"/>
        </w:rPr>
        <w:t>第二部分 部门决算情况说明</w:t>
      </w:r>
    </w:p>
    <w:p w14:paraId="4B5D97DF">
      <w:pPr>
        <w:spacing w:line="640" w:lineRule="exact"/>
        <w:ind w:firstLine="640"/>
        <w:jc w:val="both"/>
        <w:outlineLvl w:val="2"/>
      </w:pPr>
      <w:r>
        <w:rPr>
          <w:rFonts w:ascii="黑体" w:hAnsi="黑体" w:eastAsia="黑体"/>
          <w:sz w:val="32"/>
        </w:rPr>
        <w:t>一、收入支出决算总体情况说明</w:t>
      </w:r>
    </w:p>
    <w:p w14:paraId="0FA57254">
      <w:pPr>
        <w:spacing w:line="580" w:lineRule="exact"/>
        <w:ind w:firstLine="640"/>
        <w:jc w:val="both"/>
      </w:pPr>
      <w:r>
        <w:rPr>
          <w:rFonts w:ascii="仿宋_GB2312" w:hAnsi="仿宋_GB2312" w:eastAsia="仿宋_GB2312"/>
          <w:b/>
          <w:sz w:val="32"/>
        </w:rPr>
        <w:t>2024年度收入总计948.73万元，</w:t>
      </w:r>
      <w:r>
        <w:rPr>
          <w:rFonts w:ascii="仿宋_GB2312" w:hAnsi="仿宋_GB2312" w:eastAsia="仿宋_GB2312"/>
          <w:b w:val="0"/>
          <w:sz w:val="32"/>
        </w:rPr>
        <w:t>其中：本年收入合计948.73万元，使用非财政拨款结余（含专用结余）0.00万元，年初结转和结余0.00万元。</w:t>
      </w:r>
    </w:p>
    <w:p w14:paraId="75E5206B">
      <w:pPr>
        <w:spacing w:line="580" w:lineRule="exact"/>
        <w:ind w:firstLine="640"/>
        <w:jc w:val="both"/>
      </w:pPr>
      <w:r>
        <w:rPr>
          <w:rFonts w:ascii="仿宋_GB2312" w:hAnsi="仿宋_GB2312" w:eastAsia="仿宋_GB2312"/>
          <w:b/>
          <w:sz w:val="32"/>
        </w:rPr>
        <w:t>2024年度支出总计948.73万元，</w:t>
      </w:r>
      <w:r>
        <w:rPr>
          <w:rFonts w:ascii="仿宋_GB2312" w:hAnsi="仿宋_GB2312" w:eastAsia="仿宋_GB2312"/>
          <w:b w:val="0"/>
          <w:sz w:val="32"/>
        </w:rPr>
        <w:t>其中：本年支出合计948.73万元，结余分配0.00万元，年末结转和结余0.00万元。</w:t>
      </w:r>
    </w:p>
    <w:p w14:paraId="11760305">
      <w:pPr>
        <w:spacing w:line="580" w:lineRule="exact"/>
        <w:ind w:firstLine="640"/>
        <w:jc w:val="both"/>
      </w:pPr>
      <w:r>
        <w:rPr>
          <w:rFonts w:ascii="仿宋_GB2312" w:hAnsi="仿宋_GB2312" w:eastAsia="仿宋_GB2312"/>
          <w:b w:val="0"/>
          <w:sz w:val="32"/>
        </w:rPr>
        <w:t>收入支出总体与上年相比，减少200.15万元，下降17.42%，主要原因是：1.本年在职人员减少，相关人员经费较上年减少；2.本年无花果栽培技术推广项目、森林资源培育项目、生态经济植物引种驯化研究项目、中央财政新疆大果沙枣防护林示范和推广项目、木纳格葡萄提质增效项目、管护站及辅助设施能力提升改造项目等项目资金较上年减少。</w:t>
      </w:r>
    </w:p>
    <w:p w14:paraId="132DCEF5">
      <w:pPr>
        <w:spacing w:line="640" w:lineRule="exact"/>
        <w:ind w:firstLine="640"/>
        <w:jc w:val="both"/>
        <w:outlineLvl w:val="2"/>
      </w:pPr>
      <w:r>
        <w:rPr>
          <w:rFonts w:ascii="黑体" w:hAnsi="黑体" w:eastAsia="黑体"/>
          <w:sz w:val="32"/>
        </w:rPr>
        <w:t>二、收入决算情况说明</w:t>
      </w:r>
    </w:p>
    <w:p w14:paraId="2047D7EE">
      <w:pPr>
        <w:spacing w:line="580" w:lineRule="exact"/>
        <w:ind w:firstLine="640"/>
        <w:jc w:val="both"/>
      </w:pPr>
      <w:r>
        <w:rPr>
          <w:rFonts w:ascii="仿宋_GB2312" w:hAnsi="仿宋_GB2312" w:eastAsia="仿宋_GB2312"/>
          <w:b/>
          <w:sz w:val="32"/>
        </w:rPr>
        <w:t>本年收入948.73万元，</w:t>
      </w:r>
      <w:r>
        <w:rPr>
          <w:rFonts w:ascii="仿宋_GB2312" w:hAnsi="仿宋_GB2312" w:eastAsia="仿宋_GB2312"/>
          <w:b w:val="0"/>
          <w:sz w:val="32"/>
        </w:rPr>
        <w:t>其中：财政拨款收入941.73万元，占99.26%；上级补助收入0.00万元，占0.00%；事业收入0.00万元，占0.00%；经营收入0.00万元，占0.00%；附属单位上缴收入0.00万元，占0.00%；其他收入7.00万元，占0.74%。</w:t>
      </w:r>
    </w:p>
    <w:p w14:paraId="544AA990">
      <w:pPr>
        <w:spacing w:line="640" w:lineRule="exact"/>
        <w:ind w:firstLine="640"/>
        <w:jc w:val="both"/>
        <w:outlineLvl w:val="2"/>
      </w:pPr>
      <w:r>
        <w:rPr>
          <w:rFonts w:ascii="黑体" w:hAnsi="黑体" w:eastAsia="黑体"/>
          <w:sz w:val="32"/>
        </w:rPr>
        <w:t>三、支出决算情况说明</w:t>
      </w:r>
    </w:p>
    <w:p w14:paraId="428C5D60">
      <w:pPr>
        <w:spacing w:line="580" w:lineRule="exact"/>
        <w:ind w:firstLine="640"/>
        <w:jc w:val="both"/>
      </w:pPr>
      <w:r>
        <w:rPr>
          <w:rFonts w:ascii="仿宋_GB2312" w:hAnsi="仿宋_GB2312" w:eastAsia="仿宋_GB2312"/>
          <w:b/>
          <w:sz w:val="32"/>
        </w:rPr>
        <w:t>本年支出948.73万元，</w:t>
      </w:r>
      <w:r>
        <w:rPr>
          <w:rFonts w:ascii="仿宋_GB2312" w:hAnsi="仿宋_GB2312" w:eastAsia="仿宋_GB2312"/>
          <w:b w:val="0"/>
          <w:sz w:val="32"/>
        </w:rPr>
        <w:t>其中：基本支出914.98万元，占96.44%；项目支出33.75万元，占3.56%；上缴上级支出0.00万元，占0.00%；经营支出0.00万元，占0.00%；对附属单位补助支出0.00万元，占0.00%。</w:t>
      </w:r>
    </w:p>
    <w:p w14:paraId="565A9FC0">
      <w:pPr>
        <w:spacing w:line="640" w:lineRule="exact"/>
        <w:ind w:firstLine="640"/>
        <w:jc w:val="both"/>
        <w:outlineLvl w:val="2"/>
      </w:pPr>
      <w:r>
        <w:rPr>
          <w:rFonts w:ascii="黑体" w:hAnsi="黑体" w:eastAsia="黑体"/>
          <w:sz w:val="32"/>
        </w:rPr>
        <w:t>四、财政拨款收入支出决算总体情况说明</w:t>
      </w:r>
    </w:p>
    <w:p w14:paraId="22BA1BEB">
      <w:pPr>
        <w:spacing w:line="580" w:lineRule="exact"/>
        <w:ind w:firstLine="640"/>
        <w:jc w:val="both"/>
      </w:pPr>
      <w:r>
        <w:rPr>
          <w:rFonts w:ascii="仿宋_GB2312" w:hAnsi="仿宋_GB2312" w:eastAsia="仿宋_GB2312"/>
          <w:b/>
          <w:sz w:val="32"/>
        </w:rPr>
        <w:t>2024年度财政拨款收入总计941.73万元，</w:t>
      </w:r>
      <w:r>
        <w:rPr>
          <w:rFonts w:ascii="仿宋_GB2312" w:hAnsi="仿宋_GB2312" w:eastAsia="仿宋_GB2312"/>
          <w:b w:val="0"/>
          <w:sz w:val="32"/>
        </w:rPr>
        <w:t>其中：年初财政拨款结转和结余0.00万元，本年财政拨款收入941.73万元。</w:t>
      </w:r>
      <w:r>
        <w:rPr>
          <w:rFonts w:ascii="仿宋_GB2312" w:hAnsi="仿宋_GB2312" w:eastAsia="仿宋_GB2312"/>
          <w:b/>
          <w:sz w:val="32"/>
        </w:rPr>
        <w:t>财政拨款支出总计941.73万元，</w:t>
      </w:r>
      <w:r>
        <w:rPr>
          <w:rFonts w:ascii="仿宋_GB2312" w:hAnsi="仿宋_GB2312" w:eastAsia="仿宋_GB2312"/>
          <w:b w:val="0"/>
          <w:sz w:val="32"/>
        </w:rPr>
        <w:t>其中：年末财政拨款结转和结余0.00万元，本年财政拨款支出941.73万元。</w:t>
      </w:r>
    </w:p>
    <w:p w14:paraId="27EB30C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减少109.19万元，下降10.39%，主要原因是：1.本年在职人员及退休人员减少，相关人员经费减少；2.本年无花果栽培技术推广项目、森林资源培育项目、管护站及辅助设施能力提升改造项目等项目资金较上年减少。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年初预算数930.45万元，决算数941.73万元，预决算差异率1.21%，主要原因是：1.年中追加大果沙枣良种苗木培育项目，导致预决算差异。2.年中追加人员工资、社保、公积金基数调增部分资金，导致预决算差异。</w:t>
      </w:r>
    </w:p>
    <w:p w14:paraId="28CF49E4">
      <w:pPr>
        <w:spacing w:line="640" w:lineRule="exact"/>
        <w:ind w:firstLine="640"/>
        <w:jc w:val="both"/>
        <w:outlineLvl w:val="2"/>
      </w:pPr>
      <w:r>
        <w:rPr>
          <w:rFonts w:ascii="黑体" w:hAnsi="黑体" w:eastAsia="黑体"/>
          <w:sz w:val="32"/>
        </w:rPr>
        <w:t>五、一般公共预算财政拨款支出决算情况说明</w:t>
      </w:r>
    </w:p>
    <w:p w14:paraId="0B47F9ED">
      <w:pPr>
        <w:spacing w:line="640" w:lineRule="exact"/>
        <w:ind w:firstLine="640"/>
        <w:jc w:val="both"/>
        <w:outlineLvl w:val="3"/>
      </w:pPr>
      <w:r>
        <w:rPr>
          <w:rFonts w:ascii="楷体_GB2312" w:hAnsi="楷体_GB2312" w:eastAsia="楷体_GB2312"/>
          <w:b/>
          <w:sz w:val="32"/>
        </w:rPr>
        <w:t>（一）一般公共预算财政拨款支出决算总体情况</w:t>
      </w:r>
    </w:p>
    <w:p w14:paraId="06CCA5E3">
      <w:pPr>
        <w:spacing w:line="580" w:lineRule="exact"/>
        <w:ind w:firstLine="640"/>
        <w:jc w:val="both"/>
      </w:pPr>
      <w:r>
        <w:rPr>
          <w:rFonts w:ascii="仿宋_GB2312" w:hAnsi="仿宋_GB2312" w:eastAsia="仿宋_GB2312"/>
          <w:b/>
          <w:sz w:val="32"/>
        </w:rPr>
        <w:t>2024年度一般公共预算财政拨款支出941.73万元，</w:t>
      </w:r>
      <w:r>
        <w:rPr>
          <w:rFonts w:ascii="仿宋_GB2312" w:hAnsi="仿宋_GB2312" w:eastAsia="仿宋_GB2312"/>
          <w:b w:val="0"/>
          <w:sz w:val="32"/>
        </w:rPr>
        <w:t>占本年支出合计的99.26%。</w:t>
      </w:r>
      <w:r>
        <w:rPr>
          <w:rFonts w:ascii="仿宋_GB2312" w:hAnsi="仿宋_GB2312" w:eastAsia="仿宋_GB2312"/>
          <w:b/>
          <w:sz w:val="32"/>
        </w:rPr>
        <w:t>与上年相比，</w:t>
      </w:r>
      <w:r>
        <w:rPr>
          <w:rFonts w:ascii="仿宋_GB2312" w:hAnsi="仿宋_GB2312" w:eastAsia="仿宋_GB2312"/>
          <w:b w:val="0"/>
          <w:sz w:val="32"/>
        </w:rPr>
        <w:t>减少109.19万元，下降10.39%，主要原因是：1.本年在职人员及退休人员减少，相关人员经费减少；2.本年无花果栽培技术推广项目、森林资源培育项目、管护站及辅助设施能力提升改造项目等项目资金较上年减少。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年初预算数930.45万元，决算数941.73万元，预决算差异率1.21%，主要原因是：1.年中追加大果沙枣良种苗木培育项目，导致预决算差异。2.年中追加人员工资、社保、公积金基数调增部分资金，导致预决算差异。</w:t>
      </w:r>
    </w:p>
    <w:p w14:paraId="5F45CF15">
      <w:pPr>
        <w:spacing w:line="640" w:lineRule="exact"/>
        <w:ind w:firstLine="640"/>
        <w:jc w:val="both"/>
        <w:outlineLvl w:val="3"/>
      </w:pPr>
      <w:r>
        <w:rPr>
          <w:rFonts w:ascii="楷体_GB2312" w:hAnsi="楷体_GB2312" w:eastAsia="楷体_GB2312"/>
          <w:b/>
          <w:sz w:val="32"/>
        </w:rPr>
        <w:t>（二）一般公共预算财政拨款支出决算结构情况</w:t>
      </w:r>
    </w:p>
    <w:p w14:paraId="44628F7B">
      <w:pPr>
        <w:spacing w:line="580" w:lineRule="exact"/>
        <w:ind w:firstLine="640"/>
        <w:jc w:val="both"/>
      </w:pPr>
      <w:r>
        <w:rPr>
          <w:rFonts w:ascii="仿宋_GB2312" w:hAnsi="仿宋_GB2312" w:eastAsia="仿宋_GB2312"/>
          <w:b w:val="0"/>
          <w:sz w:val="32"/>
        </w:rPr>
        <w:t>1.科学技术支出(类)1.05万元,占0.11%。</w:t>
      </w:r>
    </w:p>
    <w:p w14:paraId="61342106">
      <w:pPr>
        <w:spacing w:line="580" w:lineRule="exact"/>
        <w:ind w:firstLine="640"/>
        <w:jc w:val="both"/>
      </w:pPr>
      <w:r>
        <w:rPr>
          <w:rFonts w:ascii="仿宋_GB2312" w:hAnsi="仿宋_GB2312" w:eastAsia="仿宋_GB2312"/>
          <w:b w:val="0"/>
          <w:sz w:val="32"/>
        </w:rPr>
        <w:t>2.社会保障和就业支出(类)214.33万元,占22.76%。</w:t>
      </w:r>
    </w:p>
    <w:p w14:paraId="79F23A7C">
      <w:pPr>
        <w:spacing w:line="580" w:lineRule="exact"/>
        <w:ind w:firstLine="640"/>
        <w:jc w:val="both"/>
      </w:pPr>
      <w:r>
        <w:rPr>
          <w:rFonts w:ascii="仿宋_GB2312" w:hAnsi="仿宋_GB2312" w:eastAsia="仿宋_GB2312"/>
          <w:b w:val="0"/>
          <w:sz w:val="32"/>
        </w:rPr>
        <w:t>3.农林水支出(类)726.34万元,占77.13%。</w:t>
      </w:r>
    </w:p>
    <w:p w14:paraId="2E206002">
      <w:pPr>
        <w:spacing w:line="640" w:lineRule="exact"/>
        <w:ind w:firstLine="640"/>
        <w:jc w:val="both"/>
        <w:outlineLvl w:val="3"/>
      </w:pPr>
      <w:r>
        <w:rPr>
          <w:rFonts w:ascii="楷体_GB2312" w:hAnsi="楷体_GB2312" w:eastAsia="楷体_GB2312"/>
          <w:b/>
          <w:sz w:val="32"/>
        </w:rPr>
        <w:t>（三）一般公共预算财政拨款支出决算具体情况</w:t>
      </w:r>
    </w:p>
    <w:p w14:paraId="101C8FD5">
      <w:pPr>
        <w:spacing w:line="580" w:lineRule="exact"/>
        <w:ind w:firstLine="640"/>
        <w:jc w:val="both"/>
      </w:pPr>
      <w:r>
        <w:rPr>
          <w:rFonts w:ascii="仿宋_GB2312" w:hAnsi="仿宋_GB2312" w:eastAsia="仿宋_GB2312"/>
          <w:b w:val="0"/>
          <w:sz w:val="32"/>
        </w:rPr>
        <w:t>1.教育支出(类)普通教育(款)学前教育(项):支出决算数为0.00万元，比上年决算减少0.78万元，下降100.00%,主要原因是：本年减少支教人员生活补助经费。</w:t>
      </w:r>
    </w:p>
    <w:p w14:paraId="517B366B">
      <w:pPr>
        <w:spacing w:line="580" w:lineRule="exact"/>
        <w:ind w:firstLine="640"/>
        <w:jc w:val="both"/>
      </w:pPr>
      <w:r>
        <w:rPr>
          <w:rFonts w:ascii="仿宋_GB2312" w:hAnsi="仿宋_GB2312" w:eastAsia="仿宋_GB2312"/>
          <w:b w:val="0"/>
          <w:sz w:val="32"/>
        </w:rPr>
        <w:t>2.科学技术支出(类)技术研究与开发(款)科技成果转化与扩散(项):支出决算数为1.05万元，比上年决算减少0.49万元，下降31.82%,主要原因是：本年无花果栽培技术推广项目资金较上年减少。</w:t>
      </w:r>
    </w:p>
    <w:p w14:paraId="3E8A6744">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118.02万元，比上年决算增加22.27万元，增长23.26%,主要原因是：本年增加退休人员基础绩效奖，退休费支出增加；退休去世人员，导致死亡抚恤金增加。</w:t>
      </w:r>
    </w:p>
    <w:p w14:paraId="3C83FE97">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76.41万元，比上年决算减少2.95万元，下降3.72%,主要原因是：本年在职人员减少，单位基本养老保险缴费较上年减少。</w:t>
      </w:r>
    </w:p>
    <w:p w14:paraId="585751E9">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19.90万元，比上年决算减少27.96万元，下降58.42%,主要原因是：本年新增退休人员较上年减少，职业年金缴费较上年减少。</w:t>
      </w:r>
    </w:p>
    <w:p w14:paraId="64A61F3D">
      <w:pPr>
        <w:spacing w:line="580" w:lineRule="exact"/>
        <w:ind w:firstLine="640"/>
        <w:jc w:val="both"/>
      </w:pPr>
      <w:r>
        <w:rPr>
          <w:rFonts w:ascii="仿宋_GB2312" w:hAnsi="仿宋_GB2312" w:eastAsia="仿宋_GB2312"/>
          <w:b w:val="0"/>
          <w:sz w:val="32"/>
        </w:rPr>
        <w:t>6.农林水支出(类)林业和草原(款)事业机构(项):支出决算数为700.65万元，比上年决算减少93.58万元，下降11.78%,主要原因是：本年在职人员减少，相关人员经费较上年减少；本年补发人员津贴补贴较上年减少。</w:t>
      </w:r>
    </w:p>
    <w:p w14:paraId="5F09B19B">
      <w:pPr>
        <w:spacing w:line="580" w:lineRule="exact"/>
        <w:ind w:firstLine="640"/>
        <w:jc w:val="both"/>
      </w:pPr>
      <w:r>
        <w:rPr>
          <w:rFonts w:ascii="仿宋_GB2312" w:hAnsi="仿宋_GB2312" w:eastAsia="仿宋_GB2312"/>
          <w:b w:val="0"/>
          <w:sz w:val="32"/>
        </w:rPr>
        <w:t>7.农林水支出(类)林业和草原(款)森林资源培育(项):支出决算数为10.70万元，比上年决算减少18.80万元，下降63.73%,主要原因是：本年减少国土绿化森林资源抚育项目。</w:t>
      </w:r>
    </w:p>
    <w:p w14:paraId="56FA7659">
      <w:pPr>
        <w:spacing w:line="580" w:lineRule="exact"/>
        <w:ind w:firstLine="640"/>
        <w:jc w:val="both"/>
      </w:pPr>
      <w:r>
        <w:rPr>
          <w:rFonts w:ascii="仿宋_GB2312" w:hAnsi="仿宋_GB2312" w:eastAsia="仿宋_GB2312"/>
          <w:b w:val="0"/>
          <w:sz w:val="32"/>
        </w:rPr>
        <w:t>8.农林水支出(类)林业和草原(款)其他林业和草原支出(项):支出决算数为15.00万元，比上年决算增加15.00万元，增长100.00%,主要原因是：本年增加大果沙枣良种苗木项目经费。</w:t>
      </w:r>
    </w:p>
    <w:p w14:paraId="20F4D9E4">
      <w:pPr>
        <w:spacing w:line="580" w:lineRule="exact"/>
        <w:ind w:firstLine="640"/>
        <w:jc w:val="both"/>
      </w:pPr>
      <w:r>
        <w:rPr>
          <w:rFonts w:ascii="仿宋_GB2312" w:hAnsi="仿宋_GB2312" w:eastAsia="仿宋_GB2312"/>
          <w:b w:val="0"/>
          <w:sz w:val="32"/>
        </w:rPr>
        <w:t>9.农林水支出(类)巩固脱贫攻坚成果衔接乡村振兴(款)生产发展(项):支出决算数为0.00万元，比上年决算减少1.91万元，下降100.00%,主要原因是：本年减少管护站及辅助设施能力提升改造项目结转资金。</w:t>
      </w:r>
    </w:p>
    <w:p w14:paraId="367AB251">
      <w:pPr>
        <w:spacing w:line="640" w:lineRule="exact"/>
        <w:ind w:firstLine="640"/>
        <w:jc w:val="both"/>
        <w:outlineLvl w:val="2"/>
      </w:pPr>
      <w:r>
        <w:rPr>
          <w:rFonts w:ascii="黑体" w:hAnsi="黑体" w:eastAsia="黑体"/>
          <w:sz w:val="32"/>
        </w:rPr>
        <w:t>六、一般公共预算财政拨款基本支出决算情况说明</w:t>
      </w:r>
    </w:p>
    <w:p w14:paraId="3DC3D520">
      <w:pPr>
        <w:spacing w:line="580" w:lineRule="exact"/>
        <w:ind w:firstLine="640"/>
        <w:jc w:val="both"/>
      </w:pPr>
      <w:r>
        <w:rPr>
          <w:rFonts w:ascii="仿宋_GB2312" w:hAnsi="仿宋_GB2312" w:eastAsia="仿宋_GB2312"/>
          <w:b w:val="0"/>
          <w:sz w:val="32"/>
        </w:rPr>
        <w:t>2024年度一般公共预算财政拨款基本支出914.98万元，其中：</w:t>
      </w:r>
      <w:r>
        <w:rPr>
          <w:rFonts w:ascii="仿宋_GB2312" w:hAnsi="仿宋_GB2312" w:eastAsia="仿宋_GB2312"/>
          <w:b/>
          <w:sz w:val="32"/>
        </w:rPr>
        <w:t>人员经费880.83万元，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包括：基本工资、津贴补贴、奖金、机关事业单位基本养老保险缴费、职业年金缴费、职工基本医疗保险缴费、其他社会保障缴费、住房公积金、退休费、抚恤金、生活补助、奖励金。</w:t>
      </w:r>
    </w:p>
    <w:p w14:paraId="7D0A9B29">
      <w:pPr>
        <w:spacing w:line="580" w:lineRule="exact"/>
        <w:ind w:firstLine="640"/>
        <w:jc w:val="both"/>
      </w:pPr>
      <w:r>
        <w:rPr>
          <w:rFonts w:ascii="仿宋_GB2312" w:hAnsi="仿宋_GB2312" w:eastAsia="仿宋_GB2312"/>
          <w:b/>
          <w:sz w:val="32"/>
        </w:rPr>
        <w:t>公用经费34.14万元，</w:t>
      </w:r>
      <w:r>
        <w:rPr>
          <w:rFonts w:ascii="仿宋_GB2312" w:hAnsi="仿宋_GB2312" w:eastAsia="仿宋_GB2312"/>
          <w:b w:val="0"/>
          <w:sz w:val="32"/>
        </w:rPr>
        <w:t>包括：办公费、印刷费、水费、电费、邮电费、取暖费、物业管理费、维修（护）费、专用材料费、工会经费、福利费、公务用车运行维护费、其他商品和服务支出。</w:t>
      </w:r>
    </w:p>
    <w:p w14:paraId="5F157AB1">
      <w:pPr>
        <w:spacing w:line="640" w:lineRule="exact"/>
        <w:ind w:firstLine="640"/>
        <w:jc w:val="both"/>
        <w:outlineLvl w:val="2"/>
      </w:pPr>
      <w:r>
        <w:rPr>
          <w:rFonts w:ascii="黑体" w:hAnsi="黑体" w:eastAsia="黑体"/>
          <w:sz w:val="32"/>
        </w:rPr>
        <w:t>七、政府性基金预算财政拨款收入支出决算情况说明</w:t>
      </w:r>
    </w:p>
    <w:p w14:paraId="504351F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3960B1C">
      <w:pPr>
        <w:spacing w:line="640" w:lineRule="exact"/>
        <w:ind w:firstLine="640"/>
        <w:jc w:val="both"/>
        <w:outlineLvl w:val="2"/>
      </w:pPr>
      <w:r>
        <w:rPr>
          <w:rFonts w:ascii="黑体" w:hAnsi="黑体" w:eastAsia="黑体"/>
          <w:sz w:val="32"/>
        </w:rPr>
        <w:t>八、国有资本经营预算财政拨款收入支出决算情况说明</w:t>
      </w:r>
    </w:p>
    <w:p w14:paraId="6288357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C56378E">
      <w:pPr>
        <w:spacing w:line="640" w:lineRule="exact"/>
        <w:ind w:firstLine="640"/>
        <w:jc w:val="both"/>
        <w:outlineLvl w:val="2"/>
      </w:pPr>
      <w:r>
        <w:rPr>
          <w:rFonts w:ascii="黑体" w:hAnsi="黑体" w:eastAsia="黑体"/>
          <w:sz w:val="32"/>
        </w:rPr>
        <w:t>九、财政拨款“三公”经费支出决算情况说明</w:t>
      </w:r>
    </w:p>
    <w:p w14:paraId="437FA3B3">
      <w:pPr>
        <w:spacing w:line="580" w:lineRule="exact"/>
        <w:ind w:firstLine="640"/>
        <w:jc w:val="both"/>
      </w:pPr>
      <w:r>
        <w:rPr>
          <w:rFonts w:ascii="仿宋_GB2312" w:hAnsi="仿宋_GB2312" w:eastAsia="仿宋_GB2312"/>
          <w:b/>
          <w:sz w:val="32"/>
        </w:rPr>
        <w:t>2024年度财政拨款“三公”经费支出1.08万元，</w:t>
      </w:r>
      <w:r>
        <w:rPr>
          <w:rFonts w:ascii="仿宋_GB2312" w:hAnsi="仿宋_GB2312" w:eastAsia="仿宋_GB2312"/>
          <w:b w:val="0"/>
          <w:sz w:val="32"/>
        </w:rPr>
        <w:t>比上年减少1.32万元，下降55.00%，主要原因是：严格执行</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厉行节约，减少公务用车运行维护费。其中：因公出国（境）费支出0.00万元，占0.00%，比上年增加0.00万元，增长0.00%，主要原因是：2023年与2024年均未安排因公出国（境）费支出。公务用车购置及运行维护费支出1.08万元，占100.00%，比上年减少1.32万元，下降55.00%，主要原因是：严格执行中央八项规定，厉行节约，减少公务用车运行维护费。公务接待费支出0.00万元，占0.00%，比上年增加0.00万元，增长0.00%，主要原因是：2023年与2024年均未安排公务接待费支出。</w:t>
      </w:r>
    </w:p>
    <w:p w14:paraId="44AB2874">
      <w:pPr>
        <w:spacing w:line="580" w:lineRule="exact"/>
        <w:ind w:firstLine="640"/>
        <w:jc w:val="both"/>
      </w:pPr>
      <w:r>
        <w:rPr>
          <w:rFonts w:ascii="仿宋_GB2312" w:hAnsi="仿宋_GB2312" w:eastAsia="仿宋_GB2312"/>
          <w:b/>
          <w:sz w:val="32"/>
        </w:rPr>
        <w:t>具体情况如下：</w:t>
      </w:r>
    </w:p>
    <w:p w14:paraId="4A9DB6F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753B9E2">
      <w:pPr>
        <w:spacing w:line="580" w:lineRule="exact"/>
        <w:ind w:firstLine="640"/>
        <w:jc w:val="both"/>
      </w:pPr>
      <w:r>
        <w:rPr>
          <w:rFonts w:ascii="仿宋_GB2312" w:hAnsi="仿宋_GB2312" w:eastAsia="仿宋_GB2312"/>
          <w:b w:val="0"/>
          <w:sz w:val="32"/>
        </w:rPr>
        <w:t>公务用车购置及运行维护费1.08万元，其中：公务用车购置费0.00万元，公务用车运行维护费1.08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6560A73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8AB57D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1.08万元，决算数1.08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1.08万元，决算数1.08万元，预决算差异率0.00%，主要原因是：严格按照预算执行，预决算无差异。公务接待费全年预算数0.00万元，决算数0.00万元，预决算差异率0.00%，主要原因是：本单位无公务接待费。</w:t>
      </w:r>
    </w:p>
    <w:p w14:paraId="26D32FA0">
      <w:pPr>
        <w:spacing w:line="640" w:lineRule="exact"/>
        <w:ind w:firstLine="640"/>
        <w:jc w:val="both"/>
        <w:outlineLvl w:val="2"/>
      </w:pPr>
      <w:r>
        <w:rPr>
          <w:rFonts w:ascii="黑体" w:hAnsi="黑体" w:eastAsia="黑体"/>
          <w:sz w:val="32"/>
        </w:rPr>
        <w:t>十、其他重要事项的情况说明</w:t>
      </w:r>
    </w:p>
    <w:p w14:paraId="01FB59A3">
      <w:pPr>
        <w:spacing w:line="640" w:lineRule="exact"/>
        <w:ind w:firstLine="640"/>
        <w:jc w:val="both"/>
        <w:outlineLvl w:val="3"/>
      </w:pPr>
      <w:r>
        <w:rPr>
          <w:rFonts w:ascii="楷体_GB2312" w:hAnsi="楷体_GB2312" w:eastAsia="楷体_GB2312"/>
          <w:b/>
          <w:sz w:val="32"/>
        </w:rPr>
        <w:t>（一）机关运行经费及公用经费支出情况</w:t>
      </w:r>
    </w:p>
    <w:p w14:paraId="12AB107B">
      <w:pPr>
        <w:spacing w:line="580" w:lineRule="exact"/>
        <w:ind w:firstLine="640"/>
        <w:jc w:val="both"/>
      </w:pPr>
      <w:r>
        <w:rPr>
          <w:rFonts w:ascii="仿宋_GB2312" w:hAnsi="仿宋_GB2312" w:eastAsia="仿宋_GB2312"/>
          <w:b w:val="0"/>
          <w:sz w:val="32"/>
        </w:rPr>
        <w:t>2024年度克孜勒苏柯尔克孜自治州平原林场（事业单位）公用经费支出34.14万元，比上年增加1.95万元，增长6.06%，主要原因是：本年增加工会费、福利费等经费。</w:t>
      </w:r>
    </w:p>
    <w:p w14:paraId="38349F09">
      <w:pPr>
        <w:spacing w:line="640" w:lineRule="exact"/>
        <w:ind w:firstLine="640"/>
        <w:jc w:val="both"/>
        <w:outlineLvl w:val="3"/>
      </w:pPr>
      <w:r>
        <w:rPr>
          <w:rFonts w:ascii="楷体_GB2312" w:hAnsi="楷体_GB2312" w:eastAsia="楷体_GB2312"/>
          <w:b/>
          <w:sz w:val="32"/>
        </w:rPr>
        <w:t>（二）政府采购情况</w:t>
      </w:r>
    </w:p>
    <w:p w14:paraId="300EFBC0">
      <w:pPr>
        <w:spacing w:line="580" w:lineRule="exact"/>
        <w:ind w:firstLine="640"/>
        <w:jc w:val="both"/>
      </w:pPr>
      <w:r>
        <w:rPr>
          <w:rFonts w:ascii="仿宋_GB2312" w:hAnsi="仿宋_GB2312" w:eastAsia="仿宋_GB2312"/>
          <w:b w:val="0"/>
          <w:sz w:val="32"/>
        </w:rPr>
        <w:t>2024年度政府采购支出总额33.53万元，其中：政府采购货物支出19.98万元、政府采购工程支出0.00万元、政府采购服务支出13.55万元。</w:t>
      </w:r>
    </w:p>
    <w:p w14:paraId="78A7D01D">
      <w:pPr>
        <w:spacing w:line="580" w:lineRule="exact"/>
        <w:ind w:firstLine="640"/>
        <w:jc w:val="both"/>
      </w:pPr>
      <w:r>
        <w:rPr>
          <w:rFonts w:ascii="仿宋_GB2312" w:hAnsi="仿宋_GB2312" w:eastAsia="仿宋_GB2312"/>
          <w:b w:val="0"/>
          <w:sz w:val="32"/>
        </w:rPr>
        <w:t>授予中小企业合同金额33.53万元，占政府采购支出总额的100.00%，其中：授予小微企业合同金额27.89万元，占政府采购支出总额的83.18%。</w:t>
      </w:r>
    </w:p>
    <w:p w14:paraId="714C2DB9">
      <w:pPr>
        <w:spacing w:line="640" w:lineRule="exact"/>
        <w:ind w:firstLine="640"/>
        <w:jc w:val="both"/>
        <w:outlineLvl w:val="3"/>
      </w:pPr>
      <w:r>
        <w:rPr>
          <w:rFonts w:ascii="楷体_GB2312" w:hAnsi="楷体_GB2312" w:eastAsia="楷体_GB2312"/>
          <w:b/>
          <w:sz w:val="32"/>
        </w:rPr>
        <w:t>（三）国有资产占用情况说明</w:t>
      </w:r>
    </w:p>
    <w:p w14:paraId="1C2F54D3">
      <w:pPr>
        <w:spacing w:line="580" w:lineRule="exact"/>
        <w:ind w:firstLine="640"/>
        <w:jc w:val="both"/>
      </w:pPr>
      <w:r>
        <w:rPr>
          <w:rFonts w:ascii="仿宋_GB2312" w:hAnsi="仿宋_GB2312" w:eastAsia="仿宋_GB2312"/>
          <w:b w:val="0"/>
          <w:sz w:val="32"/>
        </w:rPr>
        <w:t>截至2024年12月31日，房屋1,509.35平方米，价值206.66万元。车辆1辆，价值18.56万元，其中：副部（省）级及以上领导用车0辆、主要负责人用车0辆、机要通信用车0辆、应急保障用车0辆、执法执勤用车0辆、特种专业技术用车1辆、离退休干部服务用车0辆、其他用车0辆，其他用车主要是：本单位无其他用车。单价100万元（含）以上设备（不含车辆）0台（套）。</w:t>
      </w:r>
    </w:p>
    <w:p w14:paraId="3FC261A4">
      <w:pPr>
        <w:spacing w:line="640" w:lineRule="exact"/>
        <w:ind w:firstLine="640"/>
        <w:jc w:val="both"/>
        <w:outlineLvl w:val="2"/>
      </w:pPr>
      <w:r>
        <w:rPr>
          <w:rFonts w:ascii="黑体" w:hAnsi="黑体" w:eastAsia="黑体"/>
          <w:sz w:val="32"/>
        </w:rPr>
        <w:t>十一、预算绩效的情况说明</w:t>
      </w:r>
    </w:p>
    <w:p w14:paraId="4FD03D2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948.73万元，实际执行总额948.73万元；预算绩效评价项目5个，全年预算数38.05万元，全年执行数33.75万元。预算绩效管理取得的成效：一是</w:t>
      </w:r>
      <w:r>
        <w:rPr>
          <w:rFonts w:hint="eastAsia" w:ascii="仿宋_GB2312" w:hAnsi="仿宋_GB2312" w:eastAsia="仿宋_GB2312"/>
          <w:b w:val="0"/>
          <w:sz w:val="32"/>
          <w:lang w:eastAsia="zh-CN"/>
        </w:rPr>
        <w:t>本单位</w:t>
      </w:r>
      <w:r>
        <w:rPr>
          <w:rFonts w:ascii="仿宋_GB2312" w:hAnsi="仿宋_GB2312" w:eastAsia="仿宋_GB2312"/>
          <w:b w:val="0"/>
          <w:sz w:val="32"/>
        </w:rPr>
        <w:t>使用15万元的造林补助项目资金，完成了150亩大果沙枣补植补造，23亩葡萄补植补造，100亩李子补植补造任务；二是</w:t>
      </w:r>
      <w:r>
        <w:rPr>
          <w:rFonts w:hint="eastAsia" w:ascii="仿宋_GB2312" w:hAnsi="仿宋_GB2312" w:eastAsia="仿宋_GB2312"/>
          <w:b w:val="0"/>
          <w:sz w:val="32"/>
          <w:lang w:eastAsia="zh-CN"/>
        </w:rPr>
        <w:t>本单位</w:t>
      </w:r>
      <w:r>
        <w:rPr>
          <w:rFonts w:ascii="仿宋_GB2312" w:hAnsi="仿宋_GB2312" w:eastAsia="仿宋_GB2312"/>
          <w:b w:val="0"/>
          <w:sz w:val="32"/>
        </w:rPr>
        <w:t>使用1.052073万元的无花果栽培技术推广项目资金，完成了5亩无花果地的补植补造及后期抚育工作；三是</w:t>
      </w:r>
      <w:r>
        <w:rPr>
          <w:rFonts w:hint="eastAsia" w:ascii="仿宋_GB2312" w:hAnsi="仿宋_GB2312" w:eastAsia="仿宋_GB2312"/>
          <w:b w:val="0"/>
          <w:sz w:val="32"/>
          <w:lang w:eastAsia="zh-CN"/>
        </w:rPr>
        <w:t>本单位</w:t>
      </w:r>
      <w:r>
        <w:rPr>
          <w:rFonts w:ascii="仿宋_GB2312" w:hAnsi="仿宋_GB2312" w:eastAsia="仿宋_GB2312"/>
          <w:b w:val="0"/>
          <w:sz w:val="32"/>
        </w:rPr>
        <w:t>使用2万元的大果沙枣绿色高产栽培技术研发示范与集成应用项目资金完成了70亩大果沙枣良种苗木示范区建设任务；四是</w:t>
      </w:r>
      <w:r>
        <w:rPr>
          <w:rFonts w:hint="eastAsia" w:ascii="仿宋_GB2312" w:hAnsi="仿宋_GB2312" w:eastAsia="仿宋_GB2312"/>
          <w:b w:val="0"/>
          <w:sz w:val="32"/>
          <w:lang w:eastAsia="zh-CN"/>
        </w:rPr>
        <w:t>本单位</w:t>
      </w:r>
      <w:r>
        <w:rPr>
          <w:rFonts w:ascii="仿宋_GB2312" w:hAnsi="仿宋_GB2312" w:eastAsia="仿宋_GB2312"/>
          <w:b w:val="0"/>
          <w:sz w:val="32"/>
        </w:rPr>
        <w:t>使用5万元的新疆大果沙枣优良品种繁育项目资金完成了新建面积为150亩大果沙枣示范育苗地任务；五是</w:t>
      </w:r>
      <w:r>
        <w:rPr>
          <w:rFonts w:hint="eastAsia" w:ascii="仿宋_GB2312" w:hAnsi="仿宋_GB2312" w:eastAsia="仿宋_GB2312"/>
          <w:b w:val="0"/>
          <w:sz w:val="32"/>
          <w:lang w:eastAsia="zh-CN"/>
        </w:rPr>
        <w:t>本单位</w:t>
      </w:r>
      <w:r>
        <w:rPr>
          <w:rFonts w:ascii="仿宋_GB2312" w:hAnsi="仿宋_GB2312" w:eastAsia="仿宋_GB2312"/>
          <w:b w:val="0"/>
          <w:sz w:val="32"/>
        </w:rPr>
        <w:t>使用10.697982万元</w:t>
      </w:r>
      <w:r>
        <w:rPr>
          <w:rFonts w:hint="eastAsia" w:ascii="仿宋_GB2312" w:hAnsi="仿宋_GB2312" w:eastAsia="仿宋_GB2312"/>
          <w:b w:val="0"/>
          <w:sz w:val="32"/>
          <w:lang w:eastAsia="zh-CN"/>
        </w:rPr>
        <w:t>的</w:t>
      </w:r>
      <w:r>
        <w:rPr>
          <w:rFonts w:ascii="仿宋_GB2312" w:hAnsi="仿宋_GB2312" w:eastAsia="仿宋_GB2312"/>
          <w:b w:val="0"/>
          <w:sz w:val="32"/>
        </w:rPr>
        <w:t>大果沙枣良种苗木培育项目资金完成培育15万株大果沙枣良种苗木培育任务。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3F65AFD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EA567D5">
        <w:tblPrEx>
          <w:tblCellMar>
            <w:top w:w="0" w:type="dxa"/>
            <w:left w:w="108" w:type="dxa"/>
            <w:bottom w:w="0" w:type="dxa"/>
            <w:right w:w="108" w:type="dxa"/>
          </w:tblCellMar>
        </w:tblPrEx>
        <w:tc>
          <w:tcPr>
            <w:tcW w:w="8840" w:type="dxa"/>
            <w:gridSpan w:val="8"/>
            <w:vAlign w:val="center"/>
          </w:tcPr>
          <w:p w14:paraId="08CE1FD8">
            <w:pPr>
              <w:jc w:val="center"/>
            </w:pPr>
            <w:r>
              <w:rPr>
                <w:rFonts w:ascii="宋体" w:hAnsi="宋体" w:eastAsia="宋体"/>
                <w:sz w:val="24"/>
              </w:rPr>
              <w:t>单位整体支出绩效自评表</w:t>
            </w:r>
          </w:p>
        </w:tc>
      </w:tr>
      <w:tr w14:paraId="2C8B251F">
        <w:tblPrEx>
          <w:tblCellMar>
            <w:top w:w="0" w:type="dxa"/>
            <w:left w:w="108" w:type="dxa"/>
            <w:bottom w:w="0" w:type="dxa"/>
            <w:right w:w="108" w:type="dxa"/>
          </w:tblCellMar>
        </w:tblPrEx>
        <w:tc>
          <w:tcPr>
            <w:tcW w:w="8840" w:type="dxa"/>
            <w:gridSpan w:val="8"/>
            <w:vAlign w:val="center"/>
          </w:tcPr>
          <w:p w14:paraId="2DC7F895">
            <w:pPr>
              <w:jc w:val="center"/>
            </w:pPr>
            <w:r>
              <w:rPr>
                <w:rFonts w:ascii="宋体" w:hAnsi="宋体" w:eastAsia="宋体"/>
                <w:sz w:val="24"/>
              </w:rPr>
              <w:t>（2024年度）</w:t>
            </w:r>
          </w:p>
        </w:tc>
      </w:tr>
      <w:tr w14:paraId="630BE1E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59CE0">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2D298">
            <w:pPr>
              <w:jc w:val="center"/>
            </w:pPr>
            <w:r>
              <w:rPr>
                <w:rFonts w:ascii="宋体" w:hAnsi="宋体" w:eastAsia="宋体"/>
                <w:sz w:val="16"/>
              </w:rPr>
              <w:t>克孜勒苏柯尔克孜自治州平原林场</w:t>
            </w:r>
          </w:p>
        </w:tc>
      </w:tr>
      <w:tr w14:paraId="7BB880E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DAA8D">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2F25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51B4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98895">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02171">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B20B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05FB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8FD65">
            <w:pPr>
              <w:jc w:val="center"/>
            </w:pPr>
            <w:r>
              <w:rPr>
                <w:rFonts w:ascii="宋体" w:hAnsi="宋体" w:eastAsia="宋体"/>
                <w:sz w:val="16"/>
              </w:rPr>
              <w:t>得分</w:t>
            </w:r>
          </w:p>
        </w:tc>
      </w:tr>
      <w:tr w14:paraId="0D6876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3D56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B825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6D8050">
            <w:pPr>
              <w:jc w:val="center"/>
            </w:pPr>
            <w:r>
              <w:rPr>
                <w:rFonts w:ascii="宋体" w:hAnsi="宋体" w:eastAsia="宋体"/>
                <w:sz w:val="16"/>
              </w:rPr>
              <w:t>960.45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F05E6E">
            <w:pPr>
              <w:jc w:val="center"/>
            </w:pPr>
            <w:r>
              <w:rPr>
                <w:rFonts w:ascii="宋体" w:hAnsi="宋体" w:eastAsia="宋体"/>
                <w:sz w:val="16"/>
              </w:rPr>
              <w:t>948.73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37B4C7">
            <w:pPr>
              <w:jc w:val="center"/>
            </w:pPr>
            <w:r>
              <w:rPr>
                <w:rFonts w:ascii="宋体" w:hAnsi="宋体" w:eastAsia="宋体"/>
                <w:sz w:val="16"/>
              </w:rPr>
              <w:t>948.73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82464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84E26">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7A3CE">
            <w:pPr>
              <w:jc w:val="center"/>
            </w:pPr>
            <w:r>
              <w:rPr>
                <w:rFonts w:ascii="宋体" w:hAnsi="宋体" w:eastAsia="宋体"/>
                <w:sz w:val="16"/>
              </w:rPr>
              <w:t>10</w:t>
            </w:r>
          </w:p>
        </w:tc>
      </w:tr>
      <w:tr w14:paraId="480EF0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B84DD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BA82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DC9DF">
            <w:pPr>
              <w:jc w:val="center"/>
            </w:pPr>
            <w:r>
              <w:rPr>
                <w:rFonts w:ascii="宋体" w:hAnsi="宋体" w:eastAsia="宋体"/>
                <w:sz w:val="16"/>
              </w:rPr>
              <w:t>1.05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88A8B6">
            <w:pPr>
              <w:jc w:val="center"/>
            </w:pPr>
            <w:r>
              <w:rPr>
                <w:rFonts w:ascii="宋体" w:hAnsi="宋体" w:eastAsia="宋体"/>
                <w:sz w:val="16"/>
              </w:rPr>
              <w:t>11.75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6733B">
            <w:pPr>
              <w:jc w:val="center"/>
            </w:pPr>
            <w:r>
              <w:rPr>
                <w:rFonts w:ascii="宋体" w:hAnsi="宋体" w:eastAsia="宋体"/>
                <w:sz w:val="16"/>
              </w:rPr>
              <w:t>11.75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39E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ACE06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E64C51">
            <w:pPr>
              <w:jc w:val="center"/>
            </w:pPr>
            <w:r>
              <w:rPr>
                <w:rFonts w:ascii="宋体" w:hAnsi="宋体" w:eastAsia="宋体"/>
                <w:sz w:val="16"/>
              </w:rPr>
              <w:t>—</w:t>
            </w:r>
          </w:p>
        </w:tc>
      </w:tr>
      <w:tr w14:paraId="54554C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55929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7D3E1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F56B9">
            <w:pPr>
              <w:jc w:val="center"/>
            </w:pPr>
            <w:r>
              <w:rPr>
                <w:rFonts w:ascii="宋体" w:hAnsi="宋体" w:eastAsia="宋体"/>
                <w:sz w:val="16"/>
              </w:rPr>
              <w:t>929.40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61321F">
            <w:pPr>
              <w:jc w:val="center"/>
            </w:pPr>
            <w:r>
              <w:rPr>
                <w:rFonts w:ascii="宋体" w:hAnsi="宋体" w:eastAsia="宋体"/>
                <w:sz w:val="16"/>
              </w:rPr>
              <w:t>929.98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C31F4">
            <w:pPr>
              <w:jc w:val="center"/>
            </w:pPr>
            <w:r>
              <w:rPr>
                <w:rFonts w:ascii="宋体" w:hAnsi="宋体" w:eastAsia="宋体"/>
                <w:sz w:val="16"/>
              </w:rPr>
              <w:t>929.98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39ED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91D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5D0A31">
            <w:pPr>
              <w:jc w:val="center"/>
            </w:pPr>
            <w:r>
              <w:rPr>
                <w:rFonts w:ascii="宋体" w:hAnsi="宋体" w:eastAsia="宋体"/>
                <w:sz w:val="16"/>
              </w:rPr>
              <w:t>—</w:t>
            </w:r>
          </w:p>
        </w:tc>
      </w:tr>
      <w:tr w14:paraId="2BD0524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B7EB9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4F42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DB643">
            <w:pPr>
              <w:jc w:val="center"/>
            </w:pPr>
            <w:r>
              <w:rPr>
                <w:rFonts w:ascii="宋体" w:hAnsi="宋体" w:eastAsia="宋体"/>
                <w:sz w:val="16"/>
              </w:rPr>
              <w:t>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055CB">
            <w:pPr>
              <w:jc w:val="center"/>
            </w:pPr>
            <w:r>
              <w:rPr>
                <w:rFonts w:ascii="宋体" w:hAnsi="宋体" w:eastAsia="宋体"/>
                <w:sz w:val="16"/>
              </w:rPr>
              <w:t>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D9956E">
            <w:pPr>
              <w:jc w:val="center"/>
            </w:pPr>
            <w:r>
              <w:rPr>
                <w:rFonts w:ascii="宋体" w:hAnsi="宋体" w:eastAsia="宋体"/>
                <w:sz w:val="16"/>
              </w:rPr>
              <w:t>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1658D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4D7FC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B601B">
            <w:pPr>
              <w:jc w:val="center"/>
            </w:pPr>
            <w:r>
              <w:rPr>
                <w:rFonts w:ascii="宋体" w:hAnsi="宋体" w:eastAsia="宋体"/>
                <w:sz w:val="16"/>
              </w:rPr>
              <w:t>—</w:t>
            </w:r>
          </w:p>
        </w:tc>
      </w:tr>
      <w:tr w14:paraId="555FE39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E3879">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49D61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F31460">
            <w:pPr>
              <w:jc w:val="center"/>
            </w:pPr>
            <w:r>
              <w:rPr>
                <w:rFonts w:ascii="宋体" w:hAnsi="宋体" w:eastAsia="宋体"/>
                <w:sz w:val="16"/>
              </w:rPr>
              <w:t>实际完成情况</w:t>
            </w:r>
          </w:p>
        </w:tc>
      </w:tr>
      <w:tr w14:paraId="382B7C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622ED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34D261">
            <w:pPr>
              <w:jc w:val="both"/>
            </w:pPr>
            <w:r>
              <w:rPr>
                <w:rFonts w:hint="eastAsia" w:ascii="宋体" w:hAnsi="宋体"/>
                <w:sz w:val="16"/>
                <w:lang w:eastAsia="zh-CN"/>
              </w:rPr>
              <w:t>1.</w:t>
            </w:r>
            <w:r>
              <w:rPr>
                <w:rFonts w:ascii="宋体" w:hAnsi="宋体" w:eastAsia="宋体"/>
                <w:sz w:val="16"/>
              </w:rPr>
              <w:t>完善林长制制度及网络化管理工作；强化责任落实，加大宣传力度，2个林区设立林长公示牌；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2、加大巡护巡查密度，严格管理野外用火，排查火灾隐患工作；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3、不断加强及规范森林检测、林地管理、森林抚育工作；做好林业有害生物防治工作，防治面积8000亩</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大果沙枣扦插育苗5亩，补植补造林面积224亩，树种：大果沙枣、胡杨、李子、无花果,葡萄等。在2024年完成“葡萄资源圃项目”、“李子示范园项目”、“优良防护林项目”、“无花果栽培技术推广项目”等项目的验收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6BC9C6">
            <w:pPr>
              <w:jc w:val="both"/>
            </w:pPr>
            <w:r>
              <w:rPr>
                <w:rFonts w:ascii="宋体" w:hAnsi="宋体" w:eastAsia="宋体"/>
                <w:sz w:val="16"/>
              </w:rPr>
              <w:t>截至2024年12月31日，</w:t>
            </w:r>
            <w:r>
              <w:rPr>
                <w:rFonts w:hint="eastAsia" w:ascii="宋体" w:hAnsi="宋体"/>
                <w:sz w:val="16"/>
                <w:lang w:eastAsia="zh-CN"/>
              </w:rPr>
              <w:t>本单位</w:t>
            </w:r>
            <w:r>
              <w:rPr>
                <w:rFonts w:ascii="宋体" w:hAnsi="宋体" w:eastAsia="宋体"/>
                <w:sz w:val="16"/>
              </w:rPr>
              <w:t>积极响应绿化生产工作要求，开展完成了春季造林种植工作。根据单位实际情况及需求，在康西湾营林区完成了100亩杏树补植补造、5000亩病虫害防治、5000亩可燃物清理任务。在克青孜营林区完成了35亩新造林、30亩大果沙枣扦插育苗、50亩大果沙枣补植补造、50亩胡杨补植补造、100亩李子补植补造、5亩无花果补植补造、19亩葡萄补植补造，100亩修枝修剪、3000亩病虫害防治、3000可燃物清理任务，良好</w:t>
            </w:r>
            <w:r>
              <w:rPr>
                <w:rFonts w:hint="eastAsia" w:ascii="宋体" w:hAnsi="宋体"/>
                <w:sz w:val="16"/>
                <w:lang w:eastAsia="zh-CN"/>
              </w:rPr>
              <w:t>地</w:t>
            </w:r>
            <w:r>
              <w:rPr>
                <w:rFonts w:ascii="宋体" w:hAnsi="宋体" w:eastAsia="宋体"/>
                <w:sz w:val="16"/>
              </w:rPr>
              <w:t>完成了2个林场11500亩林地的林木抚育及森林防火工作任务。扎实开展林长制工作，召开了动员大会、制定了实施方案，成立了领导小组和工作专办，确定了具体负责人，制度牌匾全部上墙，安装了2面公示牌，印发了工作手册，组织开展了林长巡林活动，建立了任务清单，针对发现的问题及时进行整改</w:t>
            </w:r>
            <w:r>
              <w:rPr>
                <w:rFonts w:hint="eastAsia" w:ascii="宋体" w:hAnsi="宋体"/>
                <w:sz w:val="16"/>
                <w:lang w:eastAsia="zh-CN"/>
              </w:rPr>
              <w:t>销号</w:t>
            </w:r>
            <w:r>
              <w:rPr>
                <w:rFonts w:ascii="宋体" w:hAnsi="宋体" w:eastAsia="宋体"/>
                <w:sz w:val="16"/>
              </w:rPr>
              <w:t>。</w:t>
            </w:r>
          </w:p>
        </w:tc>
      </w:tr>
      <w:tr w14:paraId="4769149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27C8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7C5B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605C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72156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4BFC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A91F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2F84B9">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9BAD66">
            <w:pPr>
              <w:jc w:val="center"/>
            </w:pPr>
            <w:r>
              <w:rPr>
                <w:rFonts w:ascii="宋体" w:hAnsi="宋体" w:eastAsia="宋体"/>
                <w:sz w:val="16"/>
              </w:rPr>
              <w:t>得分</w:t>
            </w:r>
          </w:p>
        </w:tc>
      </w:tr>
      <w:tr w14:paraId="018CB99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114E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8C03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4DB3D">
            <w:pPr>
              <w:jc w:val="center"/>
            </w:pPr>
            <w:r>
              <w:rPr>
                <w:rFonts w:ascii="宋体" w:hAnsi="宋体" w:eastAsia="宋体"/>
                <w:sz w:val="16"/>
              </w:rPr>
              <w:t>设立森林防火公示牌（面）</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F0FEB">
            <w:pPr>
              <w:jc w:val="center"/>
            </w:pPr>
            <w:r>
              <w:rPr>
                <w:rFonts w:ascii="宋体" w:hAnsi="宋体" w:eastAsia="宋体"/>
                <w:sz w:val="16"/>
              </w:rPr>
              <w:t>=2面</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D08E2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5F6D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B1F01">
            <w:pPr>
              <w:jc w:val="center"/>
            </w:pPr>
            <w:r>
              <w:rPr>
                <w:rFonts w:ascii="宋体" w:hAnsi="宋体" w:eastAsia="宋体"/>
                <w:sz w:val="16"/>
              </w:rPr>
              <w:t>2面</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DA8DD">
            <w:pPr>
              <w:jc w:val="center"/>
            </w:pPr>
            <w:r>
              <w:rPr>
                <w:rFonts w:ascii="宋体" w:hAnsi="宋体" w:eastAsia="宋体"/>
                <w:sz w:val="16"/>
              </w:rPr>
              <w:t>15</w:t>
            </w:r>
          </w:p>
        </w:tc>
      </w:tr>
      <w:tr w14:paraId="7B169D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32652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3DB3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A9547">
            <w:pPr>
              <w:jc w:val="center"/>
            </w:pPr>
            <w:r>
              <w:rPr>
                <w:rFonts w:ascii="宋体" w:hAnsi="宋体" w:eastAsia="宋体"/>
                <w:sz w:val="16"/>
              </w:rPr>
              <w:t>林业有害生物防治面积（亩）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BC1A54">
            <w:pPr>
              <w:jc w:val="center"/>
            </w:pPr>
            <w:r>
              <w:rPr>
                <w:rFonts w:ascii="宋体" w:hAnsi="宋体" w:eastAsia="宋体"/>
                <w:sz w:val="16"/>
              </w:rPr>
              <w:t>&gt;=8000亩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16C67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EFF0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CDC45B">
            <w:pPr>
              <w:jc w:val="center"/>
            </w:pPr>
            <w:r>
              <w:rPr>
                <w:rFonts w:ascii="宋体" w:hAnsi="宋体" w:eastAsia="宋体"/>
                <w:sz w:val="16"/>
              </w:rPr>
              <w:t>8000亩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9BB58">
            <w:pPr>
              <w:jc w:val="center"/>
            </w:pPr>
            <w:r>
              <w:rPr>
                <w:rFonts w:ascii="宋体" w:hAnsi="宋体" w:eastAsia="宋体"/>
                <w:sz w:val="16"/>
              </w:rPr>
              <w:t>15</w:t>
            </w:r>
          </w:p>
        </w:tc>
      </w:tr>
      <w:tr w14:paraId="1B96DD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32E34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C9EBF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574C1">
            <w:pPr>
              <w:jc w:val="center"/>
            </w:pPr>
            <w:r>
              <w:rPr>
                <w:rFonts w:ascii="宋体" w:hAnsi="宋体" w:eastAsia="宋体"/>
                <w:sz w:val="16"/>
              </w:rPr>
              <w:t>补植补造面积（亩）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E14BAC">
            <w:pPr>
              <w:jc w:val="center"/>
            </w:pPr>
            <w:r>
              <w:rPr>
                <w:rFonts w:ascii="宋体" w:hAnsi="宋体" w:eastAsia="宋体"/>
                <w:sz w:val="16"/>
              </w:rPr>
              <w:t>&gt;=224亩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D69FF7">
            <w:pPr>
              <w:jc w:val="center"/>
            </w:pPr>
            <w:r>
              <w:rPr>
                <w:rFonts w:ascii="宋体" w:hAnsi="宋体" w:eastAsia="宋体"/>
                <w:sz w:val="16"/>
              </w:rPr>
              <w:t>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04FA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B7F55">
            <w:pPr>
              <w:jc w:val="center"/>
            </w:pPr>
            <w:r>
              <w:rPr>
                <w:rFonts w:ascii="宋体" w:hAnsi="宋体" w:eastAsia="宋体"/>
                <w:sz w:val="16"/>
              </w:rPr>
              <w:t>224亩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3F38C">
            <w:pPr>
              <w:jc w:val="center"/>
            </w:pPr>
            <w:r>
              <w:rPr>
                <w:rFonts w:ascii="宋体" w:hAnsi="宋体" w:eastAsia="宋体"/>
                <w:sz w:val="16"/>
              </w:rPr>
              <w:t>15</w:t>
            </w:r>
          </w:p>
        </w:tc>
      </w:tr>
      <w:tr w14:paraId="31539D6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5EDD9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C0B7E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912E6">
            <w:pPr>
              <w:jc w:val="center"/>
            </w:pPr>
            <w:r>
              <w:rPr>
                <w:rFonts w:ascii="宋体" w:hAnsi="宋体" w:eastAsia="宋体"/>
                <w:sz w:val="16"/>
              </w:rPr>
              <w:t>林木抚育面积（亩）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06DB8">
            <w:pPr>
              <w:jc w:val="center"/>
            </w:pPr>
            <w:r>
              <w:rPr>
                <w:rFonts w:ascii="宋体" w:hAnsi="宋体" w:eastAsia="宋体"/>
                <w:sz w:val="16"/>
              </w:rPr>
              <w:t>&gt;=11500亩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E7331">
            <w:pPr>
              <w:jc w:val="center"/>
            </w:pPr>
            <w:r>
              <w:rPr>
                <w:rFonts w:ascii="宋体" w:hAnsi="宋体" w:eastAsia="宋体"/>
                <w:sz w:val="16"/>
              </w:rPr>
              <w:t>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AC9B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FC0190">
            <w:pPr>
              <w:jc w:val="center"/>
            </w:pPr>
            <w:r>
              <w:rPr>
                <w:rFonts w:ascii="宋体" w:hAnsi="宋体" w:eastAsia="宋体"/>
                <w:sz w:val="16"/>
              </w:rPr>
              <w:t>11500亩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D6AFD">
            <w:pPr>
              <w:jc w:val="center"/>
            </w:pPr>
            <w:r>
              <w:rPr>
                <w:rFonts w:ascii="宋体" w:hAnsi="宋体" w:eastAsia="宋体"/>
                <w:sz w:val="16"/>
              </w:rPr>
              <w:t>15</w:t>
            </w:r>
          </w:p>
        </w:tc>
      </w:tr>
      <w:tr w14:paraId="0C861A2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3402D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3CD14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AA9E4">
            <w:pPr>
              <w:jc w:val="center"/>
            </w:pPr>
            <w:r>
              <w:rPr>
                <w:rFonts w:ascii="宋体" w:hAnsi="宋体" w:eastAsia="宋体"/>
                <w:sz w:val="16"/>
              </w:rPr>
              <w:t>大果沙枣扦插育苗面积（亩）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89C30">
            <w:pPr>
              <w:jc w:val="center"/>
            </w:pPr>
            <w:r>
              <w:rPr>
                <w:rFonts w:ascii="宋体" w:hAnsi="宋体" w:eastAsia="宋体"/>
                <w:sz w:val="16"/>
              </w:rPr>
              <w:t>=5亩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7847A">
            <w:pPr>
              <w:jc w:val="center"/>
            </w:pPr>
            <w:r>
              <w:rPr>
                <w:rFonts w:ascii="宋体" w:hAnsi="宋体" w:eastAsia="宋体"/>
                <w:sz w:val="16"/>
              </w:rPr>
              <w:t>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6E19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978A1">
            <w:pPr>
              <w:jc w:val="center"/>
            </w:pPr>
            <w:r>
              <w:rPr>
                <w:rFonts w:ascii="宋体" w:hAnsi="宋体" w:eastAsia="宋体"/>
                <w:sz w:val="16"/>
              </w:rPr>
              <w:t>30亩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088807">
            <w:pPr>
              <w:jc w:val="center"/>
            </w:pPr>
            <w:r>
              <w:rPr>
                <w:rFonts w:ascii="宋体" w:hAnsi="宋体" w:eastAsia="宋体"/>
                <w:sz w:val="16"/>
              </w:rPr>
              <w:t>15</w:t>
            </w:r>
          </w:p>
        </w:tc>
      </w:tr>
      <w:tr w14:paraId="47A0E3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5515A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AC5E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A9A70">
            <w:pPr>
              <w:jc w:val="center"/>
            </w:pPr>
            <w:r>
              <w:rPr>
                <w:rFonts w:ascii="宋体" w:hAnsi="宋体" w:eastAsia="宋体"/>
                <w:sz w:val="16"/>
              </w:rPr>
              <w:t>森林防火面积（亩）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98ABA">
            <w:pPr>
              <w:jc w:val="center"/>
            </w:pPr>
            <w:r>
              <w:rPr>
                <w:rFonts w:ascii="宋体" w:hAnsi="宋体" w:eastAsia="宋体"/>
                <w:sz w:val="16"/>
              </w:rPr>
              <w:t>=11500亩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B18D9">
            <w:pPr>
              <w:jc w:val="center"/>
            </w:pPr>
            <w:r>
              <w:rPr>
                <w:rFonts w:ascii="宋体" w:hAnsi="宋体" w:eastAsia="宋体"/>
                <w:sz w:val="16"/>
              </w:rPr>
              <w:t>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DA8B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8ABD2">
            <w:pPr>
              <w:jc w:val="center"/>
            </w:pPr>
            <w:r>
              <w:rPr>
                <w:rFonts w:ascii="宋体" w:hAnsi="宋体" w:eastAsia="宋体"/>
                <w:sz w:val="16"/>
              </w:rPr>
              <w:t>11500亩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FF28B">
            <w:pPr>
              <w:jc w:val="center"/>
            </w:pPr>
            <w:r>
              <w:rPr>
                <w:rFonts w:ascii="宋体" w:hAnsi="宋体" w:eastAsia="宋体"/>
                <w:sz w:val="16"/>
              </w:rPr>
              <w:t>15</w:t>
            </w:r>
          </w:p>
        </w:tc>
      </w:tr>
    </w:tbl>
    <w:p w14:paraId="0C9ED6B4">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31"/>
        <w:gridCol w:w="856"/>
        <w:gridCol w:w="616"/>
        <w:gridCol w:w="616"/>
        <w:gridCol w:w="616"/>
        <w:gridCol w:w="616"/>
        <w:gridCol w:w="616"/>
        <w:gridCol w:w="776"/>
        <w:gridCol w:w="631"/>
        <w:gridCol w:w="598"/>
        <w:gridCol w:w="631"/>
      </w:tblGrid>
      <w:tr w14:paraId="13BF4412">
        <w:tblPrEx>
          <w:tblCellMar>
            <w:top w:w="0" w:type="dxa"/>
            <w:left w:w="108" w:type="dxa"/>
            <w:bottom w:w="0" w:type="dxa"/>
            <w:right w:w="108" w:type="dxa"/>
          </w:tblCellMar>
        </w:tblPrEx>
        <w:tc>
          <w:tcPr>
            <w:tcW w:w="8848" w:type="dxa"/>
            <w:gridSpan w:val="14"/>
            <w:vAlign w:val="center"/>
          </w:tcPr>
          <w:p w14:paraId="3464CF18">
            <w:pPr>
              <w:jc w:val="center"/>
            </w:pPr>
            <w:r>
              <w:rPr>
                <w:rFonts w:ascii="宋体" w:hAnsi="宋体" w:eastAsia="宋体"/>
                <w:sz w:val="24"/>
              </w:rPr>
              <w:t>项目支出绩效自评表</w:t>
            </w:r>
          </w:p>
        </w:tc>
      </w:tr>
      <w:tr w14:paraId="6AFD1F89">
        <w:tblPrEx>
          <w:tblCellMar>
            <w:top w:w="0" w:type="dxa"/>
            <w:left w:w="108" w:type="dxa"/>
            <w:bottom w:w="0" w:type="dxa"/>
            <w:right w:w="108" w:type="dxa"/>
          </w:tblCellMar>
        </w:tblPrEx>
        <w:tc>
          <w:tcPr>
            <w:tcW w:w="8848" w:type="dxa"/>
            <w:gridSpan w:val="14"/>
            <w:vAlign w:val="center"/>
          </w:tcPr>
          <w:p w14:paraId="79975074">
            <w:pPr>
              <w:jc w:val="center"/>
            </w:pPr>
            <w:r>
              <w:rPr>
                <w:rFonts w:ascii="宋体" w:hAnsi="宋体" w:eastAsia="宋体"/>
                <w:sz w:val="24"/>
              </w:rPr>
              <w:t>(2024年度)</w:t>
            </w:r>
          </w:p>
        </w:tc>
      </w:tr>
      <w:tr w14:paraId="5C7054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66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0F9247">
            <w:pPr>
              <w:jc w:val="center"/>
            </w:pPr>
            <w:r>
              <w:rPr>
                <w:rFonts w:ascii="宋体" w:hAnsi="宋体" w:eastAsia="宋体"/>
                <w:sz w:val="16"/>
              </w:rPr>
              <w:t>大果沙枣绿色高产栽培技术研发示范与集成应用项目</w:t>
            </w:r>
          </w:p>
        </w:tc>
      </w:tr>
      <w:tr w14:paraId="7C9477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AC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D52F2">
            <w:pPr>
              <w:jc w:val="center"/>
              <w:rPr>
                <w:rFonts w:hint="eastAsia" w:eastAsia="宋体"/>
                <w:lang w:eastAsia="zh-CN"/>
              </w:rPr>
            </w:pPr>
            <w:r>
              <w:rPr>
                <w:rFonts w:hint="eastAsia" w:ascii="宋体" w:hAnsi="宋体"/>
                <w:sz w:val="16"/>
                <w:lang w:eastAsia="zh-CN"/>
              </w:rPr>
              <w:t>克孜勒苏柯尔克孜自治州平原林场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D6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C215AF">
            <w:pPr>
              <w:jc w:val="center"/>
            </w:pPr>
            <w:r>
              <w:rPr>
                <w:rFonts w:ascii="宋体" w:hAnsi="宋体" w:eastAsia="宋体"/>
                <w:sz w:val="16"/>
              </w:rPr>
              <w:t>克孜勒苏柯尔克孜自治州平原林场</w:t>
            </w:r>
          </w:p>
        </w:tc>
      </w:tr>
      <w:tr w14:paraId="537A44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672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5E6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377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F56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B2A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40E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417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4641">
            <w:pPr>
              <w:jc w:val="center"/>
            </w:pPr>
            <w:r>
              <w:rPr>
                <w:rFonts w:ascii="宋体" w:hAnsi="宋体" w:eastAsia="宋体"/>
                <w:sz w:val="16"/>
              </w:rPr>
              <w:t>得分</w:t>
            </w:r>
          </w:p>
        </w:tc>
      </w:tr>
      <w:tr w14:paraId="5E2BC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8B8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E3D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D9A6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F37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DEC5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767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F7A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5FE8">
            <w:pPr>
              <w:jc w:val="center"/>
            </w:pPr>
            <w:r>
              <w:rPr>
                <w:rFonts w:ascii="宋体" w:hAnsi="宋体" w:eastAsia="宋体"/>
                <w:sz w:val="16"/>
              </w:rPr>
              <w:t>10.00分</w:t>
            </w:r>
          </w:p>
        </w:tc>
      </w:tr>
      <w:tr w14:paraId="18956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0F5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E02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0D3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ADA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588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61A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177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66D9">
            <w:pPr>
              <w:jc w:val="center"/>
            </w:pPr>
            <w:r>
              <w:rPr>
                <w:rFonts w:ascii="宋体" w:hAnsi="宋体" w:eastAsia="宋体"/>
                <w:sz w:val="16"/>
              </w:rPr>
              <w:t>—</w:t>
            </w:r>
          </w:p>
        </w:tc>
      </w:tr>
      <w:tr w14:paraId="4964E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D26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7FB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64D5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8DA4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2D8A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71B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EA8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FCEA">
            <w:pPr>
              <w:jc w:val="center"/>
            </w:pPr>
            <w:r>
              <w:rPr>
                <w:rFonts w:ascii="宋体" w:hAnsi="宋体" w:eastAsia="宋体"/>
                <w:sz w:val="16"/>
              </w:rPr>
              <w:t>—</w:t>
            </w:r>
          </w:p>
        </w:tc>
      </w:tr>
      <w:tr w14:paraId="672069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E631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A4E7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17D26F">
            <w:pPr>
              <w:jc w:val="center"/>
            </w:pPr>
            <w:r>
              <w:rPr>
                <w:rFonts w:ascii="宋体" w:hAnsi="宋体" w:eastAsia="宋体"/>
                <w:sz w:val="16"/>
              </w:rPr>
              <w:t>实际完成情况</w:t>
            </w:r>
          </w:p>
        </w:tc>
      </w:tr>
      <w:tr w14:paraId="262FB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70C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FDCA7">
            <w:pPr>
              <w:jc w:val="both"/>
            </w:pPr>
            <w:r>
              <w:rPr>
                <w:rFonts w:ascii="宋体" w:hAnsi="宋体" w:eastAsia="宋体"/>
                <w:sz w:val="16"/>
              </w:rPr>
              <w:t>该项目总投资2万元，其中财政拨款0万元，其他资金2万元。通过利用该笔项目资金，与新疆林业科学院协作，在克青孜分场完成120亩大果沙枣优良品种繁育示范园任务，提高了我场的绿化工作效率。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5DCB15">
            <w:pPr>
              <w:jc w:val="both"/>
            </w:pPr>
            <w:r>
              <w:rPr>
                <w:rFonts w:ascii="宋体" w:hAnsi="宋体" w:eastAsia="宋体"/>
                <w:sz w:val="16"/>
              </w:rPr>
              <w:t>该项目总投资2万元，其中财政拨款0万元，其他资金2万元，</w:t>
            </w:r>
            <w:r>
              <w:rPr>
                <w:rFonts w:hint="eastAsia" w:ascii="宋体" w:hAnsi="宋体"/>
                <w:sz w:val="16"/>
                <w:lang w:eastAsia="zh-CN"/>
              </w:rPr>
              <w:t>截至</w:t>
            </w:r>
            <w:r>
              <w:rPr>
                <w:rFonts w:ascii="宋体" w:hAnsi="宋体" w:eastAsia="宋体"/>
                <w:sz w:val="16"/>
              </w:rPr>
              <w:t>2024年12月31日，已支付资金2万元，完成120亩大果沙枣优良品种繁育示范园任务，提高了我场的绿化工作效率。</w:t>
            </w:r>
          </w:p>
        </w:tc>
      </w:tr>
      <w:tr w14:paraId="67341D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B40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F1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57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09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A9A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F1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46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CB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DA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93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D8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1C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02E42">
            <w:pPr>
              <w:jc w:val="center"/>
            </w:pPr>
            <w:r>
              <w:rPr>
                <w:rFonts w:ascii="宋体" w:hAnsi="宋体" w:eastAsia="宋体"/>
                <w:sz w:val="16"/>
              </w:rPr>
              <w:t>偏差原因分析及改进措施</w:t>
            </w:r>
          </w:p>
        </w:tc>
      </w:tr>
      <w:tr w14:paraId="5894A6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C31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E84B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F0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80D1">
            <w:pPr>
              <w:jc w:val="center"/>
            </w:pPr>
            <w:r>
              <w:rPr>
                <w:rFonts w:ascii="宋体" w:hAnsi="宋体" w:eastAsia="宋体"/>
                <w:sz w:val="16"/>
              </w:rPr>
              <w:t>新建示范园面积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8BD2">
            <w:pPr>
              <w:jc w:val="center"/>
            </w:pPr>
            <w:r>
              <w:rPr>
                <w:rFonts w:ascii="宋体" w:hAnsi="宋体" w:eastAsia="宋体"/>
                <w:sz w:val="16"/>
              </w:rPr>
              <w:t>=120亩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A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E2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BAD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20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5F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7F97">
            <w:pPr>
              <w:jc w:val="center"/>
            </w:pPr>
            <w:r>
              <w:rPr>
                <w:rFonts w:ascii="宋体" w:hAnsi="宋体" w:eastAsia="宋体"/>
                <w:sz w:val="16"/>
              </w:rPr>
              <w:t>=120亩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D2E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FF3A">
            <w:pPr>
              <w:jc w:val="center"/>
            </w:pPr>
          </w:p>
        </w:tc>
      </w:tr>
      <w:tr w14:paraId="2AC03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FC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8E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D0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8B5C">
            <w:pPr>
              <w:jc w:val="center"/>
            </w:pPr>
            <w:r>
              <w:rPr>
                <w:rFonts w:ascii="宋体" w:hAnsi="宋体" w:eastAsia="宋体"/>
                <w:sz w:val="16"/>
              </w:rPr>
              <w:t>苗木成活率（%）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B84C">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6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F0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0FC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F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B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700A">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91A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4EB84">
            <w:pPr>
              <w:jc w:val="center"/>
            </w:pPr>
          </w:p>
        </w:tc>
      </w:tr>
      <w:tr w14:paraId="75D67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23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1E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5C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E1E3">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FA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4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9E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6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7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B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25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F6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67B6">
            <w:pPr>
              <w:jc w:val="center"/>
            </w:pPr>
          </w:p>
        </w:tc>
      </w:tr>
      <w:tr w14:paraId="17315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781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DB9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72C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8839">
            <w:pPr>
              <w:jc w:val="center"/>
            </w:pPr>
            <w:r>
              <w:rPr>
                <w:rFonts w:ascii="宋体" w:hAnsi="宋体" w:eastAsia="宋体"/>
                <w:sz w:val="16"/>
              </w:rPr>
              <w:t>每亩建设成本（元/亩）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503D">
            <w:pPr>
              <w:jc w:val="center"/>
            </w:pPr>
            <w:r>
              <w:rPr>
                <w:rFonts w:ascii="宋体" w:hAnsi="宋体" w:eastAsia="宋体"/>
                <w:sz w:val="16"/>
              </w:rPr>
              <w:t>&lt;=166.66元/亩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3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4B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8E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4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2F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E8F8">
            <w:pPr>
              <w:jc w:val="center"/>
            </w:pPr>
            <w:r>
              <w:rPr>
                <w:rFonts w:ascii="宋体" w:hAnsi="宋体" w:eastAsia="宋体"/>
                <w:sz w:val="16"/>
              </w:rPr>
              <w:t>=166.66元/亩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0C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1B377">
            <w:pPr>
              <w:jc w:val="center"/>
            </w:pPr>
          </w:p>
        </w:tc>
      </w:tr>
      <w:tr w14:paraId="18A8E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F8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F5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69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8388">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20C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FC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5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FD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71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82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D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12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336F2">
            <w:pPr>
              <w:jc w:val="center"/>
            </w:pPr>
          </w:p>
        </w:tc>
      </w:tr>
      <w:tr w14:paraId="07FF0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FFC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18E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32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EEDD">
            <w:pPr>
              <w:jc w:val="center"/>
            </w:pPr>
            <w:r>
              <w:rPr>
                <w:rFonts w:ascii="宋体" w:hAnsi="宋体" w:eastAsia="宋体"/>
                <w:sz w:val="16"/>
              </w:rPr>
              <w:t>有效提高农牧民的经济收入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8EE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5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F1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A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5E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DFC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815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5A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F3F1F">
            <w:pPr>
              <w:jc w:val="center"/>
            </w:pPr>
          </w:p>
        </w:tc>
      </w:tr>
      <w:tr w14:paraId="74F67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3A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35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586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8666">
            <w:pPr>
              <w:jc w:val="center"/>
            </w:pPr>
            <w:r>
              <w:rPr>
                <w:rFonts w:ascii="宋体" w:hAnsi="宋体" w:eastAsia="宋体"/>
                <w:sz w:val="16"/>
              </w:rPr>
              <w:t>提升生态环境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39CC">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C8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7D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E2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19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3C1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71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88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DCFF1">
            <w:pPr>
              <w:jc w:val="center"/>
            </w:pPr>
          </w:p>
        </w:tc>
      </w:tr>
      <w:tr w14:paraId="6413F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637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23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01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A073">
            <w:pPr>
              <w:jc w:val="center"/>
            </w:pPr>
            <w:r>
              <w:rPr>
                <w:rFonts w:ascii="宋体" w:hAnsi="宋体" w:eastAsia="宋体"/>
                <w:sz w:val="16"/>
              </w:rPr>
              <w:t>项目</w:t>
            </w:r>
            <w:r>
              <w:rPr>
                <w:rFonts w:hint="eastAsia" w:ascii="宋体" w:hAnsi="宋体"/>
                <w:sz w:val="16"/>
                <w:lang w:eastAsia="zh-CN"/>
              </w:rPr>
              <w:t>受益人</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9A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A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5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F3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88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1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5E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7B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FF3CC">
            <w:pPr>
              <w:jc w:val="center"/>
            </w:pPr>
          </w:p>
        </w:tc>
      </w:tr>
      <w:tr w14:paraId="2E3109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74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484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219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A8DEB6">
            <w:pPr>
              <w:jc w:val="center"/>
            </w:pPr>
            <w:r>
              <w:rPr>
                <w:rFonts w:ascii="宋体" w:hAnsi="宋体" w:eastAsia="宋体"/>
                <w:sz w:val="16"/>
              </w:rPr>
              <w:t>100分</w:t>
            </w:r>
          </w:p>
        </w:tc>
      </w:tr>
    </w:tbl>
    <w:p w14:paraId="490A11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9DFE323">
        <w:tblPrEx>
          <w:tblCellMar>
            <w:top w:w="0" w:type="dxa"/>
            <w:left w:w="108" w:type="dxa"/>
            <w:bottom w:w="0" w:type="dxa"/>
            <w:right w:w="108" w:type="dxa"/>
          </w:tblCellMar>
        </w:tblPrEx>
        <w:tc>
          <w:tcPr>
            <w:tcW w:w="8848" w:type="dxa"/>
            <w:gridSpan w:val="14"/>
            <w:vAlign w:val="center"/>
          </w:tcPr>
          <w:p w14:paraId="4ABBF716">
            <w:pPr>
              <w:jc w:val="center"/>
            </w:pPr>
            <w:r>
              <w:rPr>
                <w:rFonts w:ascii="宋体" w:hAnsi="宋体" w:eastAsia="宋体"/>
                <w:sz w:val="24"/>
              </w:rPr>
              <w:t>项目支出绩效自评表</w:t>
            </w:r>
          </w:p>
        </w:tc>
      </w:tr>
      <w:tr w14:paraId="0CB65A38">
        <w:tblPrEx>
          <w:tblCellMar>
            <w:top w:w="0" w:type="dxa"/>
            <w:left w:w="108" w:type="dxa"/>
            <w:bottom w:w="0" w:type="dxa"/>
            <w:right w:w="108" w:type="dxa"/>
          </w:tblCellMar>
        </w:tblPrEx>
        <w:tc>
          <w:tcPr>
            <w:tcW w:w="8848" w:type="dxa"/>
            <w:gridSpan w:val="14"/>
            <w:vAlign w:val="center"/>
          </w:tcPr>
          <w:p w14:paraId="4AEA6F28">
            <w:pPr>
              <w:jc w:val="center"/>
            </w:pPr>
            <w:r>
              <w:rPr>
                <w:rFonts w:ascii="宋体" w:hAnsi="宋体" w:eastAsia="宋体"/>
                <w:sz w:val="24"/>
              </w:rPr>
              <w:t>(2024年度)</w:t>
            </w:r>
          </w:p>
        </w:tc>
      </w:tr>
      <w:tr w14:paraId="52738F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25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A10B3E">
            <w:pPr>
              <w:jc w:val="center"/>
            </w:pPr>
            <w:r>
              <w:rPr>
                <w:rFonts w:ascii="宋体" w:hAnsi="宋体" w:eastAsia="宋体"/>
                <w:sz w:val="16"/>
              </w:rPr>
              <w:t>大果沙枣良种苗木培育项目</w:t>
            </w:r>
          </w:p>
        </w:tc>
      </w:tr>
      <w:tr w14:paraId="7F2669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0C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2F1A1">
            <w:pPr>
              <w:jc w:val="center"/>
              <w:rPr>
                <w:rFonts w:hint="eastAsia" w:eastAsia="宋体"/>
                <w:lang w:eastAsia="zh-CN"/>
              </w:rPr>
            </w:pPr>
            <w:r>
              <w:rPr>
                <w:rFonts w:hint="eastAsia" w:ascii="宋体" w:hAnsi="宋体"/>
                <w:sz w:val="16"/>
                <w:lang w:eastAsia="zh-CN"/>
              </w:rPr>
              <w:t>克孜勒苏柯尔克孜自治州平原林场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2E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A1EFBD">
            <w:pPr>
              <w:jc w:val="center"/>
            </w:pPr>
            <w:r>
              <w:rPr>
                <w:rFonts w:ascii="宋体" w:hAnsi="宋体" w:eastAsia="宋体"/>
                <w:sz w:val="16"/>
              </w:rPr>
              <w:t>克孜勒苏柯尔克孜自治州平原林场</w:t>
            </w:r>
          </w:p>
        </w:tc>
      </w:tr>
      <w:tr w14:paraId="4ADF12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CDE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EA9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EDD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399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326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A3A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C48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9653">
            <w:pPr>
              <w:jc w:val="center"/>
            </w:pPr>
            <w:r>
              <w:rPr>
                <w:rFonts w:ascii="宋体" w:hAnsi="宋体" w:eastAsia="宋体"/>
                <w:sz w:val="16"/>
              </w:rPr>
              <w:t>得分</w:t>
            </w:r>
          </w:p>
        </w:tc>
      </w:tr>
      <w:tr w14:paraId="7B857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51F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6F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1388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953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52A5">
            <w:pPr>
              <w:jc w:val="center"/>
            </w:pPr>
            <w:r>
              <w:rPr>
                <w:rFonts w:ascii="宋体" w:hAnsi="宋体" w:eastAsia="宋体"/>
                <w:sz w:val="16"/>
              </w:rPr>
              <w:t>10.70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963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BC934">
            <w:pPr>
              <w:jc w:val="center"/>
            </w:pPr>
            <w:r>
              <w:rPr>
                <w:rFonts w:ascii="宋体" w:hAnsi="宋体" w:eastAsia="宋体"/>
                <w:sz w:val="16"/>
              </w:rPr>
              <w:t>71.3%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7EA7">
            <w:pPr>
              <w:jc w:val="center"/>
            </w:pPr>
            <w:r>
              <w:rPr>
                <w:rFonts w:ascii="宋体" w:hAnsi="宋体" w:eastAsia="宋体"/>
                <w:sz w:val="16"/>
              </w:rPr>
              <w:t>2.83分</w:t>
            </w:r>
          </w:p>
        </w:tc>
      </w:tr>
      <w:tr w14:paraId="1E291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504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5D3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562A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859F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59BE1">
            <w:pPr>
              <w:jc w:val="center"/>
            </w:pPr>
            <w:r>
              <w:rPr>
                <w:rFonts w:ascii="宋体" w:hAnsi="宋体" w:eastAsia="宋体"/>
                <w:sz w:val="16"/>
              </w:rPr>
              <w:t>10.70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816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F14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729A">
            <w:pPr>
              <w:jc w:val="center"/>
            </w:pPr>
            <w:r>
              <w:rPr>
                <w:rFonts w:ascii="宋体" w:hAnsi="宋体" w:eastAsia="宋体"/>
                <w:sz w:val="16"/>
              </w:rPr>
              <w:t>—</w:t>
            </w:r>
          </w:p>
        </w:tc>
      </w:tr>
      <w:tr w14:paraId="1CD16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FC8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DD7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F3A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366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3DE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567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3A8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711A">
            <w:pPr>
              <w:jc w:val="center"/>
            </w:pPr>
            <w:r>
              <w:rPr>
                <w:rFonts w:ascii="宋体" w:hAnsi="宋体" w:eastAsia="宋体"/>
                <w:sz w:val="16"/>
              </w:rPr>
              <w:t>—</w:t>
            </w:r>
          </w:p>
        </w:tc>
      </w:tr>
      <w:tr w14:paraId="04EBA1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8AE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A1FB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D811D8">
            <w:pPr>
              <w:jc w:val="center"/>
            </w:pPr>
            <w:r>
              <w:rPr>
                <w:rFonts w:ascii="宋体" w:hAnsi="宋体" w:eastAsia="宋体"/>
                <w:sz w:val="16"/>
              </w:rPr>
              <w:t>实际完成情况</w:t>
            </w:r>
          </w:p>
        </w:tc>
      </w:tr>
      <w:tr w14:paraId="47101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4AD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DB9DB">
            <w:pPr>
              <w:jc w:val="both"/>
            </w:pPr>
            <w:r>
              <w:rPr>
                <w:rFonts w:ascii="宋体" w:hAnsi="宋体" w:eastAsia="宋体"/>
                <w:sz w:val="16"/>
              </w:rPr>
              <w:t>该项目资金为15万元，其中中央转移支付资金15万元，新建育苗地30亩，完成培育15万株大果沙枣良种苗木采集大果沙枣穗条，平整土地、扦插、抚育管护、灌溉、除草、松土、施肥、修剪等。育苗地类为林业用地，长期种植树木，非耕地、非基本农田。通过项目实施进一步提高我州的绿化生产工作效率，为我州的绿化生产工作贡献出一份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4E4313">
            <w:pPr>
              <w:jc w:val="both"/>
            </w:pPr>
            <w:r>
              <w:rPr>
                <w:rFonts w:ascii="宋体" w:hAnsi="宋体" w:eastAsia="宋体"/>
                <w:sz w:val="16"/>
              </w:rPr>
              <w:t>该项目总投资15万元，其中财政拨款15万元，其他资金0万元，</w:t>
            </w:r>
            <w:r>
              <w:rPr>
                <w:rFonts w:hint="eastAsia" w:ascii="宋体" w:hAnsi="宋体"/>
                <w:sz w:val="16"/>
                <w:lang w:eastAsia="zh-CN"/>
              </w:rPr>
              <w:t>截至</w:t>
            </w:r>
            <w:r>
              <w:rPr>
                <w:rFonts w:ascii="宋体" w:hAnsi="宋体" w:eastAsia="宋体"/>
                <w:sz w:val="16"/>
              </w:rPr>
              <w:t>2024年12月31日，已支付资金10.6979万元，已完成30亩15万株大果沙枣良种苗木培育任务，为我州的绿化工作贡献出一份力量。</w:t>
            </w:r>
          </w:p>
        </w:tc>
      </w:tr>
      <w:tr w14:paraId="2CCFA4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B34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37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48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7A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40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F0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71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1C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01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8B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7F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84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44C01">
            <w:pPr>
              <w:jc w:val="center"/>
            </w:pPr>
            <w:r>
              <w:rPr>
                <w:rFonts w:ascii="宋体" w:hAnsi="宋体" w:eastAsia="宋体"/>
                <w:sz w:val="16"/>
              </w:rPr>
              <w:t>偏差原因分析及改进措施</w:t>
            </w:r>
          </w:p>
        </w:tc>
      </w:tr>
      <w:tr w14:paraId="36E789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F78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EFD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B93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6AEE">
            <w:pPr>
              <w:jc w:val="center"/>
            </w:pPr>
            <w:r>
              <w:rPr>
                <w:rFonts w:ascii="宋体" w:hAnsi="宋体" w:eastAsia="宋体"/>
                <w:sz w:val="16"/>
              </w:rPr>
              <w:t>良种苗木培育数量（万株））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F5E9">
            <w:pPr>
              <w:jc w:val="center"/>
            </w:pPr>
            <w:r>
              <w:rPr>
                <w:rFonts w:ascii="宋体" w:hAnsi="宋体" w:eastAsia="宋体"/>
                <w:sz w:val="16"/>
              </w:rPr>
              <w:t>=15万株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D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E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6A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5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2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951E">
            <w:pPr>
              <w:jc w:val="center"/>
            </w:pPr>
            <w:r>
              <w:rPr>
                <w:rFonts w:ascii="宋体" w:hAnsi="宋体" w:eastAsia="宋体"/>
                <w:sz w:val="16"/>
              </w:rPr>
              <w:t>=15万株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53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3D3CB">
            <w:pPr>
              <w:jc w:val="center"/>
            </w:pPr>
          </w:p>
        </w:tc>
      </w:tr>
      <w:tr w14:paraId="7B9C1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C2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D0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1F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F5D5">
            <w:pPr>
              <w:jc w:val="center"/>
            </w:pPr>
            <w:r>
              <w:rPr>
                <w:rFonts w:ascii="宋体" w:hAnsi="宋体" w:eastAsia="宋体"/>
                <w:sz w:val="16"/>
              </w:rPr>
              <w:t>新建育苗地面积（亩）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64A2">
            <w:pPr>
              <w:jc w:val="center"/>
            </w:pPr>
            <w:r>
              <w:rPr>
                <w:rFonts w:ascii="宋体" w:hAnsi="宋体" w:eastAsia="宋体"/>
                <w:sz w:val="16"/>
              </w:rPr>
              <w:t>&gt;=30亩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8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CF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6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6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5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799A">
            <w:pPr>
              <w:jc w:val="center"/>
            </w:pPr>
            <w:r>
              <w:rPr>
                <w:rFonts w:ascii="宋体" w:hAnsi="宋体" w:eastAsia="宋体"/>
                <w:sz w:val="16"/>
              </w:rPr>
              <w:t>=30亩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BC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F3F29">
            <w:pPr>
              <w:jc w:val="center"/>
            </w:pPr>
          </w:p>
        </w:tc>
      </w:tr>
      <w:tr w14:paraId="4503A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50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D55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70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B5D0">
            <w:pPr>
              <w:jc w:val="center"/>
            </w:pPr>
            <w:r>
              <w:rPr>
                <w:rFonts w:ascii="宋体" w:hAnsi="宋体" w:eastAsia="宋体"/>
                <w:sz w:val="16"/>
              </w:rPr>
              <w:t>年度培育的良种苗木标准级别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B6F1">
            <w:pPr>
              <w:jc w:val="center"/>
            </w:pPr>
            <w:r>
              <w:rPr>
                <w:rFonts w:ascii="宋体" w:hAnsi="宋体" w:eastAsia="宋体"/>
                <w:sz w:val="16"/>
              </w:rPr>
              <w:t>&gt;=2级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D44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83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A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3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E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F633">
            <w:pPr>
              <w:jc w:val="center"/>
            </w:pPr>
            <w:r>
              <w:rPr>
                <w:rFonts w:ascii="宋体" w:hAnsi="宋体" w:eastAsia="宋体"/>
                <w:sz w:val="16"/>
              </w:rPr>
              <w:t>=2级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19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9FDA1">
            <w:pPr>
              <w:jc w:val="center"/>
            </w:pPr>
          </w:p>
        </w:tc>
      </w:tr>
      <w:tr w14:paraId="4CA7D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16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FDE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57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FBFA">
            <w:pPr>
              <w:jc w:val="center"/>
            </w:pPr>
            <w:r>
              <w:rPr>
                <w:rFonts w:ascii="宋体" w:hAnsi="宋体" w:eastAsia="宋体"/>
                <w:sz w:val="16"/>
              </w:rPr>
              <w:t>林木良种培育当期任务完成率（%）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A6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01A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71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C7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DD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5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4BD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5C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D8F64">
            <w:pPr>
              <w:jc w:val="center"/>
            </w:pPr>
          </w:p>
        </w:tc>
      </w:tr>
      <w:tr w14:paraId="45A59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7AB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EF4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424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B56D">
            <w:pPr>
              <w:jc w:val="center"/>
            </w:pPr>
            <w:r>
              <w:rPr>
                <w:rFonts w:ascii="宋体" w:hAnsi="宋体" w:eastAsia="宋体"/>
                <w:sz w:val="16"/>
              </w:rPr>
              <w:t>良种苗木培育经费（万元）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D40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6D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97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9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5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B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FF06">
            <w:pPr>
              <w:jc w:val="center"/>
            </w:pPr>
            <w:r>
              <w:rPr>
                <w:rFonts w:ascii="宋体" w:hAnsi="宋体" w:eastAsia="宋体"/>
                <w:sz w:val="16"/>
              </w:rPr>
              <w: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94F5">
            <w:pPr>
              <w:jc w:val="center"/>
            </w:pPr>
            <w:r>
              <w:rPr>
                <w:rFonts w:ascii="宋体" w:hAnsi="宋体" w:eastAsia="宋体"/>
                <w:sz w:val="16"/>
              </w:rPr>
              <w:t>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85FA">
            <w:pPr>
              <w:jc w:val="center"/>
            </w:pPr>
            <w:r>
              <w:rPr>
                <w:rFonts w:ascii="宋体" w:hAnsi="宋体" w:eastAsia="宋体"/>
                <w:sz w:val="16"/>
              </w:rPr>
              <w:t>偏差原因：对方未能及时提供发票等有关支付资料原因，未能当年支付完毕项目资金。改进措施：进一步提高财务人员业务工作水平及担当意识。</w:t>
            </w:r>
          </w:p>
        </w:tc>
      </w:tr>
      <w:tr w14:paraId="1B683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2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A6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B9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824B">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A82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CD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63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D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3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C0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5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A7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59DCD">
            <w:pPr>
              <w:jc w:val="center"/>
            </w:pPr>
          </w:p>
        </w:tc>
      </w:tr>
      <w:tr w14:paraId="39B8A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59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C4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6EC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6162">
            <w:pPr>
              <w:jc w:val="center"/>
            </w:pPr>
            <w:r>
              <w:rPr>
                <w:rFonts w:ascii="宋体" w:hAnsi="宋体" w:eastAsia="宋体"/>
                <w:sz w:val="16"/>
              </w:rPr>
              <w:t>有效提升生态环境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7D0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73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8C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87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5A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A49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CA8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0A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80C17">
            <w:pPr>
              <w:jc w:val="center"/>
            </w:pPr>
          </w:p>
        </w:tc>
      </w:tr>
      <w:tr w14:paraId="598E9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4F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94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92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0565">
            <w:pPr>
              <w:jc w:val="center"/>
            </w:pPr>
            <w:r>
              <w:rPr>
                <w:rFonts w:ascii="宋体" w:hAnsi="宋体" w:eastAsia="宋体"/>
                <w:sz w:val="16"/>
              </w:rPr>
              <w:t>优良苗木区域公众满意度（%）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AFE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851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92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8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66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4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536E">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D9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3A740">
            <w:pPr>
              <w:jc w:val="center"/>
            </w:pPr>
          </w:p>
        </w:tc>
      </w:tr>
      <w:tr w14:paraId="2235D6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ACA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E7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DE8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66ACF1">
            <w:pPr>
              <w:jc w:val="center"/>
            </w:pPr>
            <w:r>
              <w:rPr>
                <w:rFonts w:ascii="宋体" w:hAnsi="宋体" w:eastAsia="宋体"/>
                <w:sz w:val="16"/>
              </w:rPr>
              <w:t>85.66分</w:t>
            </w:r>
          </w:p>
        </w:tc>
      </w:tr>
    </w:tbl>
    <w:p w14:paraId="0984247A">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6E493FE2">
        <w:tblPrEx>
          <w:tblCellMar>
            <w:top w:w="0" w:type="dxa"/>
            <w:left w:w="108" w:type="dxa"/>
            <w:bottom w:w="0" w:type="dxa"/>
            <w:right w:w="108" w:type="dxa"/>
          </w:tblCellMar>
        </w:tblPrEx>
        <w:tc>
          <w:tcPr>
            <w:tcW w:w="8848" w:type="dxa"/>
            <w:gridSpan w:val="14"/>
            <w:vAlign w:val="center"/>
          </w:tcPr>
          <w:p w14:paraId="376D3672">
            <w:pPr>
              <w:jc w:val="center"/>
            </w:pPr>
            <w:r>
              <w:rPr>
                <w:rFonts w:ascii="宋体" w:hAnsi="宋体" w:eastAsia="宋体"/>
                <w:sz w:val="24"/>
              </w:rPr>
              <w:t>项目支出绩效自评表</w:t>
            </w:r>
          </w:p>
        </w:tc>
      </w:tr>
      <w:tr w14:paraId="2664B98B">
        <w:tblPrEx>
          <w:tblCellMar>
            <w:top w:w="0" w:type="dxa"/>
            <w:left w:w="108" w:type="dxa"/>
            <w:bottom w:w="0" w:type="dxa"/>
            <w:right w:w="108" w:type="dxa"/>
          </w:tblCellMar>
        </w:tblPrEx>
        <w:tc>
          <w:tcPr>
            <w:tcW w:w="8848" w:type="dxa"/>
            <w:gridSpan w:val="14"/>
            <w:vAlign w:val="center"/>
          </w:tcPr>
          <w:p w14:paraId="1CC0CE05">
            <w:pPr>
              <w:jc w:val="center"/>
            </w:pPr>
            <w:r>
              <w:rPr>
                <w:rFonts w:ascii="宋体" w:hAnsi="宋体" w:eastAsia="宋体"/>
                <w:sz w:val="24"/>
              </w:rPr>
              <w:t>(2024年度)</w:t>
            </w:r>
          </w:p>
        </w:tc>
      </w:tr>
      <w:tr w14:paraId="6682D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86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A3827C">
            <w:pPr>
              <w:jc w:val="center"/>
            </w:pPr>
            <w:r>
              <w:rPr>
                <w:rFonts w:ascii="宋体" w:hAnsi="宋体" w:eastAsia="宋体"/>
                <w:sz w:val="16"/>
              </w:rPr>
              <w:t>新疆大果沙枣优良品种繁育及推广项目</w:t>
            </w:r>
          </w:p>
        </w:tc>
      </w:tr>
      <w:tr w14:paraId="5264A2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C4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F122C">
            <w:pPr>
              <w:jc w:val="center"/>
              <w:rPr>
                <w:rFonts w:hint="eastAsia" w:eastAsia="宋体"/>
                <w:lang w:eastAsia="zh-CN"/>
              </w:rPr>
            </w:pPr>
            <w:r>
              <w:rPr>
                <w:rFonts w:hint="eastAsia" w:ascii="宋体" w:hAnsi="宋体"/>
                <w:sz w:val="16"/>
                <w:lang w:eastAsia="zh-CN"/>
              </w:rPr>
              <w:t>克孜勒苏柯尔克孜自治州平原林场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91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0451E2">
            <w:pPr>
              <w:jc w:val="center"/>
            </w:pPr>
            <w:r>
              <w:rPr>
                <w:rFonts w:ascii="宋体" w:hAnsi="宋体" w:eastAsia="宋体"/>
                <w:sz w:val="16"/>
              </w:rPr>
              <w:t>克孜勒苏柯尔克孜自治州平原林场</w:t>
            </w:r>
          </w:p>
        </w:tc>
      </w:tr>
      <w:tr w14:paraId="15B3A7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6B4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F51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176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259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38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33D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E1A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A933">
            <w:pPr>
              <w:jc w:val="center"/>
            </w:pPr>
            <w:r>
              <w:rPr>
                <w:rFonts w:ascii="宋体" w:hAnsi="宋体" w:eastAsia="宋体"/>
                <w:sz w:val="16"/>
              </w:rPr>
              <w:t>得分</w:t>
            </w:r>
          </w:p>
        </w:tc>
      </w:tr>
      <w:tr w14:paraId="2812D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6D3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746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8464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FD0B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51FE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190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7218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E8D5">
            <w:pPr>
              <w:jc w:val="center"/>
            </w:pPr>
            <w:r>
              <w:rPr>
                <w:rFonts w:ascii="宋体" w:hAnsi="宋体" w:eastAsia="宋体"/>
                <w:sz w:val="16"/>
              </w:rPr>
              <w:t>10.00分</w:t>
            </w:r>
          </w:p>
        </w:tc>
      </w:tr>
      <w:tr w14:paraId="0AAFF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D1A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108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122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DC8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928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2F6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336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185C">
            <w:pPr>
              <w:jc w:val="center"/>
            </w:pPr>
            <w:r>
              <w:rPr>
                <w:rFonts w:ascii="宋体" w:hAnsi="宋体" w:eastAsia="宋体"/>
                <w:sz w:val="16"/>
              </w:rPr>
              <w:t>—</w:t>
            </w:r>
          </w:p>
        </w:tc>
      </w:tr>
      <w:tr w14:paraId="6C1C9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4A2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D4D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0AB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4E43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9F0D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9B2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E4E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A371">
            <w:pPr>
              <w:jc w:val="center"/>
            </w:pPr>
            <w:r>
              <w:rPr>
                <w:rFonts w:ascii="宋体" w:hAnsi="宋体" w:eastAsia="宋体"/>
                <w:sz w:val="16"/>
              </w:rPr>
              <w:t>—</w:t>
            </w:r>
          </w:p>
        </w:tc>
      </w:tr>
      <w:tr w14:paraId="0024EF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1588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9F4C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84285">
            <w:pPr>
              <w:jc w:val="center"/>
            </w:pPr>
            <w:r>
              <w:rPr>
                <w:rFonts w:ascii="宋体" w:hAnsi="宋体" w:eastAsia="宋体"/>
                <w:sz w:val="16"/>
              </w:rPr>
              <w:t>实际完成情况</w:t>
            </w:r>
          </w:p>
        </w:tc>
      </w:tr>
      <w:tr w14:paraId="36BD2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F82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3C304A">
            <w:pPr>
              <w:jc w:val="both"/>
            </w:pPr>
            <w:r>
              <w:rPr>
                <w:rFonts w:ascii="宋体" w:hAnsi="宋体" w:eastAsia="宋体"/>
                <w:sz w:val="16"/>
              </w:rPr>
              <w:t>该项目总投资5万元，其中财政拨款0万元，其他资金5万元。通过项目实施，协作新疆林业科学院，在克青孜分场完成120亩大果沙枣优良品种繁育示范区建设任务，提高了我场的绿化工作效率。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023860">
            <w:pPr>
              <w:jc w:val="both"/>
            </w:pPr>
            <w:r>
              <w:rPr>
                <w:rFonts w:ascii="宋体" w:hAnsi="宋体" w:eastAsia="宋体"/>
                <w:sz w:val="16"/>
              </w:rPr>
              <w:t>该项目总投资5万元，其中财政拨款0万元，其他资金5万元，</w:t>
            </w:r>
            <w:r>
              <w:rPr>
                <w:rFonts w:hint="eastAsia" w:ascii="宋体" w:hAnsi="宋体"/>
                <w:sz w:val="16"/>
                <w:lang w:eastAsia="zh-CN"/>
              </w:rPr>
              <w:t>截至</w:t>
            </w:r>
            <w:r>
              <w:rPr>
                <w:rFonts w:ascii="宋体" w:hAnsi="宋体" w:eastAsia="宋体"/>
                <w:sz w:val="16"/>
              </w:rPr>
              <w:t>2024年12月31日，已支付资金5万元，已完成120亩大果沙枣优良品种繁育示范区建设任务，提高了我场的绿化工作效率。</w:t>
            </w:r>
          </w:p>
        </w:tc>
      </w:tr>
      <w:tr w14:paraId="338120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A17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5A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2B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B8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8E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B3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50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66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83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1B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7F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0B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474F2">
            <w:pPr>
              <w:jc w:val="center"/>
            </w:pPr>
            <w:r>
              <w:rPr>
                <w:rFonts w:ascii="宋体" w:hAnsi="宋体" w:eastAsia="宋体"/>
                <w:sz w:val="16"/>
              </w:rPr>
              <w:t>偏差原因分析及改进措施</w:t>
            </w:r>
          </w:p>
        </w:tc>
      </w:tr>
      <w:tr w14:paraId="52CC13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45F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773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24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D146">
            <w:pPr>
              <w:jc w:val="center"/>
            </w:pPr>
            <w:r>
              <w:rPr>
                <w:rFonts w:ascii="宋体" w:hAnsi="宋体" w:eastAsia="宋体"/>
                <w:sz w:val="16"/>
              </w:rPr>
              <w:t>新建示范区面积（亩）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6326">
            <w:pPr>
              <w:jc w:val="center"/>
            </w:pPr>
            <w:r>
              <w:rPr>
                <w:rFonts w:ascii="宋体" w:hAnsi="宋体" w:eastAsia="宋体"/>
                <w:sz w:val="16"/>
              </w:rPr>
              <w:t>=120亩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B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AB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E9B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5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5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CD9E">
            <w:pPr>
              <w:jc w:val="center"/>
            </w:pPr>
            <w:r>
              <w:rPr>
                <w:rFonts w:ascii="宋体" w:hAnsi="宋体" w:eastAsia="宋体"/>
                <w:sz w:val="16"/>
              </w:rPr>
              <w:t>=120亩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9FA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0AB83">
            <w:pPr>
              <w:jc w:val="center"/>
            </w:pPr>
          </w:p>
        </w:tc>
      </w:tr>
      <w:tr w14:paraId="09300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F2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8F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91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43AD">
            <w:pPr>
              <w:jc w:val="center"/>
            </w:pPr>
            <w:r>
              <w:rPr>
                <w:rFonts w:ascii="宋体" w:hAnsi="宋体" w:eastAsia="宋体"/>
                <w:sz w:val="16"/>
              </w:rPr>
              <w:t>苗木成活率（%）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E59C">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A4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2B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E8A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59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C1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1539">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1D3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6FE0C">
            <w:pPr>
              <w:jc w:val="center"/>
            </w:pPr>
          </w:p>
        </w:tc>
      </w:tr>
      <w:tr w14:paraId="59E4986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27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C5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AD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4BF2">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3C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E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FF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B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B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5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96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26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1F4C9">
            <w:pPr>
              <w:jc w:val="center"/>
            </w:pPr>
          </w:p>
        </w:tc>
      </w:tr>
      <w:tr w14:paraId="56F254A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5B7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760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966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79F3">
            <w:pPr>
              <w:jc w:val="center"/>
            </w:pPr>
            <w:r>
              <w:rPr>
                <w:rFonts w:ascii="宋体" w:hAnsi="宋体" w:eastAsia="宋体"/>
                <w:sz w:val="16"/>
              </w:rPr>
              <w:t>每亩成本（元/亩）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2639">
            <w:pPr>
              <w:jc w:val="center"/>
            </w:pPr>
            <w:r>
              <w:rPr>
                <w:rFonts w:ascii="宋体" w:hAnsi="宋体" w:eastAsia="宋体"/>
                <w:sz w:val="16"/>
              </w:rPr>
              <w:t>&lt;=416.66元/亩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05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C3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B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6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EC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6960">
            <w:pPr>
              <w:jc w:val="center"/>
            </w:pPr>
            <w:r>
              <w:rPr>
                <w:rFonts w:ascii="宋体" w:hAnsi="宋体" w:eastAsia="宋体"/>
                <w:sz w:val="16"/>
              </w:rPr>
              <w:t>=416.66元/亩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B5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6B150">
            <w:pPr>
              <w:jc w:val="center"/>
            </w:pPr>
          </w:p>
        </w:tc>
      </w:tr>
      <w:tr w14:paraId="0D57A97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80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93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40D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60BA">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E80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C9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9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00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A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1F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F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25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28FF4">
            <w:pPr>
              <w:jc w:val="center"/>
            </w:pPr>
          </w:p>
        </w:tc>
      </w:tr>
      <w:tr w14:paraId="6DCD2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E92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1B6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C0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25DE">
            <w:pPr>
              <w:jc w:val="center"/>
            </w:pPr>
            <w:r>
              <w:rPr>
                <w:rFonts w:ascii="宋体" w:hAnsi="宋体" w:eastAsia="宋体"/>
                <w:sz w:val="16"/>
              </w:rPr>
              <w:t>提升林分质量与功能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D50B">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FDA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C3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D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D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670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26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8F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0C60">
            <w:pPr>
              <w:jc w:val="center"/>
            </w:pPr>
          </w:p>
        </w:tc>
      </w:tr>
      <w:tr w14:paraId="0052F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D2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2C6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93B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72C5">
            <w:pPr>
              <w:jc w:val="center"/>
            </w:pPr>
            <w:r>
              <w:rPr>
                <w:rFonts w:ascii="宋体" w:hAnsi="宋体" w:eastAsia="宋体"/>
                <w:sz w:val="16"/>
              </w:rPr>
              <w:t>有效改善生态环境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CEE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8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B8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A1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4A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A2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1A6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27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B5F6D">
            <w:pPr>
              <w:jc w:val="center"/>
            </w:pPr>
          </w:p>
        </w:tc>
      </w:tr>
      <w:tr w14:paraId="513C4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45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D1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92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A71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05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5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84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0A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00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DE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D2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A0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B78B1">
            <w:pPr>
              <w:jc w:val="center"/>
            </w:pPr>
          </w:p>
        </w:tc>
      </w:tr>
      <w:tr w14:paraId="75FE88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83F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38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3B0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D2BA7E">
            <w:pPr>
              <w:jc w:val="center"/>
            </w:pPr>
            <w:r>
              <w:rPr>
                <w:rFonts w:ascii="宋体" w:hAnsi="宋体" w:eastAsia="宋体"/>
                <w:sz w:val="16"/>
              </w:rPr>
              <w:t>100分</w:t>
            </w:r>
          </w:p>
        </w:tc>
      </w:tr>
    </w:tbl>
    <w:p w14:paraId="0A7FCC74">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696"/>
        <w:gridCol w:w="936"/>
        <w:gridCol w:w="593"/>
        <w:gridCol w:w="593"/>
        <w:gridCol w:w="593"/>
        <w:gridCol w:w="593"/>
        <w:gridCol w:w="593"/>
        <w:gridCol w:w="856"/>
        <w:gridCol w:w="628"/>
        <w:gridCol w:w="548"/>
        <w:gridCol w:w="630"/>
      </w:tblGrid>
      <w:tr w14:paraId="5F7B1969">
        <w:tblPrEx>
          <w:tblCellMar>
            <w:top w:w="0" w:type="dxa"/>
            <w:left w:w="108" w:type="dxa"/>
            <w:bottom w:w="0" w:type="dxa"/>
            <w:right w:w="108" w:type="dxa"/>
          </w:tblCellMar>
        </w:tblPrEx>
        <w:tc>
          <w:tcPr>
            <w:tcW w:w="8848" w:type="dxa"/>
            <w:gridSpan w:val="14"/>
            <w:vAlign w:val="center"/>
          </w:tcPr>
          <w:p w14:paraId="086C1F71">
            <w:pPr>
              <w:jc w:val="center"/>
            </w:pPr>
            <w:r>
              <w:rPr>
                <w:rFonts w:ascii="宋体" w:hAnsi="宋体" w:eastAsia="宋体"/>
                <w:sz w:val="24"/>
              </w:rPr>
              <w:t>项目支出绩效自评表</w:t>
            </w:r>
          </w:p>
        </w:tc>
      </w:tr>
      <w:tr w14:paraId="34BF8D01">
        <w:tblPrEx>
          <w:tblCellMar>
            <w:top w:w="0" w:type="dxa"/>
            <w:left w:w="108" w:type="dxa"/>
            <w:bottom w:w="0" w:type="dxa"/>
            <w:right w:w="108" w:type="dxa"/>
          </w:tblCellMar>
        </w:tblPrEx>
        <w:tc>
          <w:tcPr>
            <w:tcW w:w="8848" w:type="dxa"/>
            <w:gridSpan w:val="14"/>
            <w:vAlign w:val="center"/>
          </w:tcPr>
          <w:p w14:paraId="15284C6D">
            <w:pPr>
              <w:jc w:val="center"/>
            </w:pPr>
            <w:r>
              <w:rPr>
                <w:rFonts w:ascii="宋体" w:hAnsi="宋体" w:eastAsia="宋体"/>
                <w:sz w:val="24"/>
              </w:rPr>
              <w:t>(2024年度)</w:t>
            </w:r>
          </w:p>
        </w:tc>
      </w:tr>
      <w:tr w14:paraId="0F2444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93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4EB285">
            <w:pPr>
              <w:jc w:val="center"/>
            </w:pPr>
            <w:r>
              <w:rPr>
                <w:rFonts w:ascii="宋体" w:hAnsi="宋体" w:eastAsia="宋体"/>
                <w:sz w:val="16"/>
              </w:rPr>
              <w:t>无花果栽培技术推广项目</w:t>
            </w:r>
          </w:p>
        </w:tc>
      </w:tr>
      <w:tr w14:paraId="5B2DD6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87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8DD2E2">
            <w:pPr>
              <w:jc w:val="center"/>
              <w:rPr>
                <w:rFonts w:hint="eastAsia" w:eastAsia="宋体"/>
                <w:lang w:eastAsia="zh-CN"/>
              </w:rPr>
            </w:pPr>
            <w:r>
              <w:rPr>
                <w:rFonts w:hint="eastAsia" w:ascii="宋体" w:hAnsi="宋体"/>
                <w:sz w:val="16"/>
                <w:lang w:eastAsia="zh-CN"/>
              </w:rPr>
              <w:t>克孜勒苏柯尔克孜自治州平原林场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1E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F49ACB">
            <w:pPr>
              <w:jc w:val="center"/>
            </w:pPr>
            <w:r>
              <w:rPr>
                <w:rFonts w:ascii="宋体" w:hAnsi="宋体" w:eastAsia="宋体"/>
                <w:sz w:val="16"/>
              </w:rPr>
              <w:t>克孜勒苏柯尔克孜自治州平原林场</w:t>
            </w:r>
          </w:p>
        </w:tc>
      </w:tr>
      <w:tr w14:paraId="28E192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6F8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505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E19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2FF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D93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58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D66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840C">
            <w:pPr>
              <w:jc w:val="center"/>
            </w:pPr>
            <w:r>
              <w:rPr>
                <w:rFonts w:ascii="宋体" w:hAnsi="宋体" w:eastAsia="宋体"/>
                <w:sz w:val="16"/>
              </w:rPr>
              <w:t>得分</w:t>
            </w:r>
          </w:p>
        </w:tc>
      </w:tr>
      <w:tr w14:paraId="3A716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01E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E6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D20DD">
            <w:pPr>
              <w:jc w:val="center"/>
            </w:pPr>
            <w:r>
              <w:rPr>
                <w:rFonts w:ascii="宋体" w:hAnsi="宋体" w:eastAsia="宋体"/>
                <w:sz w:val="16"/>
              </w:rPr>
              <w:t>1.05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D0AE8">
            <w:pPr>
              <w:jc w:val="center"/>
            </w:pPr>
            <w:r>
              <w:rPr>
                <w:rFonts w:ascii="宋体" w:hAnsi="宋体" w:eastAsia="宋体"/>
                <w:sz w:val="16"/>
              </w:rPr>
              <w:t>1.05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F2EB9">
            <w:pPr>
              <w:jc w:val="center"/>
            </w:pPr>
            <w:r>
              <w:rPr>
                <w:rFonts w:ascii="宋体" w:hAnsi="宋体" w:eastAsia="宋体"/>
                <w:sz w:val="16"/>
              </w:rPr>
              <w:t>1.05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1D5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ABF5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78BC">
            <w:pPr>
              <w:jc w:val="center"/>
            </w:pPr>
            <w:r>
              <w:rPr>
                <w:rFonts w:ascii="宋体" w:hAnsi="宋体" w:eastAsia="宋体"/>
                <w:sz w:val="16"/>
              </w:rPr>
              <w:t>10.00分</w:t>
            </w:r>
          </w:p>
        </w:tc>
      </w:tr>
      <w:tr w14:paraId="1C488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B36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31B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5DA62">
            <w:pPr>
              <w:jc w:val="center"/>
            </w:pPr>
            <w:r>
              <w:rPr>
                <w:rFonts w:ascii="宋体" w:hAnsi="宋体" w:eastAsia="宋体"/>
                <w:sz w:val="16"/>
              </w:rPr>
              <w:t>1.05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57A60">
            <w:pPr>
              <w:jc w:val="center"/>
            </w:pPr>
            <w:r>
              <w:rPr>
                <w:rFonts w:ascii="宋体" w:hAnsi="宋体" w:eastAsia="宋体"/>
                <w:sz w:val="16"/>
              </w:rPr>
              <w:t>1.05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B4EF6">
            <w:pPr>
              <w:jc w:val="center"/>
            </w:pPr>
            <w:r>
              <w:rPr>
                <w:rFonts w:ascii="宋体" w:hAnsi="宋体" w:eastAsia="宋体"/>
                <w:sz w:val="16"/>
              </w:rPr>
              <w:t>1.05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F03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A1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D3A6">
            <w:pPr>
              <w:jc w:val="center"/>
            </w:pPr>
            <w:r>
              <w:rPr>
                <w:rFonts w:ascii="宋体" w:hAnsi="宋体" w:eastAsia="宋体"/>
                <w:sz w:val="16"/>
              </w:rPr>
              <w:t>—</w:t>
            </w:r>
          </w:p>
        </w:tc>
      </w:tr>
      <w:tr w14:paraId="7AABA9D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512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3FC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3E9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032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D81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4D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E08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1039">
            <w:pPr>
              <w:jc w:val="center"/>
            </w:pPr>
            <w:r>
              <w:rPr>
                <w:rFonts w:ascii="宋体" w:hAnsi="宋体" w:eastAsia="宋体"/>
                <w:sz w:val="16"/>
              </w:rPr>
              <w:t>—</w:t>
            </w:r>
          </w:p>
        </w:tc>
      </w:tr>
      <w:tr w14:paraId="02C940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3F9E0">
            <w:pPr>
              <w:jc w:val="center"/>
            </w:pPr>
            <w:bookmarkStart w:id="0" w:name="_GoBack" w:colFirst="1" w:colLast="7"/>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077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449984">
            <w:pPr>
              <w:jc w:val="center"/>
            </w:pPr>
            <w:r>
              <w:rPr>
                <w:rFonts w:ascii="宋体" w:hAnsi="宋体" w:eastAsia="宋体"/>
                <w:sz w:val="16"/>
              </w:rPr>
              <w:t>实际完成情况</w:t>
            </w:r>
          </w:p>
        </w:tc>
      </w:tr>
      <w:tr w14:paraId="30233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346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3D8F5F">
            <w:pPr>
              <w:jc w:val="both"/>
            </w:pPr>
            <w:r>
              <w:rPr>
                <w:rFonts w:ascii="宋体" w:hAnsi="宋体" w:eastAsia="宋体"/>
                <w:sz w:val="16"/>
              </w:rPr>
              <w:t>该项目资金共1.05万元，其中财政资金1.05万元，其他资金0万元。从山东省山东丰泰苗木批发基地合作社公司，引进2种无花果优良品种，对照阿图什市当地品种新疆早黄，在克州平原林场克青孜分场新建5亩无花果示范园。优良品种为:波姬红、丰产黄等2个品种。 通过项目实施，在克州平原林场克青孜营林区使用本地管理技术和引进原地常规管理技术相结合对无花果7种品种进行试验。每品种栽植不小于30株，树液开始流动时观测记载各品种物候生长情况。栽植密度，行距5m，株距3m。每品种进行埋土越冬，土层厚度为35厘米，观测各品种的成活率。在统一管理下、本地品种和引进品种作为对照、引进品种互相对照，选择当地生态条件比较适应的、表现优异的品种进行大规模栽培并作技术推广。所有品种均为一年生苗木。 建立无花果优良品种汇集圃5亩。对引进的无花果优良品种进行物候观测，选择当地生态条件比较适应的、表现优异的品种，进行品种对比试验、以进一步选择具有适用价值的品种，并作技术推广。通过项目实施，为以后的无花果优良品种推广及产业化提供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FF6BE4">
            <w:pPr>
              <w:jc w:val="both"/>
            </w:pPr>
            <w:r>
              <w:rPr>
                <w:rFonts w:ascii="宋体" w:hAnsi="宋体" w:eastAsia="宋体"/>
                <w:sz w:val="16"/>
              </w:rPr>
              <w:t>该项目总投资1.05万元，其中财政资金1.05万元，其他资金0万元。</w:t>
            </w:r>
            <w:r>
              <w:rPr>
                <w:rFonts w:hint="eastAsia" w:ascii="宋体" w:hAnsi="宋体"/>
                <w:sz w:val="16"/>
                <w:lang w:eastAsia="zh-CN"/>
              </w:rPr>
              <w:t>截至</w:t>
            </w:r>
            <w:r>
              <w:rPr>
                <w:rFonts w:ascii="宋体" w:hAnsi="宋体" w:eastAsia="宋体"/>
                <w:sz w:val="16"/>
              </w:rPr>
              <w:t>2024年12月31日，已支付1.05万元，已完成无花果良种品种引进，新建5亩无花果示范园建设任务。通过项目实施，为以后的无花果优良品种推广及产业化提供科学依据。</w:t>
            </w:r>
          </w:p>
        </w:tc>
      </w:tr>
      <w:bookmarkEnd w:id="0"/>
      <w:tr w14:paraId="71F1D4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67C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8D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21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CD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34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00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C0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63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99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0D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63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F3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19EE7">
            <w:pPr>
              <w:jc w:val="center"/>
            </w:pPr>
            <w:r>
              <w:rPr>
                <w:rFonts w:ascii="宋体" w:hAnsi="宋体" w:eastAsia="宋体"/>
                <w:sz w:val="16"/>
              </w:rPr>
              <w:t>偏差原因分析及改进措施</w:t>
            </w:r>
          </w:p>
        </w:tc>
      </w:tr>
      <w:tr w14:paraId="5B97A6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ED5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A5B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590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7478">
            <w:pPr>
              <w:jc w:val="center"/>
            </w:pPr>
            <w:r>
              <w:rPr>
                <w:rFonts w:ascii="宋体" w:hAnsi="宋体" w:eastAsia="宋体"/>
                <w:sz w:val="16"/>
              </w:rPr>
              <w:t>引进无花果品种（种）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7127">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9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E2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F9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43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DE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970C">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E7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F6B51">
            <w:pPr>
              <w:jc w:val="center"/>
            </w:pPr>
          </w:p>
        </w:tc>
      </w:tr>
      <w:tr w14:paraId="09576A2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D7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CE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48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8236">
            <w:pPr>
              <w:jc w:val="center"/>
            </w:pPr>
            <w:r>
              <w:rPr>
                <w:rFonts w:ascii="宋体" w:hAnsi="宋体" w:eastAsia="宋体"/>
                <w:sz w:val="16"/>
              </w:rPr>
              <w:t>种植无花果地（亩）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16A3">
            <w:pPr>
              <w:jc w:val="center"/>
            </w:pPr>
            <w:r>
              <w:rPr>
                <w:rFonts w:ascii="宋体" w:hAnsi="宋体" w:eastAsia="宋体"/>
                <w:sz w:val="16"/>
              </w:rPr>
              <w:t>=5亩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2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34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A8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9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5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5411">
            <w:pPr>
              <w:jc w:val="center"/>
            </w:pPr>
            <w:r>
              <w:rPr>
                <w:rFonts w:ascii="宋体" w:hAnsi="宋体" w:eastAsia="宋体"/>
                <w:sz w:val="16"/>
              </w:rPr>
              <w:t>=5亩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9F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0DAD">
            <w:pPr>
              <w:jc w:val="center"/>
            </w:pPr>
          </w:p>
        </w:tc>
      </w:tr>
      <w:tr w14:paraId="15A5E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9C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B1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1D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9CB1">
            <w:pPr>
              <w:jc w:val="center"/>
            </w:pPr>
            <w:r>
              <w:rPr>
                <w:rFonts w:ascii="宋体" w:hAnsi="宋体" w:eastAsia="宋体"/>
                <w:sz w:val="16"/>
              </w:rPr>
              <w:t>苗木成活率（%）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A142">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7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48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F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7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A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D12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E6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03E8C">
            <w:pPr>
              <w:jc w:val="center"/>
            </w:pPr>
          </w:p>
        </w:tc>
      </w:tr>
      <w:tr w14:paraId="6BD44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79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B8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B4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02F5">
            <w:pPr>
              <w:jc w:val="center"/>
            </w:pPr>
            <w:r>
              <w:rPr>
                <w:rFonts w:ascii="宋体" w:hAnsi="宋体" w:eastAsia="宋体"/>
                <w:sz w:val="16"/>
              </w:rPr>
              <w:t>项目各项工作按期完成率（%）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D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6D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D5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9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6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9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3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24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A3806">
            <w:pPr>
              <w:jc w:val="center"/>
            </w:pPr>
          </w:p>
        </w:tc>
      </w:tr>
      <w:tr w14:paraId="714F5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3FA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079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891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3873">
            <w:pPr>
              <w:jc w:val="center"/>
            </w:pPr>
            <w:r>
              <w:rPr>
                <w:rFonts w:ascii="宋体" w:hAnsi="宋体" w:eastAsia="宋体"/>
                <w:sz w:val="16"/>
              </w:rPr>
              <w:t>每亩成本（元/亩）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39F9">
            <w:pPr>
              <w:jc w:val="center"/>
            </w:pPr>
            <w:r>
              <w:rPr>
                <w:rFonts w:ascii="宋体" w:hAnsi="宋体" w:eastAsia="宋体"/>
                <w:sz w:val="16"/>
              </w:rPr>
              <w:t>&lt;=2104.15元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B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AE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6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71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3E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FA58">
            <w:pPr>
              <w:jc w:val="center"/>
            </w:pPr>
            <w:r>
              <w:rPr>
                <w:rFonts w:ascii="宋体" w:hAnsi="宋体" w:eastAsia="宋体"/>
                <w:sz w:val="16"/>
              </w:rPr>
              <w:t>=2104.15元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3A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6A1BB">
            <w:pPr>
              <w:jc w:val="center"/>
            </w:pPr>
          </w:p>
        </w:tc>
      </w:tr>
      <w:tr w14:paraId="2BFD4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B2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26A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4A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F54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3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C3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43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8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64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51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1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7C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E6047">
            <w:pPr>
              <w:jc w:val="center"/>
            </w:pPr>
          </w:p>
        </w:tc>
      </w:tr>
      <w:tr w14:paraId="6CA4855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E9E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569A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365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C887">
            <w:pPr>
              <w:jc w:val="center"/>
            </w:pPr>
            <w:r>
              <w:rPr>
                <w:rFonts w:ascii="宋体" w:hAnsi="宋体" w:eastAsia="宋体"/>
                <w:sz w:val="16"/>
              </w:rPr>
              <w:t>有效提高林业科技水平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3C4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83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26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34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E5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8D0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4F4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64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69F21">
            <w:pPr>
              <w:jc w:val="center"/>
            </w:pPr>
          </w:p>
        </w:tc>
      </w:tr>
      <w:tr w14:paraId="1AEE0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FE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59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21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26FD">
            <w:pPr>
              <w:jc w:val="center"/>
            </w:pPr>
            <w:r>
              <w:rPr>
                <w:rFonts w:ascii="宋体" w:hAnsi="宋体" w:eastAsia="宋体"/>
                <w:sz w:val="16"/>
              </w:rPr>
              <w:t>促进农民增收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B30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9C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C2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2A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24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54C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6CE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438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3C2AC">
            <w:pPr>
              <w:jc w:val="center"/>
            </w:pPr>
          </w:p>
        </w:tc>
      </w:tr>
      <w:tr w14:paraId="6265C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B4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39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8BA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6DF3">
            <w:pPr>
              <w:jc w:val="center"/>
            </w:pPr>
            <w:r>
              <w:rPr>
                <w:rFonts w:ascii="宋体" w:hAnsi="宋体" w:eastAsia="宋体"/>
                <w:sz w:val="16"/>
              </w:rPr>
              <w:t>有效改善生态环境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0EA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E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9D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2E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53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6F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C1D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3C6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B2EB5">
            <w:pPr>
              <w:jc w:val="center"/>
            </w:pPr>
          </w:p>
        </w:tc>
      </w:tr>
      <w:tr w14:paraId="49CDE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AE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F5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53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F4A6">
            <w:pPr>
              <w:jc w:val="center"/>
            </w:pPr>
            <w:r>
              <w:rPr>
                <w:rFonts w:ascii="宋体" w:hAnsi="宋体" w:eastAsia="宋体"/>
                <w:sz w:val="16"/>
              </w:rPr>
              <w:t>项目受益人满意度（%）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63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F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CE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26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F5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7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FE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72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2715A">
            <w:pPr>
              <w:jc w:val="center"/>
            </w:pPr>
          </w:p>
        </w:tc>
      </w:tr>
      <w:tr w14:paraId="69F55B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22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9A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B1A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6841F8">
            <w:pPr>
              <w:jc w:val="center"/>
            </w:pPr>
            <w:r>
              <w:rPr>
                <w:rFonts w:ascii="宋体" w:hAnsi="宋体" w:eastAsia="宋体"/>
                <w:sz w:val="16"/>
              </w:rPr>
              <w:t>100分</w:t>
            </w:r>
          </w:p>
        </w:tc>
      </w:tr>
    </w:tbl>
    <w:p w14:paraId="427A77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45EDBCB">
        <w:tblPrEx>
          <w:tblCellMar>
            <w:top w:w="0" w:type="dxa"/>
            <w:left w:w="108" w:type="dxa"/>
            <w:bottom w:w="0" w:type="dxa"/>
            <w:right w:w="108" w:type="dxa"/>
          </w:tblCellMar>
        </w:tblPrEx>
        <w:tc>
          <w:tcPr>
            <w:tcW w:w="8848" w:type="dxa"/>
            <w:gridSpan w:val="14"/>
            <w:vAlign w:val="center"/>
          </w:tcPr>
          <w:p w14:paraId="2619AA96">
            <w:pPr>
              <w:jc w:val="center"/>
            </w:pPr>
            <w:r>
              <w:rPr>
                <w:rFonts w:ascii="宋体" w:hAnsi="宋体" w:eastAsia="宋体"/>
                <w:sz w:val="24"/>
              </w:rPr>
              <w:t>项目支出绩效自评表</w:t>
            </w:r>
          </w:p>
        </w:tc>
      </w:tr>
      <w:tr w14:paraId="5C25CA57">
        <w:tblPrEx>
          <w:tblCellMar>
            <w:top w:w="0" w:type="dxa"/>
            <w:left w:w="108" w:type="dxa"/>
            <w:bottom w:w="0" w:type="dxa"/>
            <w:right w:w="108" w:type="dxa"/>
          </w:tblCellMar>
        </w:tblPrEx>
        <w:tc>
          <w:tcPr>
            <w:tcW w:w="8848" w:type="dxa"/>
            <w:gridSpan w:val="14"/>
            <w:vAlign w:val="center"/>
          </w:tcPr>
          <w:p w14:paraId="30259A93">
            <w:pPr>
              <w:jc w:val="center"/>
            </w:pPr>
            <w:r>
              <w:rPr>
                <w:rFonts w:ascii="宋体" w:hAnsi="宋体" w:eastAsia="宋体"/>
                <w:sz w:val="24"/>
              </w:rPr>
              <w:t>(2024年度)</w:t>
            </w:r>
          </w:p>
        </w:tc>
      </w:tr>
      <w:tr w14:paraId="2540DB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DF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72C5E3">
            <w:pPr>
              <w:jc w:val="center"/>
            </w:pPr>
            <w:r>
              <w:rPr>
                <w:rFonts w:ascii="宋体" w:hAnsi="宋体" w:eastAsia="宋体"/>
                <w:sz w:val="16"/>
              </w:rPr>
              <w:t>造林补助项目</w:t>
            </w:r>
          </w:p>
        </w:tc>
      </w:tr>
      <w:tr w14:paraId="48F7B9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5D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AB17F">
            <w:pPr>
              <w:jc w:val="center"/>
              <w:rPr>
                <w:rFonts w:hint="eastAsia" w:eastAsia="宋体"/>
                <w:lang w:eastAsia="zh-CN"/>
              </w:rPr>
            </w:pPr>
            <w:r>
              <w:rPr>
                <w:rFonts w:hint="eastAsia" w:ascii="宋体" w:hAnsi="宋体"/>
                <w:sz w:val="16"/>
                <w:lang w:eastAsia="zh-CN"/>
              </w:rPr>
              <w:t>克孜勒苏柯尔克孜自治州平原林场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8E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42079B">
            <w:pPr>
              <w:jc w:val="center"/>
            </w:pPr>
            <w:r>
              <w:rPr>
                <w:rFonts w:ascii="宋体" w:hAnsi="宋体" w:eastAsia="宋体"/>
                <w:sz w:val="16"/>
              </w:rPr>
              <w:t>克孜勒苏柯尔克孜自治州平原林场</w:t>
            </w:r>
          </w:p>
        </w:tc>
      </w:tr>
      <w:tr w14:paraId="201BDC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C8F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4F1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47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5E1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2FB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FDE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5E1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DDC5">
            <w:pPr>
              <w:jc w:val="center"/>
            </w:pPr>
            <w:r>
              <w:rPr>
                <w:rFonts w:ascii="宋体" w:hAnsi="宋体" w:eastAsia="宋体"/>
                <w:sz w:val="16"/>
              </w:rPr>
              <w:t>得分</w:t>
            </w:r>
          </w:p>
        </w:tc>
      </w:tr>
      <w:tr w14:paraId="416B9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14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E51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2FAD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F8A7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8413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FB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FC04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3743">
            <w:pPr>
              <w:jc w:val="center"/>
            </w:pPr>
            <w:r>
              <w:rPr>
                <w:rFonts w:ascii="宋体" w:hAnsi="宋体" w:eastAsia="宋体"/>
                <w:sz w:val="16"/>
              </w:rPr>
              <w:t>10.00分</w:t>
            </w:r>
          </w:p>
        </w:tc>
      </w:tr>
      <w:tr w14:paraId="5303A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09F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60B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ACF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E390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9CFA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A44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67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FF63">
            <w:pPr>
              <w:jc w:val="center"/>
            </w:pPr>
            <w:r>
              <w:rPr>
                <w:rFonts w:ascii="宋体" w:hAnsi="宋体" w:eastAsia="宋体"/>
                <w:sz w:val="16"/>
              </w:rPr>
              <w:t>—</w:t>
            </w:r>
          </w:p>
        </w:tc>
      </w:tr>
      <w:tr w14:paraId="5A13B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190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71A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30C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F0B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D7D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F2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6FD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3900">
            <w:pPr>
              <w:jc w:val="center"/>
            </w:pPr>
            <w:r>
              <w:rPr>
                <w:rFonts w:ascii="宋体" w:hAnsi="宋体" w:eastAsia="宋体"/>
                <w:sz w:val="16"/>
              </w:rPr>
              <w:t>—</w:t>
            </w:r>
          </w:p>
        </w:tc>
      </w:tr>
      <w:tr w14:paraId="4A617E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166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A106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133CBF">
            <w:pPr>
              <w:jc w:val="center"/>
            </w:pPr>
            <w:r>
              <w:rPr>
                <w:rFonts w:ascii="宋体" w:hAnsi="宋体" w:eastAsia="宋体"/>
                <w:sz w:val="16"/>
              </w:rPr>
              <w:t>实际完成情况</w:t>
            </w:r>
          </w:p>
        </w:tc>
      </w:tr>
      <w:tr w14:paraId="543E3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D4E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A0794">
            <w:pPr>
              <w:jc w:val="both"/>
            </w:pPr>
            <w:r>
              <w:rPr>
                <w:rFonts w:ascii="宋体" w:hAnsi="宋体" w:eastAsia="宋体"/>
                <w:sz w:val="16"/>
              </w:rPr>
              <w:t>该项目总投资15万元，其中：财政资金15万元，其他资金0万元，主要</w:t>
            </w:r>
            <w:r>
              <w:rPr>
                <w:rFonts w:hint="eastAsia" w:ascii="宋体" w:hAnsi="宋体"/>
                <w:sz w:val="16"/>
                <w:lang w:eastAsia="zh-CN"/>
              </w:rPr>
              <w:t>用于</w:t>
            </w:r>
            <w:r>
              <w:rPr>
                <w:rFonts w:ascii="宋体" w:hAnsi="宋体" w:eastAsia="宋体"/>
                <w:sz w:val="16"/>
              </w:rPr>
              <w:t>50亩补植</w:t>
            </w:r>
            <w:r>
              <w:rPr>
                <w:rFonts w:hint="eastAsia" w:ascii="宋体" w:hAnsi="宋体"/>
                <w:sz w:val="16"/>
                <w:lang w:eastAsia="zh-CN"/>
              </w:rPr>
              <w:t>改造</w:t>
            </w:r>
            <w:r>
              <w:rPr>
                <w:rFonts w:ascii="宋体" w:hAnsi="宋体" w:eastAsia="宋体"/>
                <w:sz w:val="16"/>
              </w:rPr>
              <w:t>及5口井维修任务，通过该项目实施达到增加绿化面积及改善生态环境的效果。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87D55E">
            <w:pPr>
              <w:jc w:val="both"/>
            </w:pPr>
            <w:r>
              <w:rPr>
                <w:rFonts w:ascii="宋体" w:hAnsi="宋体" w:eastAsia="宋体"/>
                <w:sz w:val="16"/>
              </w:rPr>
              <w:t>该项目总投资15万元，其中财政拨款15万元，其他资金0万元，</w:t>
            </w:r>
            <w:r>
              <w:rPr>
                <w:rFonts w:hint="eastAsia" w:ascii="宋体" w:hAnsi="宋体"/>
                <w:sz w:val="16"/>
                <w:lang w:eastAsia="zh-CN"/>
              </w:rPr>
              <w:t>截至</w:t>
            </w:r>
            <w:r>
              <w:rPr>
                <w:rFonts w:ascii="宋体" w:hAnsi="宋体" w:eastAsia="宋体"/>
                <w:sz w:val="16"/>
              </w:rPr>
              <w:t>2024年12月31日，已支付15万元，已完成50亩补植补造任务及5口机井的维修保养工作，通过该项目的实施提高了绿化工作效率及改善生态环境的效果。</w:t>
            </w:r>
          </w:p>
        </w:tc>
      </w:tr>
      <w:tr w14:paraId="7F9F4E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FC2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99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88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B4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E9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1B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35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CB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10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F0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06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B2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933F0">
            <w:pPr>
              <w:jc w:val="center"/>
            </w:pPr>
            <w:r>
              <w:rPr>
                <w:rFonts w:ascii="宋体" w:hAnsi="宋体" w:eastAsia="宋体"/>
                <w:sz w:val="16"/>
              </w:rPr>
              <w:t>偏差原因分析及改进措施</w:t>
            </w:r>
          </w:p>
        </w:tc>
      </w:tr>
      <w:tr w14:paraId="1ADA45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B69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E9E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825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9121">
            <w:pPr>
              <w:jc w:val="center"/>
            </w:pPr>
            <w:r>
              <w:rPr>
                <w:rFonts w:ascii="宋体" w:hAnsi="宋体" w:eastAsia="宋体"/>
                <w:sz w:val="16"/>
              </w:rPr>
              <w:t>造林面积（亩）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8B33">
            <w:pPr>
              <w:jc w:val="center"/>
            </w:pPr>
            <w:r>
              <w:rPr>
                <w:rFonts w:ascii="宋体" w:hAnsi="宋体" w:eastAsia="宋体"/>
                <w:sz w:val="16"/>
              </w:rPr>
              <w:t>=50亩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E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62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2F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B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9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F86B">
            <w:pPr>
              <w:jc w:val="center"/>
            </w:pPr>
            <w:r>
              <w:rPr>
                <w:rFonts w:ascii="宋体" w:hAnsi="宋体" w:eastAsia="宋体"/>
                <w:sz w:val="16"/>
              </w:rPr>
              <w:t>=50亩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43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8D092">
            <w:pPr>
              <w:jc w:val="center"/>
            </w:pPr>
          </w:p>
        </w:tc>
      </w:tr>
      <w:tr w14:paraId="4497F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ED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2F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31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CD4B">
            <w:pPr>
              <w:jc w:val="center"/>
            </w:pPr>
            <w:r>
              <w:rPr>
                <w:rFonts w:ascii="宋体" w:hAnsi="宋体" w:eastAsia="宋体"/>
                <w:sz w:val="16"/>
              </w:rPr>
              <w:t>机井维修保养（口）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4DBF">
            <w:pPr>
              <w:jc w:val="center"/>
            </w:pPr>
            <w:r>
              <w:rPr>
                <w:rFonts w:ascii="宋体" w:hAnsi="宋体" w:eastAsia="宋体"/>
                <w:sz w:val="16"/>
              </w:rPr>
              <w:t>=5口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A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A0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7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1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19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86C1">
            <w:pPr>
              <w:jc w:val="center"/>
            </w:pPr>
            <w:r>
              <w:rPr>
                <w:rFonts w:ascii="宋体" w:hAnsi="宋体" w:eastAsia="宋体"/>
                <w:sz w:val="16"/>
              </w:rPr>
              <w:t>=5口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82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227E9">
            <w:pPr>
              <w:jc w:val="center"/>
            </w:pPr>
          </w:p>
        </w:tc>
      </w:tr>
      <w:tr w14:paraId="3F4D3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20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78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BE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60A8">
            <w:pPr>
              <w:jc w:val="center"/>
            </w:pPr>
            <w:r>
              <w:rPr>
                <w:rFonts w:ascii="宋体" w:hAnsi="宋体" w:eastAsia="宋体"/>
                <w:sz w:val="16"/>
              </w:rPr>
              <w:t>维修保养验收合格率（%）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FB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E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29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3F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D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9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D8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CB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8F60E">
            <w:pPr>
              <w:jc w:val="center"/>
            </w:pPr>
          </w:p>
        </w:tc>
      </w:tr>
      <w:tr w14:paraId="79324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25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AB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38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CFC5">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70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9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D4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2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3F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75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B8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6B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DFC86">
            <w:pPr>
              <w:jc w:val="center"/>
            </w:pPr>
          </w:p>
        </w:tc>
      </w:tr>
      <w:tr w14:paraId="668C4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C9E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A90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31D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F7B2">
            <w:pPr>
              <w:jc w:val="center"/>
            </w:pPr>
            <w:r>
              <w:rPr>
                <w:rFonts w:ascii="宋体" w:hAnsi="宋体" w:eastAsia="宋体"/>
                <w:sz w:val="16"/>
              </w:rPr>
              <w:t>每亩造林成本（元/亩）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9A5C">
            <w:pPr>
              <w:jc w:val="center"/>
            </w:pPr>
            <w:r>
              <w:rPr>
                <w:rFonts w:ascii="宋体" w:hAnsi="宋体" w:eastAsia="宋体"/>
                <w:sz w:val="16"/>
              </w:rPr>
              <w:t>&lt;=2380元/亩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D8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69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B0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EF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AA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81C9">
            <w:pPr>
              <w:jc w:val="center"/>
            </w:pPr>
            <w:r>
              <w:rPr>
                <w:rFonts w:ascii="宋体" w:hAnsi="宋体" w:eastAsia="宋体"/>
                <w:sz w:val="16"/>
              </w:rPr>
              <w:t>=2380元/亩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C6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9DE06">
            <w:pPr>
              <w:jc w:val="center"/>
            </w:pPr>
          </w:p>
        </w:tc>
      </w:tr>
      <w:tr w14:paraId="4EDF3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501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3E9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11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1DAE">
            <w:pPr>
              <w:jc w:val="center"/>
            </w:pPr>
            <w:r>
              <w:rPr>
                <w:rFonts w:ascii="宋体" w:hAnsi="宋体" w:eastAsia="宋体"/>
                <w:sz w:val="16"/>
              </w:rPr>
              <w:t>维修5口井费用（元/口）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C17F">
            <w:pPr>
              <w:jc w:val="center"/>
            </w:pPr>
            <w:r>
              <w:rPr>
                <w:rFonts w:ascii="宋体" w:hAnsi="宋体" w:eastAsia="宋体"/>
                <w:sz w:val="16"/>
              </w:rPr>
              <w:t>&lt;=6200元/口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FC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0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2A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1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E1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E8B9">
            <w:pPr>
              <w:jc w:val="center"/>
            </w:pPr>
            <w:r>
              <w:rPr>
                <w:rFonts w:ascii="宋体" w:hAnsi="宋体" w:eastAsia="宋体"/>
                <w:sz w:val="16"/>
              </w:rPr>
              <w:t>=6200元/口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26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E561F">
            <w:pPr>
              <w:jc w:val="center"/>
            </w:pPr>
          </w:p>
        </w:tc>
      </w:tr>
      <w:tr w14:paraId="14205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EA4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A8C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20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306D">
            <w:pPr>
              <w:jc w:val="center"/>
            </w:pPr>
            <w:r>
              <w:rPr>
                <w:rFonts w:ascii="宋体" w:hAnsi="宋体" w:eastAsia="宋体"/>
                <w:sz w:val="16"/>
              </w:rPr>
              <w:t>提升林分质量与功能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62DF">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11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2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D5E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7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80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1E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544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7F074">
            <w:pPr>
              <w:jc w:val="center"/>
            </w:pPr>
          </w:p>
        </w:tc>
      </w:tr>
      <w:tr w14:paraId="3D398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86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E53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E3AA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497D">
            <w:pPr>
              <w:jc w:val="center"/>
            </w:pPr>
            <w:r>
              <w:rPr>
                <w:rFonts w:ascii="宋体" w:hAnsi="宋体" w:eastAsia="宋体"/>
                <w:sz w:val="16"/>
              </w:rPr>
              <w:t>有效改善生态环境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24B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53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B4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BB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AE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33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89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BA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6326F">
            <w:pPr>
              <w:jc w:val="center"/>
            </w:pPr>
          </w:p>
        </w:tc>
      </w:tr>
      <w:tr w14:paraId="77171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82C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FC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4B7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6EF5">
            <w:pPr>
              <w:jc w:val="center"/>
            </w:pPr>
            <w:r>
              <w:rPr>
                <w:rFonts w:ascii="宋体" w:hAnsi="宋体" w:eastAsia="宋体"/>
                <w:sz w:val="16"/>
              </w:rPr>
              <w:t>提高林木储备量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23FF">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07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3C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0C6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A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B94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12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323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873F0">
            <w:pPr>
              <w:jc w:val="center"/>
            </w:pPr>
          </w:p>
        </w:tc>
      </w:tr>
      <w:tr w14:paraId="40A91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3B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8F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F3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25CF">
            <w:pPr>
              <w:jc w:val="center"/>
            </w:pPr>
            <w:r>
              <w:rPr>
                <w:rFonts w:ascii="宋体" w:hAnsi="宋体" w:eastAsia="宋体"/>
                <w:sz w:val="16"/>
              </w:rPr>
              <w:t>项目受益人员满意度（%）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21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0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E2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D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15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83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3E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C2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1619">
            <w:pPr>
              <w:jc w:val="center"/>
            </w:pPr>
          </w:p>
        </w:tc>
      </w:tr>
      <w:tr w14:paraId="193973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EBC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D7D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C0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9E3FE7">
            <w:pPr>
              <w:jc w:val="center"/>
            </w:pPr>
            <w:r>
              <w:rPr>
                <w:rFonts w:ascii="宋体" w:hAnsi="宋体" w:eastAsia="宋体"/>
                <w:sz w:val="16"/>
              </w:rPr>
              <w:t>100分</w:t>
            </w:r>
          </w:p>
        </w:tc>
      </w:tr>
    </w:tbl>
    <w:p w14:paraId="591F3448">
      <w:r>
        <w:br w:type="page"/>
      </w:r>
    </w:p>
    <w:p w14:paraId="1BB26907">
      <w:pPr>
        <w:spacing w:line="640" w:lineRule="exact"/>
        <w:ind w:firstLine="640"/>
        <w:jc w:val="both"/>
        <w:outlineLvl w:val="2"/>
      </w:pPr>
      <w:r>
        <w:rPr>
          <w:rFonts w:ascii="黑体" w:hAnsi="黑体" w:eastAsia="黑体"/>
          <w:sz w:val="32"/>
        </w:rPr>
        <w:t>十二、其他需说明的事项</w:t>
      </w:r>
    </w:p>
    <w:p w14:paraId="2C1A1E61">
      <w:pPr>
        <w:spacing w:line="580" w:lineRule="exact"/>
        <w:ind w:firstLine="640"/>
        <w:jc w:val="both"/>
      </w:pPr>
      <w:r>
        <w:rPr>
          <w:rFonts w:ascii="仿宋_GB2312" w:hAnsi="仿宋_GB2312" w:eastAsia="仿宋_GB2312"/>
          <w:b w:val="0"/>
          <w:sz w:val="32"/>
        </w:rPr>
        <w:t>本单位无其他需说明的事项。</w:t>
      </w:r>
    </w:p>
    <w:p w14:paraId="09810579">
      <w:r>
        <w:br w:type="page"/>
      </w:r>
    </w:p>
    <w:p w14:paraId="054D7489">
      <w:pPr>
        <w:spacing w:line="240" w:lineRule="auto"/>
        <w:jc w:val="center"/>
        <w:outlineLvl w:val="1"/>
      </w:pPr>
      <w:r>
        <w:rPr>
          <w:rFonts w:ascii="黑体" w:hAnsi="黑体" w:eastAsia="黑体"/>
          <w:sz w:val="32"/>
        </w:rPr>
        <w:t>第三部分 专业名词解释</w:t>
      </w:r>
    </w:p>
    <w:p w14:paraId="21A1D2E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3C81B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17BBB0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B9DDA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D41FC7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9EE7F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323AB5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54B56D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80DC3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F6CB7C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7A5B1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F8891D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15298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3EDED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10610B8">
      <w:r>
        <w:br w:type="page"/>
      </w:r>
    </w:p>
    <w:p w14:paraId="32C39FA1">
      <w:pPr>
        <w:spacing w:line="240" w:lineRule="auto"/>
        <w:jc w:val="center"/>
        <w:outlineLvl w:val="1"/>
      </w:pPr>
      <w:r>
        <w:rPr>
          <w:rFonts w:ascii="黑体" w:hAnsi="黑体" w:eastAsia="黑体"/>
          <w:sz w:val="32"/>
        </w:rPr>
        <w:t>第四部分 部门决算报表（见附表）</w:t>
      </w:r>
    </w:p>
    <w:p w14:paraId="7B1795E9">
      <w:pPr>
        <w:spacing w:line="240" w:lineRule="auto"/>
        <w:ind w:firstLine="640"/>
        <w:jc w:val="both"/>
      </w:pPr>
      <w:r>
        <w:rPr>
          <w:rFonts w:ascii="仿宋_GB2312" w:hAnsi="仿宋_GB2312" w:eastAsia="仿宋_GB2312"/>
          <w:b w:val="0"/>
          <w:sz w:val="32"/>
        </w:rPr>
        <w:t>一、《收入支出决算总表》</w:t>
      </w:r>
    </w:p>
    <w:p w14:paraId="23CA0FFB">
      <w:pPr>
        <w:spacing w:line="240" w:lineRule="auto"/>
        <w:ind w:firstLine="640"/>
        <w:jc w:val="both"/>
      </w:pPr>
      <w:r>
        <w:rPr>
          <w:rFonts w:ascii="仿宋_GB2312" w:hAnsi="仿宋_GB2312" w:eastAsia="仿宋_GB2312"/>
          <w:b w:val="0"/>
          <w:sz w:val="32"/>
        </w:rPr>
        <w:t>二、《收入决算表》</w:t>
      </w:r>
    </w:p>
    <w:p w14:paraId="62906771">
      <w:pPr>
        <w:spacing w:line="240" w:lineRule="auto"/>
        <w:ind w:firstLine="640"/>
        <w:jc w:val="both"/>
      </w:pPr>
      <w:r>
        <w:rPr>
          <w:rFonts w:ascii="仿宋_GB2312" w:hAnsi="仿宋_GB2312" w:eastAsia="仿宋_GB2312"/>
          <w:b w:val="0"/>
          <w:sz w:val="32"/>
        </w:rPr>
        <w:t>三、《支出决算表》</w:t>
      </w:r>
    </w:p>
    <w:p w14:paraId="57931377">
      <w:pPr>
        <w:spacing w:line="240" w:lineRule="auto"/>
        <w:ind w:firstLine="640"/>
        <w:jc w:val="both"/>
      </w:pPr>
      <w:r>
        <w:rPr>
          <w:rFonts w:ascii="仿宋_GB2312" w:hAnsi="仿宋_GB2312" w:eastAsia="仿宋_GB2312"/>
          <w:b w:val="0"/>
          <w:sz w:val="32"/>
        </w:rPr>
        <w:t>四、《财政拨款收入支出决算总表》</w:t>
      </w:r>
    </w:p>
    <w:p w14:paraId="0DDE1939">
      <w:pPr>
        <w:spacing w:line="240" w:lineRule="auto"/>
        <w:ind w:firstLine="640"/>
        <w:jc w:val="both"/>
      </w:pPr>
      <w:r>
        <w:rPr>
          <w:rFonts w:ascii="仿宋_GB2312" w:hAnsi="仿宋_GB2312" w:eastAsia="仿宋_GB2312"/>
          <w:b w:val="0"/>
          <w:sz w:val="32"/>
        </w:rPr>
        <w:t>五、《一般公共预算财政拨款支出决算表》</w:t>
      </w:r>
    </w:p>
    <w:p w14:paraId="178A1581">
      <w:pPr>
        <w:spacing w:line="240" w:lineRule="auto"/>
        <w:ind w:firstLine="640"/>
        <w:jc w:val="both"/>
      </w:pPr>
      <w:r>
        <w:rPr>
          <w:rFonts w:ascii="仿宋_GB2312" w:hAnsi="仿宋_GB2312" w:eastAsia="仿宋_GB2312"/>
          <w:b w:val="0"/>
          <w:sz w:val="32"/>
        </w:rPr>
        <w:t>六、《一般公共预算财政拨款基本支出决算表》</w:t>
      </w:r>
    </w:p>
    <w:p w14:paraId="3B59D16F">
      <w:pPr>
        <w:spacing w:line="240" w:lineRule="auto"/>
        <w:ind w:firstLine="640"/>
        <w:jc w:val="both"/>
      </w:pPr>
      <w:r>
        <w:rPr>
          <w:rFonts w:ascii="仿宋_GB2312" w:hAnsi="仿宋_GB2312" w:eastAsia="仿宋_GB2312"/>
          <w:b w:val="0"/>
          <w:sz w:val="32"/>
        </w:rPr>
        <w:t>七、《政府性基金预算财政拨款收入支出决算表》</w:t>
      </w:r>
    </w:p>
    <w:p w14:paraId="2D0CA710">
      <w:pPr>
        <w:spacing w:line="240" w:lineRule="auto"/>
        <w:ind w:firstLine="640"/>
        <w:jc w:val="both"/>
      </w:pPr>
      <w:r>
        <w:rPr>
          <w:rFonts w:ascii="仿宋_GB2312" w:hAnsi="仿宋_GB2312" w:eastAsia="仿宋_GB2312"/>
          <w:b w:val="0"/>
          <w:sz w:val="32"/>
        </w:rPr>
        <w:t>八、《国有资本经营预算财政拨款收入支出决算表》</w:t>
      </w:r>
    </w:p>
    <w:p w14:paraId="169AD9D3">
      <w:pPr>
        <w:spacing w:line="240" w:lineRule="auto"/>
        <w:ind w:firstLine="640"/>
        <w:jc w:val="both"/>
      </w:pPr>
      <w:r>
        <w:rPr>
          <w:rFonts w:ascii="仿宋_GB2312" w:hAnsi="仿宋_GB2312" w:eastAsia="仿宋_GB2312"/>
          <w:b w:val="0"/>
          <w:sz w:val="32"/>
        </w:rPr>
        <w:t>九、《财政拨款“三公”经费支出决算表》</w:t>
      </w:r>
    </w:p>
    <w:p w14:paraId="051E89CF">
      <w:pPr>
        <w:spacing w:line="240" w:lineRule="auto"/>
        <w:ind w:firstLine="640"/>
        <w:jc w:val="both"/>
      </w:pPr>
    </w:p>
    <w:p w14:paraId="675FCEE4">
      <w:pPr>
        <w:spacing w:line="240" w:lineRule="auto"/>
        <w:ind w:firstLine="640"/>
        <w:jc w:val="both"/>
      </w:pPr>
    </w:p>
    <w:p w14:paraId="2BA2960E">
      <w:pPr>
        <w:spacing w:line="240" w:lineRule="auto"/>
        <w:ind w:firstLine="640"/>
        <w:jc w:val="both"/>
      </w:pPr>
    </w:p>
    <w:p w14:paraId="28BF478A">
      <w:pPr>
        <w:spacing w:line="240" w:lineRule="auto"/>
        <w:ind w:firstLine="640"/>
        <w:jc w:val="both"/>
      </w:pPr>
    </w:p>
    <w:p w14:paraId="615D142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54D8E6-0D9F-4A15-AB34-9806BD0121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A7FD884-311A-422E-878A-32AD893B6878}"/>
  </w:font>
  <w:font w:name="仿宋_GB2312">
    <w:altName w:val="仿宋"/>
    <w:panose1 w:val="02010609030101010101"/>
    <w:charset w:val="86"/>
    <w:family w:val="modern"/>
    <w:pitch w:val="default"/>
    <w:sig w:usb0="00000000" w:usb1="00000000" w:usb2="00000000" w:usb3="00000000" w:csb0="00040000" w:csb1="00000000"/>
    <w:embedRegular r:id="rId3" w:fontKey="{1523AEFA-EBD2-4AA9-9B9C-4D57AD8DB6A1}"/>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E2678B68-17D3-4BD8-AC60-BBAEDFE6932B}"/>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FD7352"/>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C47A1B"/>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5246</Words>
  <Characters>5950</Characters>
  <Lines>0</Lines>
  <Paragraphs>0</Paragraphs>
  <TotalTime>5</TotalTime>
  <ScaleCrop>false</ScaleCrop>
  <LinksUpToDate>false</LinksUpToDate>
  <CharactersWithSpaces>5959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2025-09-02T04:45:55Z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