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AB0EF16">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lang w:eastAsia="zh-CN"/>
        </w:rPr>
      </w:pPr>
      <w:r>
        <w:rPr>
          <w:rFonts w:hint="eastAsia" w:ascii="方正小标宋_GBK" w:hAnsi="宋体" w:eastAsia="方正小标宋_GBK"/>
          <w:sz w:val="44"/>
          <w:szCs w:val="44"/>
          <w:highlight w:val="none"/>
          <w:lang w:val="en-US" w:eastAsia="zh-CN"/>
        </w:rPr>
        <w:t>克孜勒苏柯尔克孜自治州公安局2024</w:t>
      </w:r>
      <w:r>
        <w:rPr>
          <w:rFonts w:hint="eastAsia" w:ascii="方正小标宋_GBK" w:hAnsi="宋体" w:eastAsia="方正小标宋_GBK"/>
          <w:sz w:val="44"/>
          <w:szCs w:val="44"/>
          <w:highlight w:val="none"/>
          <w:lang w:eastAsia="zh-CN"/>
        </w:rPr>
        <w:t>年度</w:t>
      </w: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rPr>
        <w:t>部门决算公开说明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7E790ED3">
      <w:r>
        <w:br w:type="page"/>
      </w:r>
    </w:p>
    <w:p w14:paraId="1715C253">
      <w:pPr>
        <w:spacing w:line="640" w:lineRule="exact"/>
        <w:jc w:val="center"/>
        <w:outlineLvl w:val="1"/>
      </w:pPr>
      <w:r>
        <w:rPr>
          <w:rFonts w:ascii="黑体" w:hAnsi="黑体" w:eastAsia="黑体"/>
          <w:sz w:val="32"/>
        </w:rPr>
        <w:t>第一部分 单位概况</w:t>
      </w:r>
    </w:p>
    <w:p w14:paraId="5C118114">
      <w:pPr>
        <w:spacing w:line="640" w:lineRule="exact"/>
        <w:ind w:firstLine="640"/>
        <w:jc w:val="both"/>
        <w:outlineLvl w:val="2"/>
      </w:pPr>
      <w:r>
        <w:rPr>
          <w:rFonts w:ascii="黑体" w:hAnsi="黑体" w:eastAsia="黑体"/>
          <w:sz w:val="32"/>
        </w:rPr>
        <w:t>一、主要职能</w:t>
      </w:r>
    </w:p>
    <w:p w14:paraId="380EBBBC">
      <w:pPr>
        <w:spacing w:line="580" w:lineRule="exact"/>
        <w:ind w:firstLine="640"/>
        <w:jc w:val="both"/>
      </w:pPr>
      <w:r>
        <w:rPr>
          <w:rFonts w:ascii="仿宋_GB2312" w:hAnsi="仿宋_GB2312" w:eastAsia="仿宋_GB2312"/>
          <w:sz w:val="32"/>
        </w:rPr>
        <w:t>（1）贯彻执行党和国家有关公安工作的方针、政策及自治区、有关政策规定，研究制定全州公安工作的规划计划，部署、指导、监督、检查全市公安工作。</w:t>
      </w:r>
    </w:p>
    <w:p w14:paraId="21DB8C09">
      <w:pPr>
        <w:spacing w:line="580" w:lineRule="exact"/>
        <w:ind w:firstLine="640"/>
        <w:jc w:val="both"/>
      </w:pPr>
      <w:r>
        <w:rPr>
          <w:rFonts w:ascii="仿宋_GB2312" w:hAnsi="仿宋_GB2312" w:eastAsia="仿宋_GB2312"/>
          <w:sz w:val="32"/>
        </w:rPr>
        <w:t>（2）掌握影响全州社会稳定、危害国家政治安全和社会治安的情况、信息，分析形势、制定对策；部署、指挥重大警务活动。</w:t>
      </w:r>
    </w:p>
    <w:p w14:paraId="499CF06D">
      <w:pPr>
        <w:spacing w:line="580" w:lineRule="exact"/>
        <w:ind w:firstLine="640"/>
        <w:jc w:val="both"/>
      </w:pPr>
      <w:r>
        <w:rPr>
          <w:rFonts w:ascii="仿宋_GB2312" w:hAnsi="仿宋_GB2312" w:eastAsia="仿宋_GB2312"/>
          <w:sz w:val="32"/>
        </w:rPr>
        <w:t>（3）组织指导全州公安机关侦查工作，负责侦办在全州市范围内具有重大影响的各类犯罪案件，协调侦办全州重大刑事犯罪案件、重大经济犯罪案件和全州危害国家政治安全的犯罪案件等。组织指导全州公安机关侦办食品药品、生态环境、生物安全、知识产权等领域犯罪案件。组织、指导、侦办涉及全市的证券、期货等经济领域犯罪案件。</w:t>
      </w:r>
    </w:p>
    <w:p w14:paraId="13910A2D">
      <w:pPr>
        <w:spacing w:line="580" w:lineRule="exact"/>
        <w:ind w:firstLine="640"/>
        <w:jc w:val="both"/>
      </w:pPr>
      <w:r>
        <w:rPr>
          <w:rFonts w:ascii="仿宋_GB2312" w:hAnsi="仿宋_GB2312" w:eastAsia="仿宋_GB2312"/>
          <w:sz w:val="32"/>
        </w:rPr>
        <w:t>（4）负责全州治安管理工作。协调处置全州重大治安事件和群体性事件，指导、监督全州公安机关依法查处破坏社会治安秩序行为，依法开展治安行政管理工作、防火和危险化学品管理工作；指导、监督全州公安机关治安保卫工作；负责依法开展人口、户籍管理工作。</w:t>
      </w:r>
    </w:p>
    <w:p w14:paraId="32861106">
      <w:pPr>
        <w:spacing w:line="580" w:lineRule="exact"/>
        <w:ind w:firstLine="640"/>
        <w:jc w:val="both"/>
      </w:pPr>
      <w:r>
        <w:rPr>
          <w:rFonts w:ascii="仿宋_GB2312" w:hAnsi="仿宋_GB2312" w:eastAsia="仿宋_GB2312"/>
          <w:sz w:val="32"/>
        </w:rPr>
        <w:t>（5）负责全州道路交通安全管理工作。指导、监督全州公安机关维护道路交通安全、道路交通秩序以及机动车辆、驾驶人管理工作。</w:t>
      </w:r>
    </w:p>
    <w:p w14:paraId="7DF9711F">
      <w:pPr>
        <w:spacing w:line="580" w:lineRule="exact"/>
        <w:ind w:firstLine="640"/>
        <w:jc w:val="both"/>
      </w:pPr>
      <w:r>
        <w:rPr>
          <w:rFonts w:ascii="仿宋_GB2312" w:hAnsi="仿宋_GB2312" w:eastAsia="仿宋_GB2312"/>
          <w:sz w:val="32"/>
        </w:rPr>
        <w:t>（6）实施并指导、监督全州公安机关对公共信息网络的安全保护工作；负责全州信息安全等级保护工作的监督、检查、指导，负责全州网络与信息安全监测预警、通报处置工作；指导并组织实施全州公安科学技术和技术安全防范工作，指导、规划并组织实施公安机关的指挥系统、大数据技术、刑事技术等信息化建设。</w:t>
      </w:r>
    </w:p>
    <w:p w14:paraId="0A9EF7FD">
      <w:pPr>
        <w:spacing w:line="580" w:lineRule="exact"/>
        <w:ind w:firstLine="640"/>
        <w:jc w:val="both"/>
      </w:pPr>
      <w:r>
        <w:rPr>
          <w:rFonts w:ascii="仿宋_GB2312" w:hAnsi="仿宋_GB2312" w:eastAsia="仿宋_GB2312"/>
          <w:sz w:val="32"/>
        </w:rPr>
        <w:t>（7）指导、侦办全州公安机关依法查处危害国内安全的案件；负责统筹全州防范、处置、依法打击邪教组织的违法犯罪活动；收集邪教组织影响社会稳定、危害社会治安的情况并进行分析研判，组织、协调抵御重点境外非政府组织渗透破坏工作。</w:t>
      </w:r>
    </w:p>
    <w:p w14:paraId="1D289315">
      <w:pPr>
        <w:spacing w:line="580" w:lineRule="exact"/>
        <w:ind w:firstLine="640"/>
        <w:jc w:val="both"/>
      </w:pPr>
      <w:r>
        <w:rPr>
          <w:rFonts w:ascii="仿宋_GB2312" w:hAnsi="仿宋_GB2312" w:eastAsia="仿宋_GB2312"/>
          <w:sz w:val="32"/>
        </w:rPr>
        <w:t>（8）组织、指导、协调全州对恐怖活动的防范、侦察和打击工作。</w:t>
      </w:r>
    </w:p>
    <w:p w14:paraId="566CD88D">
      <w:pPr>
        <w:spacing w:line="580" w:lineRule="exact"/>
        <w:ind w:firstLine="640"/>
        <w:jc w:val="both"/>
      </w:pPr>
      <w:r>
        <w:rPr>
          <w:rFonts w:ascii="仿宋_GB2312" w:hAnsi="仿宋_GB2312" w:eastAsia="仿宋_GB2312"/>
          <w:sz w:val="32"/>
        </w:rPr>
        <w:t>（9）负责掌握全州毒品违法犯罪情况，预防、打击毒品犯罪活动，组织、指导、协调全州公安机关禁毒工作。</w:t>
      </w:r>
    </w:p>
    <w:p w14:paraId="75CBA858">
      <w:pPr>
        <w:spacing w:line="580" w:lineRule="exact"/>
        <w:ind w:firstLine="640"/>
        <w:jc w:val="both"/>
      </w:pPr>
      <w:r>
        <w:rPr>
          <w:rFonts w:ascii="仿宋_GB2312" w:hAnsi="仿宋_GB2312" w:eastAsia="仿宋_GB2312"/>
          <w:sz w:val="32"/>
        </w:rPr>
        <w:t>（10）指导、监督全州公安机关监管场所管理和建设工作。</w:t>
      </w:r>
    </w:p>
    <w:p w14:paraId="59E5A261">
      <w:pPr>
        <w:spacing w:line="580" w:lineRule="exact"/>
        <w:ind w:firstLine="640"/>
        <w:jc w:val="both"/>
      </w:pPr>
      <w:r>
        <w:rPr>
          <w:rFonts w:ascii="仿宋_GB2312" w:hAnsi="仿宋_GB2312" w:eastAsia="仿宋_GB2312"/>
          <w:sz w:val="32"/>
        </w:rPr>
        <w:t>（11）指导、监督全州公安机关依法承担的执行刑罚工作；指导、监督全州公安机关法制建设和执法工作；监督全州公安机关案件办理及考评工作；负责全州公安机关行政复议、应诉和国家赔偿案件办理等工作。</w:t>
      </w:r>
    </w:p>
    <w:p w14:paraId="0620A7E3">
      <w:pPr>
        <w:spacing w:line="580" w:lineRule="exact"/>
        <w:ind w:firstLine="640"/>
        <w:jc w:val="both"/>
      </w:pPr>
      <w:r>
        <w:rPr>
          <w:rFonts w:ascii="仿宋_GB2312" w:hAnsi="仿宋_GB2312" w:eastAsia="仿宋_GB2312"/>
          <w:sz w:val="32"/>
        </w:rPr>
        <w:t>（12）负责有关党和国家领导人以及重要外宾在市内有关活动的安全警卫工作。</w:t>
      </w:r>
    </w:p>
    <w:p w14:paraId="04669849">
      <w:pPr>
        <w:spacing w:line="580" w:lineRule="exact"/>
        <w:ind w:firstLine="640"/>
        <w:jc w:val="both"/>
      </w:pPr>
      <w:r>
        <w:rPr>
          <w:rFonts w:ascii="仿宋_GB2312" w:hAnsi="仿宋_GB2312" w:eastAsia="仿宋_GB2312"/>
          <w:sz w:val="32"/>
        </w:rPr>
        <w:t>（13）负责全州公安装备、被装规划管理与实施，负责警务后勤保障工作。</w:t>
      </w:r>
    </w:p>
    <w:p w14:paraId="2D196464">
      <w:pPr>
        <w:spacing w:line="580" w:lineRule="exact"/>
        <w:ind w:firstLine="640"/>
        <w:jc w:val="both"/>
      </w:pPr>
      <w:r>
        <w:rPr>
          <w:rFonts w:ascii="仿宋_GB2312" w:hAnsi="仿宋_GB2312" w:eastAsia="仿宋_GB2312"/>
          <w:sz w:val="32"/>
        </w:rPr>
        <w:t>（14）负责全州公安机关队伍建设和公安宣传、教育培训工作；制定管理全州公安队伍的各项规章制度；按规定权限管理干部；组织、指导全市公安机关警务督察工作：查处或督办全市公安队伍重大违纪案件；受理、查办涉及公安机关的信访控告申诉案（事）件，督促、检查、指导全市公安信访工作；指导全市公安队伍思想政治建设和工作作风建设。</w:t>
      </w:r>
    </w:p>
    <w:p w14:paraId="0CD1FF42">
      <w:pPr>
        <w:spacing w:line="580" w:lineRule="exact"/>
        <w:ind w:firstLine="640"/>
        <w:jc w:val="both"/>
      </w:pPr>
      <w:r>
        <w:rPr>
          <w:rFonts w:ascii="仿宋_GB2312" w:hAnsi="仿宋_GB2312" w:eastAsia="仿宋_GB2312"/>
          <w:sz w:val="32"/>
        </w:rPr>
        <w:t>（15）负责指导、监督全州公安机关出入境管理有关工作。在公安厅总体授权框架内，组织开展与国际刑警组织、外国警方及港澳台地区警方的交往与业务合作，履行与全州公安工作有关的涉外条约和合作协议，承担全州公安机关跨国（境）案件侦办协作工作。</w:t>
      </w:r>
    </w:p>
    <w:p w14:paraId="0FE337B6">
      <w:pPr>
        <w:spacing w:line="580" w:lineRule="exact"/>
        <w:ind w:firstLine="640"/>
        <w:jc w:val="both"/>
      </w:pPr>
      <w:r>
        <w:rPr>
          <w:rFonts w:ascii="仿宋_GB2312" w:hAnsi="仿宋_GB2312" w:eastAsia="仿宋_GB2312"/>
          <w:sz w:val="32"/>
        </w:rPr>
        <w:t>（16）履行法律赋予的其他职责，完成州委、州人民政府和公安厅交办的其他事项。</w:t>
      </w:r>
    </w:p>
    <w:p w14:paraId="777D2A68">
      <w:pPr>
        <w:spacing w:line="640" w:lineRule="exact"/>
        <w:ind w:firstLine="640"/>
        <w:jc w:val="both"/>
        <w:outlineLvl w:val="2"/>
      </w:pPr>
      <w:r>
        <w:rPr>
          <w:rFonts w:ascii="黑体" w:hAnsi="黑体" w:eastAsia="黑体"/>
          <w:sz w:val="32"/>
        </w:rPr>
        <w:t>二、机构设置及人员情况</w:t>
      </w:r>
    </w:p>
    <w:p w14:paraId="66CF4F41">
      <w:pPr>
        <w:spacing w:line="580" w:lineRule="exact"/>
        <w:ind w:firstLine="640"/>
        <w:jc w:val="both"/>
      </w:pPr>
      <w:r>
        <w:rPr>
          <w:rFonts w:ascii="仿宋_GB2312" w:hAnsi="仿宋_GB2312" w:eastAsia="仿宋_GB2312"/>
          <w:sz w:val="32"/>
        </w:rPr>
        <w:t>本单位机构设置及人员情况涉密不予公开。</w:t>
      </w:r>
    </w:p>
    <w:p w14:paraId="5B33B629">
      <w:r>
        <w:br w:type="page"/>
      </w:r>
    </w:p>
    <w:p w14:paraId="56EEC27E">
      <w:pPr>
        <w:spacing w:line="240" w:lineRule="auto"/>
        <w:jc w:val="center"/>
        <w:outlineLvl w:val="1"/>
      </w:pPr>
      <w:r>
        <w:rPr>
          <w:rFonts w:ascii="黑体" w:hAnsi="黑体" w:eastAsia="黑体"/>
          <w:sz w:val="32"/>
        </w:rPr>
        <w:t>第二部分 部门决算情况说明</w:t>
      </w:r>
    </w:p>
    <w:p w14:paraId="1834E2B4">
      <w:pPr>
        <w:spacing w:line="640" w:lineRule="exact"/>
        <w:ind w:firstLine="640"/>
        <w:jc w:val="both"/>
        <w:outlineLvl w:val="2"/>
      </w:pPr>
      <w:r>
        <w:rPr>
          <w:rFonts w:ascii="黑体" w:hAnsi="黑体" w:eastAsia="黑体"/>
          <w:sz w:val="32"/>
        </w:rPr>
        <w:t>一、收入支出决算总体情况说明</w:t>
      </w:r>
    </w:p>
    <w:p w14:paraId="1276F053">
      <w:pPr>
        <w:spacing w:line="580" w:lineRule="exact"/>
        <w:ind w:firstLine="640"/>
        <w:jc w:val="both"/>
      </w:pPr>
      <w:r>
        <w:rPr>
          <w:rFonts w:ascii="仿宋_GB2312" w:hAnsi="仿宋_GB2312" w:eastAsia="仿宋_GB2312"/>
          <w:b/>
          <w:sz w:val="32"/>
        </w:rPr>
        <w:t>2024年度收入总计19,053.17万元，</w:t>
      </w:r>
      <w:r>
        <w:rPr>
          <w:rFonts w:ascii="仿宋_GB2312" w:hAnsi="仿宋_GB2312" w:eastAsia="仿宋_GB2312"/>
          <w:b w:val="0"/>
          <w:sz w:val="32"/>
        </w:rPr>
        <w:t>其中：本年收入合计18,274.06万元，使用非财政拨款结余（含专用结余）0.00万元，年初结转和结余779.11万元。</w:t>
      </w:r>
    </w:p>
    <w:p w14:paraId="47E71DC6">
      <w:pPr>
        <w:spacing w:line="580" w:lineRule="exact"/>
        <w:ind w:firstLine="640"/>
        <w:jc w:val="both"/>
      </w:pPr>
      <w:r>
        <w:rPr>
          <w:rFonts w:ascii="仿宋_GB2312" w:hAnsi="仿宋_GB2312" w:eastAsia="仿宋_GB2312"/>
          <w:b/>
          <w:sz w:val="32"/>
        </w:rPr>
        <w:t>2024年度支出总计19,053.17万元，</w:t>
      </w:r>
      <w:r>
        <w:rPr>
          <w:rFonts w:ascii="仿宋_GB2312" w:hAnsi="仿宋_GB2312" w:eastAsia="仿宋_GB2312"/>
          <w:b w:val="0"/>
          <w:sz w:val="32"/>
        </w:rPr>
        <w:t>其中：本年支出合计18,655.25万元，结余分配0.00万元，年末结转和结余397.92万元。</w:t>
      </w:r>
    </w:p>
    <w:p w14:paraId="65751BC7">
      <w:pPr>
        <w:spacing w:line="580" w:lineRule="exact"/>
        <w:ind w:firstLine="640"/>
        <w:jc w:val="both"/>
      </w:pPr>
      <w:r>
        <w:rPr>
          <w:rFonts w:ascii="仿宋_GB2312" w:hAnsi="仿宋_GB2312" w:eastAsia="仿宋_GB2312"/>
          <w:b w:val="0"/>
          <w:sz w:val="32"/>
        </w:rPr>
        <w:t>收入支出总体与上年相比，减少2,433.62万元，下降11.33%，主要原因是：本年在职人员减少，相关人员经费减少，减少人防工程易地建设费项目，可信安全边界网关项目，办案业务（装备）项目资金等。</w:t>
      </w:r>
    </w:p>
    <w:p w14:paraId="2C81CE5D">
      <w:pPr>
        <w:spacing w:line="640" w:lineRule="exact"/>
        <w:ind w:firstLine="640"/>
        <w:jc w:val="both"/>
        <w:outlineLvl w:val="2"/>
      </w:pPr>
      <w:r>
        <w:rPr>
          <w:rFonts w:ascii="黑体" w:hAnsi="黑体" w:eastAsia="黑体"/>
          <w:sz w:val="32"/>
        </w:rPr>
        <w:t>二、收入决算情况说明</w:t>
      </w:r>
    </w:p>
    <w:p w14:paraId="196310A5">
      <w:pPr>
        <w:spacing w:line="580" w:lineRule="exact"/>
        <w:ind w:firstLine="640"/>
        <w:jc w:val="both"/>
      </w:pPr>
      <w:r>
        <w:rPr>
          <w:rFonts w:ascii="仿宋_GB2312" w:hAnsi="仿宋_GB2312" w:eastAsia="仿宋_GB2312"/>
          <w:b/>
          <w:sz w:val="32"/>
        </w:rPr>
        <w:t>本年收入18,274.06万元，</w:t>
      </w:r>
      <w:r>
        <w:rPr>
          <w:rFonts w:ascii="仿宋_GB2312" w:hAnsi="仿宋_GB2312" w:eastAsia="仿宋_GB2312"/>
          <w:b w:val="0"/>
          <w:sz w:val="32"/>
        </w:rPr>
        <w:t>其中：财政拨款收入17,261.00万元，占94.46%；上级补助收入0.00万元，占0.00%；事业收入0.00万元，占0.00%；经营收入0.00万元，占0.00%；附属单位上缴收入0.00万元，占0.00%；其他收入1,013.06万元，占5.54%。</w:t>
      </w:r>
    </w:p>
    <w:p w14:paraId="2B5502B8">
      <w:pPr>
        <w:spacing w:line="640" w:lineRule="exact"/>
        <w:ind w:firstLine="640"/>
        <w:jc w:val="both"/>
        <w:outlineLvl w:val="2"/>
      </w:pPr>
      <w:r>
        <w:rPr>
          <w:rFonts w:ascii="黑体" w:hAnsi="黑体" w:eastAsia="黑体"/>
          <w:sz w:val="32"/>
        </w:rPr>
        <w:t>三、支出决算情况说明</w:t>
      </w:r>
    </w:p>
    <w:p w14:paraId="49E0E19E">
      <w:pPr>
        <w:spacing w:line="580" w:lineRule="exact"/>
        <w:ind w:firstLine="640"/>
        <w:jc w:val="both"/>
      </w:pPr>
      <w:r>
        <w:rPr>
          <w:rFonts w:ascii="仿宋_GB2312" w:hAnsi="仿宋_GB2312" w:eastAsia="仿宋_GB2312"/>
          <w:b/>
          <w:sz w:val="32"/>
        </w:rPr>
        <w:t>本年支出18,655.25万元，</w:t>
      </w:r>
      <w:r>
        <w:rPr>
          <w:rFonts w:ascii="仿宋_GB2312" w:hAnsi="仿宋_GB2312" w:eastAsia="仿宋_GB2312"/>
          <w:b w:val="0"/>
          <w:sz w:val="32"/>
        </w:rPr>
        <w:t>其中：基本支出10,882.19万元，占58.33%；项目支出7,773.07万元，占41.67%；上缴上级支出0.00万元，占0.00%；经营支出0.00万元，占0.00%；对附属单位补助支出0.00万元，占0.00%。</w:t>
      </w:r>
    </w:p>
    <w:p w14:paraId="3040E96A">
      <w:pPr>
        <w:spacing w:line="640" w:lineRule="exact"/>
        <w:ind w:firstLine="640"/>
        <w:jc w:val="both"/>
        <w:outlineLvl w:val="2"/>
      </w:pPr>
      <w:r>
        <w:rPr>
          <w:rFonts w:ascii="黑体" w:hAnsi="黑体" w:eastAsia="黑体"/>
          <w:sz w:val="32"/>
        </w:rPr>
        <w:t>四、财政拨款收入支出决算总体情况说明</w:t>
      </w:r>
    </w:p>
    <w:p w14:paraId="661E4AEF">
      <w:pPr>
        <w:spacing w:line="580" w:lineRule="exact"/>
        <w:ind w:firstLine="640"/>
        <w:jc w:val="both"/>
      </w:pPr>
      <w:r>
        <w:rPr>
          <w:rFonts w:ascii="仿宋_GB2312" w:hAnsi="仿宋_GB2312" w:eastAsia="仿宋_GB2312"/>
          <w:b/>
          <w:sz w:val="32"/>
        </w:rPr>
        <w:t>2024年度财政拨款收入总计17,261.00万元，</w:t>
      </w:r>
      <w:r>
        <w:rPr>
          <w:rFonts w:ascii="仿宋_GB2312" w:hAnsi="仿宋_GB2312" w:eastAsia="仿宋_GB2312"/>
          <w:b w:val="0"/>
          <w:sz w:val="32"/>
        </w:rPr>
        <w:t>其中：年初财政拨款结转和结余0.00万元，本年财政拨款收入17,261.00万元。</w:t>
      </w:r>
      <w:r>
        <w:rPr>
          <w:rFonts w:ascii="仿宋_GB2312" w:hAnsi="仿宋_GB2312" w:eastAsia="仿宋_GB2312"/>
          <w:b/>
          <w:sz w:val="32"/>
        </w:rPr>
        <w:t>财政拨款支出总计17,261.00万元，</w:t>
      </w:r>
      <w:r>
        <w:rPr>
          <w:rFonts w:ascii="仿宋_GB2312" w:hAnsi="仿宋_GB2312" w:eastAsia="仿宋_GB2312"/>
          <w:b w:val="0"/>
          <w:sz w:val="32"/>
        </w:rPr>
        <w:t>其中：年末财政拨款结转和结余0.00万元，本年财政拨款支出17,261.00万元。</w:t>
      </w:r>
    </w:p>
    <w:p w14:paraId="3CCCAB56">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减少3,195.10万元，下降15.62%，主要原因是：本年在职人员减少，相关人员经费减少，减少人防工程易地建设费项目，可信安全边界网关项目，办案业务（装备）项目资金等。</w:t>
      </w:r>
      <w:r>
        <w:rPr>
          <w:rFonts w:ascii="仿宋_GB2312" w:hAnsi="仿宋_GB2312" w:eastAsia="仿宋_GB2312"/>
          <w:b/>
          <w:sz w:val="32"/>
        </w:rPr>
        <w:t>与年初预算相比，</w:t>
      </w:r>
      <w:r>
        <w:rPr>
          <w:rFonts w:ascii="仿宋_GB2312" w:hAnsi="仿宋_GB2312" w:eastAsia="仿宋_GB2312"/>
          <w:b w:val="0"/>
          <w:sz w:val="32"/>
        </w:rPr>
        <w:t>年初预算数13,755.30万元，决算数17,261.00万元，预决算差异率25.49%，主要原因是：年中追加干培训项目、自治区公安厅拨付专项项目等资金，导致预决算差异。</w:t>
      </w:r>
    </w:p>
    <w:p w14:paraId="64244988">
      <w:pPr>
        <w:spacing w:line="640" w:lineRule="exact"/>
        <w:ind w:firstLine="640"/>
        <w:jc w:val="both"/>
        <w:outlineLvl w:val="2"/>
      </w:pPr>
      <w:r>
        <w:rPr>
          <w:rFonts w:ascii="黑体" w:hAnsi="黑体" w:eastAsia="黑体"/>
          <w:sz w:val="32"/>
        </w:rPr>
        <w:t>五、一般公共预算财政拨款支出决算情况说明</w:t>
      </w:r>
    </w:p>
    <w:p w14:paraId="1B007B25">
      <w:pPr>
        <w:spacing w:line="640" w:lineRule="exact"/>
        <w:ind w:firstLine="640"/>
        <w:jc w:val="both"/>
        <w:outlineLvl w:val="3"/>
      </w:pPr>
      <w:r>
        <w:rPr>
          <w:rFonts w:ascii="楷体_GB2312" w:hAnsi="楷体_GB2312" w:eastAsia="楷体_GB2312"/>
          <w:b/>
          <w:sz w:val="32"/>
        </w:rPr>
        <w:t>（一）一般公共预算财政拨款支出决算总体情况</w:t>
      </w:r>
    </w:p>
    <w:p w14:paraId="270EAAA9">
      <w:pPr>
        <w:spacing w:line="580" w:lineRule="exact"/>
        <w:ind w:firstLine="640"/>
        <w:jc w:val="both"/>
      </w:pPr>
      <w:r>
        <w:rPr>
          <w:rFonts w:ascii="仿宋_GB2312" w:hAnsi="仿宋_GB2312" w:eastAsia="仿宋_GB2312"/>
          <w:b/>
          <w:sz w:val="32"/>
        </w:rPr>
        <w:t>2024年度一般公共预算财政拨款支出17,261.00万元，</w:t>
      </w:r>
      <w:r>
        <w:rPr>
          <w:rFonts w:ascii="仿宋_GB2312" w:hAnsi="仿宋_GB2312" w:eastAsia="仿宋_GB2312"/>
          <w:b w:val="0"/>
          <w:sz w:val="32"/>
        </w:rPr>
        <w:t>占本年支出合计的92.53%。</w:t>
      </w:r>
      <w:r>
        <w:rPr>
          <w:rFonts w:ascii="仿宋_GB2312" w:hAnsi="仿宋_GB2312" w:eastAsia="仿宋_GB2312"/>
          <w:b/>
          <w:sz w:val="32"/>
        </w:rPr>
        <w:t>与上年相比，</w:t>
      </w:r>
      <w:r>
        <w:rPr>
          <w:rFonts w:ascii="仿宋_GB2312" w:hAnsi="仿宋_GB2312" w:eastAsia="仿宋_GB2312"/>
          <w:b w:val="0"/>
          <w:sz w:val="32"/>
        </w:rPr>
        <w:t>减少3,195.10万元，下降15.62%，主要原因是：本年在职人员减少，相关人员经费减少，减少人防工程易地建设费项目，可信安全边界网关项目，办案业务（装备）项目资金等。</w:t>
      </w:r>
      <w:r>
        <w:rPr>
          <w:rFonts w:ascii="仿宋_GB2312" w:hAnsi="仿宋_GB2312" w:eastAsia="仿宋_GB2312"/>
          <w:b/>
          <w:sz w:val="32"/>
        </w:rPr>
        <w:t>与年初预算相比,</w:t>
      </w:r>
      <w:r>
        <w:rPr>
          <w:rFonts w:ascii="仿宋_GB2312" w:hAnsi="仿宋_GB2312" w:eastAsia="仿宋_GB2312"/>
          <w:b w:val="0"/>
          <w:sz w:val="32"/>
        </w:rPr>
        <w:t>年初预算数13,755.30万元，决算数17,261.00万元，预决算差异率25.49%，主要原因是：年中追加干培训项目、自治区公安厅拨付专项项目等资金，导致预决算差异。</w:t>
      </w:r>
    </w:p>
    <w:p w14:paraId="01AAA209">
      <w:pPr>
        <w:spacing w:line="640" w:lineRule="exact"/>
        <w:ind w:firstLine="640"/>
        <w:jc w:val="both"/>
        <w:outlineLvl w:val="3"/>
      </w:pPr>
      <w:r>
        <w:rPr>
          <w:rFonts w:ascii="楷体_GB2312" w:hAnsi="楷体_GB2312" w:eastAsia="楷体_GB2312"/>
          <w:b/>
          <w:sz w:val="32"/>
        </w:rPr>
        <w:t>（二）一般公共预算财政拨款支出决算结构情况</w:t>
      </w:r>
    </w:p>
    <w:p w14:paraId="274CDDC6">
      <w:pPr>
        <w:spacing w:line="580" w:lineRule="exact"/>
        <w:ind w:firstLine="640"/>
        <w:jc w:val="both"/>
      </w:pPr>
      <w:r>
        <w:rPr>
          <w:rFonts w:ascii="仿宋_GB2312" w:hAnsi="仿宋_GB2312" w:eastAsia="仿宋_GB2312"/>
          <w:b w:val="0"/>
          <w:sz w:val="32"/>
        </w:rPr>
        <w:t>1.公共安全支出(类)15,955.00万元,占92.43%。</w:t>
      </w:r>
    </w:p>
    <w:p w14:paraId="7CAD08FC">
      <w:pPr>
        <w:spacing w:line="580" w:lineRule="exact"/>
        <w:ind w:firstLine="640"/>
        <w:jc w:val="both"/>
      </w:pPr>
      <w:r>
        <w:rPr>
          <w:rFonts w:ascii="仿宋_GB2312" w:hAnsi="仿宋_GB2312" w:eastAsia="仿宋_GB2312"/>
          <w:b w:val="0"/>
          <w:sz w:val="32"/>
        </w:rPr>
        <w:t>2.社会保障和就业支出(类)1,306.00万元,占7.57%。</w:t>
      </w:r>
    </w:p>
    <w:p w14:paraId="7CDE12F2">
      <w:pPr>
        <w:spacing w:line="640" w:lineRule="exact"/>
        <w:ind w:firstLine="640"/>
        <w:jc w:val="both"/>
        <w:outlineLvl w:val="3"/>
      </w:pPr>
      <w:r>
        <w:rPr>
          <w:rFonts w:ascii="楷体_GB2312" w:hAnsi="楷体_GB2312" w:eastAsia="楷体_GB2312"/>
          <w:b/>
          <w:sz w:val="32"/>
        </w:rPr>
        <w:t>（三）一般公共预算财政拨款支出决算具体情况</w:t>
      </w:r>
    </w:p>
    <w:p w14:paraId="29405DE9">
      <w:pPr>
        <w:spacing w:line="580" w:lineRule="exact"/>
        <w:ind w:firstLine="640"/>
        <w:jc w:val="both"/>
      </w:pPr>
      <w:r>
        <w:rPr>
          <w:rFonts w:ascii="仿宋_GB2312" w:hAnsi="仿宋_GB2312" w:eastAsia="仿宋_GB2312"/>
          <w:b w:val="0"/>
          <w:sz w:val="32"/>
        </w:rPr>
        <w:t>1.公共安全支出(类)公安(款)行政运行(项):支出决算数为7,358.25万元，比上年决算增加424.47万元，增长6.12%,主要原因是：本年在职人员工资调增，导致相关人员经费较上年有所增加。</w:t>
      </w:r>
    </w:p>
    <w:p w14:paraId="1A7469BD">
      <w:pPr>
        <w:spacing w:line="580" w:lineRule="exact"/>
        <w:ind w:firstLine="640"/>
        <w:jc w:val="both"/>
      </w:pPr>
      <w:r>
        <w:rPr>
          <w:rFonts w:ascii="仿宋_GB2312" w:hAnsi="仿宋_GB2312" w:eastAsia="仿宋_GB2312"/>
          <w:b w:val="0"/>
          <w:sz w:val="32"/>
        </w:rPr>
        <w:t>2.公共安全支出(类)公安(款)事业运行(项):支出决算数为2,204.52万元，比上年决算增加81.12万元，增长3.82%,主要原因是：本年在职人员工资调增，导致相关人员经费较上年有所增加。</w:t>
      </w:r>
    </w:p>
    <w:p w14:paraId="221C7C86">
      <w:pPr>
        <w:spacing w:line="580" w:lineRule="exact"/>
        <w:ind w:firstLine="640"/>
        <w:jc w:val="both"/>
      </w:pPr>
      <w:r>
        <w:rPr>
          <w:rFonts w:ascii="仿宋_GB2312" w:hAnsi="仿宋_GB2312" w:eastAsia="仿宋_GB2312"/>
          <w:b w:val="0"/>
          <w:sz w:val="32"/>
        </w:rPr>
        <w:t>3.公共安全支出(类)公安(款)其他公安支出(项):支出决算数为6,392.23万元，比上年决算减少3,533.68万元，下降35.60%,主要原因是：本年办案业务（装备）项目资金较上年减少。</w:t>
      </w:r>
    </w:p>
    <w:p w14:paraId="259F0D0B">
      <w:pPr>
        <w:spacing w:line="580" w:lineRule="exact"/>
        <w:ind w:firstLine="640"/>
        <w:jc w:val="both"/>
      </w:pPr>
      <w:r>
        <w:rPr>
          <w:rFonts w:ascii="仿宋_GB2312" w:hAnsi="仿宋_GB2312" w:eastAsia="仿宋_GB2312"/>
          <w:b w:val="0"/>
          <w:sz w:val="32"/>
        </w:rPr>
        <w:t>4.社会保障和就业支出(类)行政事业单位养老支出(款)行政单位离退休(项):支出决算数为223.86万元，比上年决算增加31.98万元，增长16.67%,主要原因是：本年退休人员增加，发放退休人员基础绩效，退休费支出增加。</w:t>
      </w:r>
    </w:p>
    <w:p w14:paraId="7AC3FCF1">
      <w:pPr>
        <w:spacing w:line="580" w:lineRule="exact"/>
        <w:ind w:firstLine="640"/>
        <w:jc w:val="both"/>
      </w:pPr>
      <w:r>
        <w:rPr>
          <w:rFonts w:ascii="仿宋_GB2312" w:hAnsi="仿宋_GB2312" w:eastAsia="仿宋_GB2312"/>
          <w:b w:val="0"/>
          <w:sz w:val="32"/>
        </w:rPr>
        <w:t>5.社会保障和就业支出(类)行政事业单位养老支出(款)机关事业单位基本养老保险缴费支出(项):支出决算数为955.53万元，比上年决算增加75.26万元，增长8.55%,主要原因是：本年在职人员工资基数调增，养老缴费基数上涨，相应支出增加。</w:t>
      </w:r>
    </w:p>
    <w:p w14:paraId="45F73F86">
      <w:pPr>
        <w:spacing w:line="580" w:lineRule="exact"/>
        <w:ind w:firstLine="640"/>
        <w:jc w:val="both"/>
      </w:pPr>
      <w:r>
        <w:rPr>
          <w:rFonts w:ascii="仿宋_GB2312" w:hAnsi="仿宋_GB2312" w:eastAsia="仿宋_GB2312"/>
          <w:b w:val="0"/>
          <w:sz w:val="32"/>
        </w:rPr>
        <w:t>6.社会保障和就业支出(类)行政事业单位养老支出(款)机关事业单位职业年金缴费支出(项):支出决算数为126.61万元，比上年决算减少264.39万元，下降67.62%,主要原因是：本年新增退休人员、辞职调出人员较上年减少，职业年金缴费较上年减少。</w:t>
      </w:r>
    </w:p>
    <w:p w14:paraId="155C58F3">
      <w:pPr>
        <w:spacing w:line="580" w:lineRule="exact"/>
        <w:ind w:firstLine="640"/>
        <w:jc w:val="both"/>
      </w:pPr>
      <w:r>
        <w:rPr>
          <w:rFonts w:ascii="仿宋_GB2312" w:hAnsi="仿宋_GB2312" w:eastAsia="仿宋_GB2312"/>
          <w:b w:val="0"/>
          <w:sz w:val="32"/>
        </w:rPr>
        <w:t>7.卫生健康支出(类)公共卫生(款)突发公共卫生事件应急处理(项):支出决算数为0.00万元，比上年决算减少9.86万元，下降100.00%,主要原因是：本年减少YQ防控资金。</w:t>
      </w:r>
    </w:p>
    <w:p w14:paraId="250C09A7">
      <w:pPr>
        <w:spacing w:line="640" w:lineRule="exact"/>
        <w:ind w:firstLine="640"/>
        <w:jc w:val="both"/>
        <w:outlineLvl w:val="2"/>
      </w:pPr>
      <w:r>
        <w:rPr>
          <w:rFonts w:ascii="黑体" w:hAnsi="黑体" w:eastAsia="黑体"/>
          <w:sz w:val="32"/>
        </w:rPr>
        <w:t>六、一般公共预算财政拨款基本支出决算情况说明</w:t>
      </w:r>
    </w:p>
    <w:p w14:paraId="4CEDFF15">
      <w:pPr>
        <w:spacing w:line="580" w:lineRule="exact"/>
        <w:ind w:firstLine="640"/>
        <w:jc w:val="both"/>
      </w:pPr>
      <w:r>
        <w:rPr>
          <w:rFonts w:ascii="仿宋_GB2312" w:hAnsi="仿宋_GB2312" w:eastAsia="仿宋_GB2312"/>
          <w:b w:val="0"/>
          <w:sz w:val="32"/>
        </w:rPr>
        <w:t>2024年度一般公共预算财政拨款基本支出10,868.77万元，其中：</w:t>
      </w:r>
      <w:r>
        <w:rPr>
          <w:rFonts w:ascii="仿宋_GB2312" w:hAnsi="仿宋_GB2312" w:eastAsia="仿宋_GB2312"/>
          <w:b/>
          <w:sz w:val="32"/>
        </w:rPr>
        <w:t>人员经费9,879.71万元，</w:t>
      </w:r>
      <w:r>
        <w:rPr>
          <w:rFonts w:ascii="仿宋_GB2312" w:hAnsi="仿宋_GB2312" w:eastAsia="仿宋_GB2312"/>
          <w:b w:val="0"/>
          <w:sz w:val="32"/>
        </w:rPr>
        <w:t>包括：基本工资、津贴补贴、奖金、机关事业单位基本养老保险缴费、职业年金缴费、职工基本医疗保险缴费、公务员医疗补助缴费、其他社会保障缴费、住房公积金、其他工资福利支出、离休费、退休费、抚恤金、生活补助、奖励金。</w:t>
      </w:r>
    </w:p>
    <w:p w14:paraId="06D1A429">
      <w:pPr>
        <w:spacing w:line="580" w:lineRule="exact"/>
        <w:ind w:firstLine="640"/>
        <w:jc w:val="both"/>
      </w:pPr>
      <w:r>
        <w:rPr>
          <w:rFonts w:ascii="仿宋_GB2312" w:hAnsi="仿宋_GB2312" w:eastAsia="仿宋_GB2312"/>
          <w:b/>
          <w:sz w:val="32"/>
        </w:rPr>
        <w:t>公用经费989.05万元，</w:t>
      </w:r>
      <w:r>
        <w:rPr>
          <w:rFonts w:ascii="仿宋_GB2312" w:hAnsi="仿宋_GB2312" w:eastAsia="仿宋_GB2312"/>
          <w:b w:val="0"/>
          <w:sz w:val="32"/>
        </w:rPr>
        <w:t>包括：办公费、印刷费、水费、电费、邮电费、取暖费、物业管理费、差旅费、维修（护）费、公务接待费、专用材料费、被装购置费、劳务费、委托业务费、工会经费、福利费、公务用车运行维护费、办公设备购置、专用设备购置。</w:t>
      </w:r>
    </w:p>
    <w:p w14:paraId="138A5432">
      <w:pPr>
        <w:spacing w:line="640" w:lineRule="exact"/>
        <w:ind w:firstLine="640"/>
        <w:jc w:val="both"/>
        <w:outlineLvl w:val="2"/>
      </w:pPr>
      <w:r>
        <w:rPr>
          <w:rFonts w:ascii="黑体" w:hAnsi="黑体" w:eastAsia="黑体"/>
          <w:sz w:val="32"/>
        </w:rPr>
        <w:t>七、政府性基金预算财政拨款收入支出决算情况说明</w:t>
      </w:r>
    </w:p>
    <w:p w14:paraId="42F618D7">
      <w:pPr>
        <w:spacing w:line="580" w:lineRule="exact"/>
        <w:ind w:firstLine="640"/>
        <w:jc w:val="both"/>
      </w:pPr>
      <w:r>
        <w:rPr>
          <w:rFonts w:ascii="仿宋_GB2312" w:hAnsi="仿宋_GB2312" w:eastAsia="仿宋_GB2312"/>
          <w:b w:val="0"/>
          <w:sz w:val="32"/>
        </w:rPr>
        <w:t>本单位本年度无政府性基金预算财政拨款收入、支出及结转和结余，政府性基金预算财政拨款收入支出决算表为空表。</w:t>
      </w:r>
    </w:p>
    <w:p w14:paraId="5205A60C">
      <w:pPr>
        <w:spacing w:line="640" w:lineRule="exact"/>
        <w:ind w:firstLine="640"/>
        <w:jc w:val="both"/>
        <w:outlineLvl w:val="2"/>
      </w:pPr>
      <w:r>
        <w:rPr>
          <w:rFonts w:ascii="黑体" w:hAnsi="黑体" w:eastAsia="黑体"/>
          <w:sz w:val="32"/>
        </w:rPr>
        <w:t>八、国有资本经营预算财政拨款收入支出决算情况说明</w:t>
      </w:r>
    </w:p>
    <w:p w14:paraId="2AAE2CAD">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6850B469">
      <w:pPr>
        <w:spacing w:line="640" w:lineRule="exact"/>
        <w:ind w:firstLine="640"/>
        <w:jc w:val="both"/>
        <w:outlineLvl w:val="2"/>
      </w:pPr>
      <w:r>
        <w:rPr>
          <w:rFonts w:ascii="黑体" w:hAnsi="黑体" w:eastAsia="黑体"/>
          <w:sz w:val="32"/>
        </w:rPr>
        <w:t>九、财政拨款“三公”经费支出决算情况说明</w:t>
      </w:r>
    </w:p>
    <w:p w14:paraId="0A5A490F">
      <w:pPr>
        <w:spacing w:line="580" w:lineRule="exact"/>
        <w:ind w:firstLine="640"/>
        <w:jc w:val="both"/>
      </w:pPr>
      <w:r>
        <w:rPr>
          <w:rFonts w:ascii="仿宋_GB2312" w:hAnsi="仿宋_GB2312" w:eastAsia="仿宋_GB2312"/>
          <w:b/>
          <w:sz w:val="32"/>
        </w:rPr>
        <w:t>2024年度财政拨款“三公”经费支出89.78万元，</w:t>
      </w:r>
      <w:r>
        <w:rPr>
          <w:rFonts w:ascii="仿宋_GB2312" w:hAnsi="仿宋_GB2312" w:eastAsia="仿宋_GB2312"/>
          <w:b w:val="0"/>
          <w:sz w:val="32"/>
        </w:rPr>
        <w:t>比上年增加1.16万元，增长1.31%，主要原因是：本年因业务需求，增加公务接待工作，导致公务接待费较上年增加。其中：因公出国（境）费支出0.00万元，占0.00%，比上年增加0.00万元，增长0.00%，主要原因是：2023年与2024年均未安排因公出国（境）费支出。公务用车购置及运行维护费支出85.99万元，占95.78%，比上年减少0.03万元，下降0.03%，主要原因是：严格厉行节约，减少公务用车运行维护费。公务接待费支出3.78万元，占4.21%，比上年增加1.19万元，增长45.95%，主要原因是：本年因业务需求，增加公务接待工作，导致公务接待费较上年增加。</w:t>
      </w:r>
    </w:p>
    <w:p w14:paraId="28B7602E">
      <w:pPr>
        <w:spacing w:line="580" w:lineRule="exact"/>
        <w:ind w:firstLine="640"/>
        <w:jc w:val="both"/>
      </w:pPr>
      <w:r>
        <w:rPr>
          <w:rFonts w:ascii="仿宋_GB2312" w:hAnsi="仿宋_GB2312" w:eastAsia="仿宋_GB2312"/>
          <w:b/>
          <w:sz w:val="32"/>
        </w:rPr>
        <w:t>具体情况如下：</w:t>
      </w:r>
    </w:p>
    <w:p w14:paraId="096051B2">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14728E39">
      <w:pPr>
        <w:spacing w:line="580" w:lineRule="exact"/>
        <w:ind w:firstLine="640"/>
        <w:jc w:val="both"/>
      </w:pPr>
      <w:r>
        <w:rPr>
          <w:rFonts w:ascii="仿宋_GB2312" w:hAnsi="仿宋_GB2312" w:eastAsia="仿宋_GB2312"/>
          <w:b w:val="0"/>
          <w:sz w:val="32"/>
        </w:rPr>
        <w:t>公务用车购置及运行维护费85.99万元，其中：公务用车购置费0.00万元，公务用车运行维护费85.99万元。公务用车运行维护费开支内容包括车辆加油费、维修费、保险费、审车费、过路费等。公务用车购置数0辆，公务用车保有量158辆。国有资产占用情况中固定资产车辆158辆，与公务用车保有量差异原因是：本单位固定资产车辆与公务用车保有量一致无差异。</w:t>
      </w:r>
    </w:p>
    <w:p w14:paraId="781507CE">
      <w:pPr>
        <w:spacing w:line="580" w:lineRule="exact"/>
        <w:ind w:firstLine="640"/>
        <w:jc w:val="both"/>
      </w:pPr>
      <w:r>
        <w:rPr>
          <w:rFonts w:ascii="仿宋_GB2312" w:hAnsi="仿宋_GB2312" w:eastAsia="仿宋_GB2312"/>
          <w:b w:val="0"/>
          <w:sz w:val="32"/>
        </w:rPr>
        <w:t>公务接待费3.78万元，开支内容包括因国际重大活动，接待来访团的就餐费。单位全年安排的国内公务接待2批次，89人次。</w:t>
      </w:r>
    </w:p>
    <w:p w14:paraId="3BE5255A">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89.78万元，决算数89.78万元，预决算差异率0.00%，主要原因是：严格按照预算执行，预决算无差异。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维护费全年预算数85.99万元，决算数85.99万元，预决算差异率0.00%，主要原因是：严格按照预算执行，预决算无差异。公务接待费全年预算数3.78万元，决算数3.78万元，预决算差异率0.00%，主要原因是：严格按照预算执行，预决算无差异。</w:t>
      </w:r>
    </w:p>
    <w:p w14:paraId="2B803146">
      <w:pPr>
        <w:spacing w:line="640" w:lineRule="exact"/>
        <w:ind w:firstLine="640"/>
        <w:jc w:val="both"/>
        <w:outlineLvl w:val="2"/>
      </w:pPr>
      <w:r>
        <w:rPr>
          <w:rFonts w:ascii="黑体" w:hAnsi="黑体" w:eastAsia="黑体"/>
          <w:sz w:val="32"/>
        </w:rPr>
        <w:t>十、其他重要事项的情况说明</w:t>
      </w:r>
    </w:p>
    <w:p w14:paraId="4A19538E">
      <w:pPr>
        <w:spacing w:line="640" w:lineRule="exact"/>
        <w:ind w:firstLine="640"/>
        <w:jc w:val="both"/>
        <w:outlineLvl w:val="3"/>
      </w:pPr>
      <w:r>
        <w:rPr>
          <w:rFonts w:ascii="楷体_GB2312" w:hAnsi="楷体_GB2312" w:eastAsia="楷体_GB2312"/>
          <w:b/>
          <w:sz w:val="32"/>
        </w:rPr>
        <w:t>（一）机关运行经费及公用经费支出情况</w:t>
      </w:r>
    </w:p>
    <w:p w14:paraId="4BB7FD5D">
      <w:pPr>
        <w:spacing w:line="580" w:lineRule="exact"/>
        <w:ind w:firstLine="640"/>
        <w:jc w:val="both"/>
      </w:pPr>
      <w:r>
        <w:rPr>
          <w:rFonts w:ascii="仿宋_GB2312" w:hAnsi="仿宋_GB2312" w:eastAsia="仿宋_GB2312"/>
          <w:b w:val="0"/>
          <w:sz w:val="32"/>
        </w:rPr>
        <w:t>2024年度克孜勒苏柯尔克孜自治州公安局（行政单位和参照公务员法管理事业单位）机关运行经费支出989.05万元，比上年增加131.97万元，增长15.40%，主要原因是：本年增加办公费、取暖费、福利费等。</w:t>
      </w:r>
    </w:p>
    <w:p w14:paraId="284A7F09">
      <w:pPr>
        <w:spacing w:line="640" w:lineRule="exact"/>
        <w:ind w:firstLine="640"/>
        <w:jc w:val="both"/>
        <w:outlineLvl w:val="3"/>
      </w:pPr>
      <w:r>
        <w:rPr>
          <w:rFonts w:ascii="楷体_GB2312" w:hAnsi="楷体_GB2312" w:eastAsia="楷体_GB2312"/>
          <w:b/>
          <w:sz w:val="32"/>
        </w:rPr>
        <w:t>（二）政府采购情况</w:t>
      </w:r>
    </w:p>
    <w:p w14:paraId="2ED0F407">
      <w:pPr>
        <w:spacing w:line="580" w:lineRule="exact"/>
        <w:ind w:firstLine="640"/>
        <w:jc w:val="both"/>
      </w:pPr>
      <w:r>
        <w:rPr>
          <w:rFonts w:ascii="仿宋_GB2312" w:hAnsi="仿宋_GB2312" w:eastAsia="仿宋_GB2312"/>
          <w:b w:val="0"/>
          <w:sz w:val="32"/>
        </w:rPr>
        <w:t>2024年度政府采购支出总额5,435.60万元，其中：政府采购货物支出4,450.60万元、政府采购工程支出360.56万元、政府采购服务支出624.44万元。</w:t>
      </w:r>
    </w:p>
    <w:p w14:paraId="0EEC4246">
      <w:pPr>
        <w:spacing w:line="580" w:lineRule="exact"/>
        <w:ind w:firstLine="640"/>
        <w:jc w:val="both"/>
      </w:pPr>
      <w:r>
        <w:rPr>
          <w:rFonts w:ascii="仿宋_GB2312" w:hAnsi="仿宋_GB2312" w:eastAsia="仿宋_GB2312"/>
          <w:b w:val="0"/>
          <w:sz w:val="32"/>
        </w:rPr>
        <w:t>授予中小企业合同金额5,273.11万元，占政府采购支出总额的97.01%，其中：授予小微企业合同金额1,783.30万元，占政府采购支出总额的32.81%。</w:t>
      </w:r>
    </w:p>
    <w:p w14:paraId="69D63610">
      <w:pPr>
        <w:spacing w:line="640" w:lineRule="exact"/>
        <w:ind w:firstLine="640"/>
        <w:jc w:val="both"/>
        <w:outlineLvl w:val="3"/>
      </w:pPr>
      <w:r>
        <w:rPr>
          <w:rFonts w:ascii="楷体_GB2312" w:hAnsi="楷体_GB2312" w:eastAsia="楷体_GB2312"/>
          <w:b/>
          <w:sz w:val="32"/>
        </w:rPr>
        <w:t>（三）国有资产占用情况说明</w:t>
      </w:r>
    </w:p>
    <w:p w14:paraId="1FF16EAC">
      <w:pPr>
        <w:spacing w:line="580" w:lineRule="exact"/>
        <w:ind w:firstLine="640"/>
        <w:jc w:val="both"/>
      </w:pPr>
      <w:r>
        <w:rPr>
          <w:rFonts w:ascii="仿宋_GB2312" w:hAnsi="仿宋_GB2312" w:eastAsia="仿宋_GB2312"/>
          <w:b w:val="0"/>
          <w:sz w:val="32"/>
        </w:rPr>
        <w:t>截至2024年12月31日，房屋107,652.34平方米，价值32,027.66万元。车辆158辆，价值4,528.22万元，其中：副部（省）级及以上领导用车0辆、主要负责人用车0辆、机要通信用车0辆、应急保障用车13辆、执法执勤用车109辆、特种专业技术用车34辆、离退休干部服务用车0辆、其他用车2辆，其他用车主要是：特殊救援车辆。单价100万元（含）以上设备（不含车辆）68台（套）。</w:t>
      </w:r>
    </w:p>
    <w:p w14:paraId="38473456">
      <w:pPr>
        <w:spacing w:line="640" w:lineRule="exact"/>
        <w:ind w:firstLine="640"/>
        <w:jc w:val="both"/>
        <w:outlineLvl w:val="2"/>
      </w:pPr>
      <w:r>
        <w:rPr>
          <w:rFonts w:ascii="黑体" w:hAnsi="黑体" w:eastAsia="黑体"/>
          <w:sz w:val="32"/>
        </w:rPr>
        <w:t>十一、预算绩效的情况说明</w:t>
      </w:r>
    </w:p>
    <w:p w14:paraId="08F00ED6">
      <w:pPr>
        <w:spacing w:line="580" w:lineRule="exact"/>
        <w:ind w:firstLine="640"/>
        <w:jc w:val="both"/>
      </w:pPr>
      <w:r>
        <w:rPr>
          <w:rFonts w:ascii="仿宋_GB2312" w:hAnsi="仿宋_GB2312" w:eastAsia="仿宋_GB2312"/>
          <w:b w:val="0"/>
          <w:sz w:val="32"/>
        </w:rPr>
        <w:t>根据预算绩效管理要求，本单位2024年度预算绩效管理形成整体支出绩效自评表1个，全年预算总额</w:t>
      </w:r>
      <w:r>
        <w:rPr>
          <w:rFonts w:hint="eastAsia" w:ascii="仿宋_GB2312" w:hAnsi="仿宋_GB2312" w:eastAsia="仿宋_GB2312"/>
          <w:b w:val="0"/>
          <w:sz w:val="32"/>
        </w:rPr>
        <w:t>19</w:t>
      </w:r>
      <w:r>
        <w:rPr>
          <w:rFonts w:hint="eastAsia" w:ascii="仿宋_GB2312" w:hAnsi="仿宋_GB2312" w:eastAsia="仿宋_GB2312"/>
          <w:b w:val="0"/>
          <w:sz w:val="32"/>
          <w:lang w:val="en-US" w:eastAsia="zh-CN"/>
        </w:rPr>
        <w:t>,0</w:t>
      </w:r>
      <w:r>
        <w:rPr>
          <w:rFonts w:hint="eastAsia" w:ascii="仿宋_GB2312" w:hAnsi="仿宋_GB2312" w:eastAsia="仿宋_GB2312"/>
          <w:b w:val="0"/>
          <w:sz w:val="32"/>
        </w:rPr>
        <w:t>53</w:t>
      </w:r>
      <w:r>
        <w:rPr>
          <w:rFonts w:hint="eastAsia" w:ascii="仿宋_GB2312" w:hAnsi="仿宋_GB2312" w:eastAsia="仿宋_GB2312"/>
          <w:b w:val="0"/>
          <w:sz w:val="32"/>
          <w:lang w:val="en-US" w:eastAsia="zh-CN"/>
        </w:rPr>
        <w:t>.</w:t>
      </w:r>
      <w:r>
        <w:rPr>
          <w:rFonts w:hint="eastAsia" w:ascii="仿宋_GB2312" w:hAnsi="仿宋_GB2312" w:eastAsia="仿宋_GB2312"/>
          <w:b w:val="0"/>
          <w:sz w:val="32"/>
        </w:rPr>
        <w:t>18</w:t>
      </w:r>
      <w:r>
        <w:rPr>
          <w:rFonts w:ascii="仿宋_GB2312" w:hAnsi="仿宋_GB2312" w:eastAsia="仿宋_GB2312"/>
          <w:b w:val="0"/>
          <w:sz w:val="32"/>
        </w:rPr>
        <w:t>万元，实际执行总额</w:t>
      </w:r>
      <w:r>
        <w:rPr>
          <w:rFonts w:hint="eastAsia" w:ascii="仿宋_GB2312" w:hAnsi="仿宋_GB2312" w:eastAsia="仿宋_GB2312"/>
          <w:b w:val="0"/>
          <w:sz w:val="32"/>
        </w:rPr>
        <w:t>18</w:t>
      </w:r>
      <w:r>
        <w:rPr>
          <w:rFonts w:hint="eastAsia" w:ascii="仿宋_GB2312" w:hAnsi="仿宋_GB2312" w:eastAsia="仿宋_GB2312"/>
          <w:b w:val="0"/>
          <w:sz w:val="32"/>
          <w:lang w:val="en-US" w:eastAsia="zh-CN"/>
        </w:rPr>
        <w:t>,</w:t>
      </w:r>
      <w:r>
        <w:rPr>
          <w:rFonts w:hint="eastAsia" w:ascii="仿宋_GB2312" w:hAnsi="仿宋_GB2312" w:eastAsia="仿宋_GB2312"/>
          <w:b w:val="0"/>
          <w:sz w:val="32"/>
        </w:rPr>
        <w:t>655.2</w:t>
      </w:r>
      <w:r>
        <w:rPr>
          <w:rFonts w:hint="eastAsia" w:ascii="仿宋_GB2312" w:hAnsi="仿宋_GB2312" w:eastAsia="仿宋_GB2312"/>
          <w:b w:val="0"/>
          <w:sz w:val="32"/>
          <w:lang w:val="en-US" w:eastAsia="zh-CN"/>
        </w:rPr>
        <w:t>5</w:t>
      </w:r>
      <w:r>
        <w:rPr>
          <w:rFonts w:ascii="仿宋_GB2312" w:hAnsi="仿宋_GB2312" w:eastAsia="仿宋_GB2312"/>
          <w:b w:val="0"/>
          <w:sz w:val="32"/>
        </w:rPr>
        <w:t>万元</w:t>
      </w:r>
      <w:r>
        <w:rPr>
          <w:rFonts w:hint="eastAsia" w:ascii="仿宋_GB2312" w:hAnsi="仿宋_GB2312" w:eastAsia="仿宋_GB2312"/>
          <w:b w:val="0"/>
          <w:sz w:val="32"/>
          <w:lang w:eastAsia="zh-CN"/>
        </w:rPr>
        <w:t>；</w:t>
      </w:r>
      <w:bookmarkStart w:id="0" w:name="_GoBack"/>
      <w:bookmarkEnd w:id="0"/>
      <w:r>
        <w:rPr>
          <w:rFonts w:ascii="仿宋_GB2312" w:hAnsi="仿宋_GB2312" w:eastAsia="仿宋_GB2312"/>
          <w:b w:val="0"/>
          <w:sz w:val="32"/>
        </w:rPr>
        <w:t>预算绩效评价项目20个，全年预算数19</w:t>
      </w:r>
      <w:r>
        <w:rPr>
          <w:rFonts w:hint="eastAsia" w:ascii="仿宋_GB2312" w:hAnsi="仿宋_GB2312" w:eastAsia="仿宋_GB2312"/>
          <w:b w:val="0"/>
          <w:sz w:val="32"/>
          <w:lang w:val="en-US" w:eastAsia="zh-CN"/>
        </w:rPr>
        <w:t>,</w:t>
      </w:r>
      <w:r>
        <w:rPr>
          <w:rFonts w:ascii="仿宋_GB2312" w:hAnsi="仿宋_GB2312" w:eastAsia="仿宋_GB2312"/>
          <w:b w:val="0"/>
          <w:sz w:val="32"/>
        </w:rPr>
        <w:t>053.18万元，全年执行数18</w:t>
      </w:r>
      <w:r>
        <w:rPr>
          <w:rFonts w:hint="eastAsia" w:ascii="仿宋_GB2312" w:hAnsi="仿宋_GB2312" w:eastAsia="仿宋_GB2312"/>
          <w:b w:val="0"/>
          <w:sz w:val="32"/>
          <w:lang w:val="en-US" w:eastAsia="zh-CN"/>
        </w:rPr>
        <w:t>,</w:t>
      </w:r>
      <w:r>
        <w:rPr>
          <w:rFonts w:ascii="仿宋_GB2312" w:hAnsi="仿宋_GB2312" w:eastAsia="仿宋_GB2312"/>
          <w:b w:val="0"/>
          <w:sz w:val="32"/>
        </w:rPr>
        <w:t>655.25万元。预算绩效管理取得的成效：本单位绩效自评项目涉密，不予公开。发现的问题及原因：本单位绩效自评项目涉密，不予公开。下一步改进措施：本单位绩效自评项目涉密，不予公开。</w:t>
      </w:r>
    </w:p>
    <w:p w14:paraId="7D70829C">
      <w:r>
        <w:br w:type="page"/>
      </w:r>
    </w:p>
    <w:p w14:paraId="12C7BB3F">
      <w:pPr>
        <w:spacing w:line="640" w:lineRule="exact"/>
        <w:ind w:firstLine="640"/>
        <w:jc w:val="both"/>
        <w:outlineLvl w:val="2"/>
      </w:pPr>
      <w:r>
        <w:rPr>
          <w:rFonts w:ascii="黑体" w:hAnsi="黑体" w:eastAsia="黑体"/>
          <w:sz w:val="32"/>
        </w:rPr>
        <w:t>十二、其他需说明的事项</w:t>
      </w:r>
    </w:p>
    <w:p w14:paraId="2FD1BD05">
      <w:pPr>
        <w:spacing w:line="580" w:lineRule="exact"/>
        <w:ind w:firstLine="640"/>
        <w:jc w:val="both"/>
      </w:pPr>
      <w:r>
        <w:rPr>
          <w:rFonts w:ascii="仿宋_GB2312" w:hAnsi="仿宋_GB2312" w:eastAsia="仿宋_GB2312"/>
          <w:b w:val="0"/>
          <w:sz w:val="32"/>
        </w:rPr>
        <w:t>本年度本单位整体绩效自评表不予公开。</w:t>
      </w:r>
    </w:p>
    <w:p w14:paraId="0CEAC6EB">
      <w:pPr>
        <w:spacing w:line="580" w:lineRule="exact"/>
        <w:ind w:firstLine="640"/>
        <w:jc w:val="both"/>
      </w:pPr>
      <w:r>
        <w:rPr>
          <w:rFonts w:ascii="仿宋_GB2312" w:hAnsi="仿宋_GB2312" w:eastAsia="仿宋_GB2312"/>
          <w:b w:val="0"/>
          <w:sz w:val="32"/>
        </w:rPr>
        <w:t>本年本单位SM项目20个，全年预算数19</w:t>
      </w:r>
      <w:r>
        <w:rPr>
          <w:rFonts w:hint="eastAsia" w:ascii="仿宋_GB2312" w:hAnsi="仿宋_GB2312" w:eastAsia="仿宋_GB2312"/>
          <w:b w:val="0"/>
          <w:sz w:val="32"/>
          <w:lang w:val="en-US" w:eastAsia="zh-CN"/>
        </w:rPr>
        <w:t>,</w:t>
      </w:r>
      <w:r>
        <w:rPr>
          <w:rFonts w:ascii="仿宋_GB2312" w:hAnsi="仿宋_GB2312" w:eastAsia="仿宋_GB2312"/>
          <w:b w:val="0"/>
          <w:sz w:val="32"/>
        </w:rPr>
        <w:t>053.18万元，全年执行数18</w:t>
      </w:r>
      <w:r>
        <w:rPr>
          <w:rFonts w:hint="eastAsia" w:ascii="仿宋_GB2312" w:hAnsi="仿宋_GB2312" w:eastAsia="仿宋_GB2312"/>
          <w:b w:val="0"/>
          <w:sz w:val="32"/>
          <w:lang w:val="en-US" w:eastAsia="zh-CN"/>
        </w:rPr>
        <w:t>,</w:t>
      </w:r>
      <w:r>
        <w:rPr>
          <w:rFonts w:ascii="仿宋_GB2312" w:hAnsi="仿宋_GB2312" w:eastAsia="仿宋_GB2312"/>
          <w:b w:val="0"/>
          <w:sz w:val="32"/>
        </w:rPr>
        <w:t>655.25万元。</w:t>
      </w:r>
    </w:p>
    <w:p w14:paraId="5388A759">
      <w:r>
        <w:br w:type="page"/>
      </w:r>
    </w:p>
    <w:p w14:paraId="7DCA724C">
      <w:pPr>
        <w:spacing w:line="240" w:lineRule="auto"/>
        <w:jc w:val="center"/>
        <w:outlineLvl w:val="1"/>
      </w:pPr>
      <w:r>
        <w:rPr>
          <w:rFonts w:ascii="黑体" w:hAnsi="黑体" w:eastAsia="黑体"/>
          <w:sz w:val="32"/>
        </w:rPr>
        <w:t>第三部分 专业名词解释</w:t>
      </w:r>
    </w:p>
    <w:p w14:paraId="09638022">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6084187E">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664479B9">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155DE54D">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60C00688">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6BF2AEE1">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007AEC57">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3FF6C1DD">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37097CD1">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4B3EC0CD">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1811CE3A">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52F6D858">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2AEB66EE">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201E76C1">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18B89709">
      <w:r>
        <w:br w:type="page"/>
      </w:r>
    </w:p>
    <w:p w14:paraId="7302261B">
      <w:pPr>
        <w:spacing w:line="240" w:lineRule="auto"/>
        <w:jc w:val="center"/>
        <w:outlineLvl w:val="1"/>
      </w:pPr>
      <w:r>
        <w:rPr>
          <w:rFonts w:ascii="黑体" w:hAnsi="黑体" w:eastAsia="黑体"/>
          <w:sz w:val="32"/>
        </w:rPr>
        <w:t>第四部分 部门决算报表（见附表）</w:t>
      </w:r>
    </w:p>
    <w:p w14:paraId="62E7CEDC">
      <w:pPr>
        <w:spacing w:line="240" w:lineRule="auto"/>
        <w:ind w:firstLine="640"/>
        <w:jc w:val="both"/>
      </w:pPr>
      <w:r>
        <w:rPr>
          <w:rFonts w:ascii="仿宋_GB2312" w:hAnsi="仿宋_GB2312" w:eastAsia="仿宋_GB2312"/>
          <w:b w:val="0"/>
          <w:sz w:val="32"/>
        </w:rPr>
        <w:t>一、《收入支出决算总表》</w:t>
      </w:r>
    </w:p>
    <w:p w14:paraId="10385040">
      <w:pPr>
        <w:spacing w:line="240" w:lineRule="auto"/>
        <w:ind w:firstLine="640"/>
        <w:jc w:val="both"/>
      </w:pPr>
      <w:r>
        <w:rPr>
          <w:rFonts w:ascii="仿宋_GB2312" w:hAnsi="仿宋_GB2312" w:eastAsia="仿宋_GB2312"/>
          <w:b w:val="0"/>
          <w:sz w:val="32"/>
        </w:rPr>
        <w:t>二、《收入决算表》</w:t>
      </w:r>
    </w:p>
    <w:p w14:paraId="3E28B3BC">
      <w:pPr>
        <w:spacing w:line="240" w:lineRule="auto"/>
        <w:ind w:firstLine="640"/>
        <w:jc w:val="both"/>
      </w:pPr>
      <w:r>
        <w:rPr>
          <w:rFonts w:ascii="仿宋_GB2312" w:hAnsi="仿宋_GB2312" w:eastAsia="仿宋_GB2312"/>
          <w:b w:val="0"/>
          <w:sz w:val="32"/>
        </w:rPr>
        <w:t>三、《支出决算表》</w:t>
      </w:r>
    </w:p>
    <w:p w14:paraId="1BB807A2">
      <w:pPr>
        <w:spacing w:line="240" w:lineRule="auto"/>
        <w:ind w:firstLine="640"/>
        <w:jc w:val="both"/>
      </w:pPr>
      <w:r>
        <w:rPr>
          <w:rFonts w:ascii="仿宋_GB2312" w:hAnsi="仿宋_GB2312" w:eastAsia="仿宋_GB2312"/>
          <w:b w:val="0"/>
          <w:sz w:val="32"/>
        </w:rPr>
        <w:t>四、《财政拨款收入支出决算总表》</w:t>
      </w:r>
    </w:p>
    <w:p w14:paraId="652066E9">
      <w:pPr>
        <w:spacing w:line="240" w:lineRule="auto"/>
        <w:ind w:firstLine="640"/>
        <w:jc w:val="both"/>
      </w:pPr>
      <w:r>
        <w:rPr>
          <w:rFonts w:ascii="仿宋_GB2312" w:hAnsi="仿宋_GB2312" w:eastAsia="仿宋_GB2312"/>
          <w:b w:val="0"/>
          <w:sz w:val="32"/>
        </w:rPr>
        <w:t>五、《一般公共预算财政拨款支出决算表》</w:t>
      </w:r>
    </w:p>
    <w:p w14:paraId="7ADE0BEC">
      <w:pPr>
        <w:spacing w:line="240" w:lineRule="auto"/>
        <w:ind w:firstLine="640"/>
        <w:jc w:val="both"/>
      </w:pPr>
      <w:r>
        <w:rPr>
          <w:rFonts w:ascii="仿宋_GB2312" w:hAnsi="仿宋_GB2312" w:eastAsia="仿宋_GB2312"/>
          <w:b w:val="0"/>
          <w:sz w:val="32"/>
        </w:rPr>
        <w:t>六、《一般公共预算财政拨款基本支出决算表》</w:t>
      </w:r>
    </w:p>
    <w:p w14:paraId="0806452D">
      <w:pPr>
        <w:spacing w:line="240" w:lineRule="auto"/>
        <w:ind w:firstLine="640"/>
        <w:jc w:val="both"/>
      </w:pPr>
      <w:r>
        <w:rPr>
          <w:rFonts w:ascii="仿宋_GB2312" w:hAnsi="仿宋_GB2312" w:eastAsia="仿宋_GB2312"/>
          <w:b w:val="0"/>
          <w:sz w:val="32"/>
        </w:rPr>
        <w:t>七、《政府性基金预算财政拨款收入支出决算表》</w:t>
      </w:r>
    </w:p>
    <w:p w14:paraId="1DBAA042">
      <w:pPr>
        <w:spacing w:line="240" w:lineRule="auto"/>
        <w:ind w:firstLine="640"/>
        <w:jc w:val="both"/>
      </w:pPr>
      <w:r>
        <w:rPr>
          <w:rFonts w:ascii="仿宋_GB2312" w:hAnsi="仿宋_GB2312" w:eastAsia="仿宋_GB2312"/>
          <w:b w:val="0"/>
          <w:sz w:val="32"/>
        </w:rPr>
        <w:t>八、《国有资本经营预算财政拨款收入支出决算表》</w:t>
      </w:r>
    </w:p>
    <w:p w14:paraId="5A16AEC0">
      <w:pPr>
        <w:spacing w:line="240" w:lineRule="auto"/>
        <w:ind w:firstLine="640"/>
        <w:jc w:val="both"/>
      </w:pPr>
      <w:r>
        <w:rPr>
          <w:rFonts w:ascii="仿宋_GB2312" w:hAnsi="仿宋_GB2312" w:eastAsia="仿宋_GB2312"/>
          <w:b w:val="0"/>
          <w:sz w:val="32"/>
        </w:rPr>
        <w:t>九、《财政拨款“三公”经费支出决算表》</w:t>
      </w:r>
    </w:p>
    <w:p w14:paraId="670B84F6">
      <w:pPr>
        <w:spacing w:line="240" w:lineRule="auto"/>
        <w:ind w:firstLine="640"/>
        <w:jc w:val="both"/>
      </w:pPr>
    </w:p>
    <w:p w14:paraId="66C82677">
      <w:pPr>
        <w:spacing w:line="240" w:lineRule="auto"/>
        <w:ind w:firstLine="640"/>
        <w:jc w:val="both"/>
      </w:pPr>
    </w:p>
    <w:p w14:paraId="22AC8080">
      <w:pPr>
        <w:spacing w:line="240" w:lineRule="auto"/>
        <w:ind w:firstLine="640"/>
        <w:jc w:val="both"/>
      </w:pPr>
    </w:p>
    <w:p w14:paraId="7FAD50A8">
      <w:pPr>
        <w:spacing w:line="240" w:lineRule="auto"/>
        <w:ind w:firstLine="640"/>
        <w:jc w:val="both"/>
      </w:pPr>
    </w:p>
    <w:p w14:paraId="35A200E9">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D5BDB8CB-F94A-49D7-A5B7-ABBF3A89D58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panose1 w:val="02000000000000000000"/>
    <w:charset w:val="86"/>
    <w:family w:val="script"/>
    <w:pitch w:val="default"/>
    <w:sig w:usb0="A00002BF" w:usb1="38CF7CFA" w:usb2="00082016" w:usb3="00000000" w:csb0="00040001" w:csb1="00000000"/>
    <w:embedRegular r:id="rId2" w:fontKey="{9E677F68-8CF8-489E-A302-9FD5D09F9D62}"/>
  </w:font>
  <w:font w:name="仿宋_GB2312">
    <w:panose1 w:val="02010609030101010101"/>
    <w:charset w:val="86"/>
    <w:family w:val="modern"/>
    <w:pitch w:val="default"/>
    <w:sig w:usb0="00000001" w:usb1="080E0000" w:usb2="00000000" w:usb3="00000000" w:csb0="00040000" w:csb1="00000000"/>
    <w:embedRegular r:id="rId3" w:fontKey="{E7CFF11F-6095-453F-87CD-65BB4B0A3E34}"/>
  </w:font>
  <w:font w:name="楷体_GB2312">
    <w:panose1 w:val="02010609030101010101"/>
    <w:charset w:val="86"/>
    <w:family w:val="auto"/>
    <w:pitch w:val="default"/>
    <w:sig w:usb0="00000001" w:usb1="080E0000" w:usb2="00000000" w:usb3="00000000" w:csb0="00040000" w:csb1="00000000"/>
    <w:embedRegular r:id="rId4" w:fontKey="{D4630FC4-0178-4362-8F98-3A7ACCA62EB8}"/>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C58E8"/>
    <w:rsid w:val="0A7B4867"/>
    <w:rsid w:val="0B8C3ECC"/>
    <w:rsid w:val="0C3613A3"/>
    <w:rsid w:val="0C7227A7"/>
    <w:rsid w:val="0D1F79E1"/>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D5275AC"/>
    <w:rsid w:val="3EA7725F"/>
    <w:rsid w:val="3EC014A1"/>
    <w:rsid w:val="3F084260"/>
    <w:rsid w:val="40834692"/>
    <w:rsid w:val="423A32B2"/>
    <w:rsid w:val="423C0CB4"/>
    <w:rsid w:val="427B5743"/>
    <w:rsid w:val="42E64542"/>
    <w:rsid w:val="464B7E04"/>
    <w:rsid w:val="464F7E64"/>
    <w:rsid w:val="46901EEE"/>
    <w:rsid w:val="469C74D2"/>
    <w:rsid w:val="47445515"/>
    <w:rsid w:val="4B4C0111"/>
    <w:rsid w:val="4BB23021"/>
    <w:rsid w:val="4F3F074E"/>
    <w:rsid w:val="50DB5F45"/>
    <w:rsid w:val="52F92565"/>
    <w:rsid w:val="543D17CB"/>
    <w:rsid w:val="55AE2C13"/>
    <w:rsid w:val="55DA564E"/>
    <w:rsid w:val="56E07045"/>
    <w:rsid w:val="583059FA"/>
    <w:rsid w:val="587E6212"/>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18</Pages>
  <Words>6315</Words>
  <Characters>7107</Characters>
  <Lines>0</Lines>
  <Paragraphs>0</Paragraphs>
  <TotalTime>0</TotalTime>
  <ScaleCrop>false</ScaleCrop>
  <LinksUpToDate>false</LinksUpToDate>
  <CharactersWithSpaces>7117</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白羊</cp:lastModifiedBy>
  <cp:lastPrinted>2024-07-22T11:58:00Z</cp:lastPrinted>
  <dcterms:modified xsi:type="dcterms:W3CDTF">2025-09-01T11:08:07Z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B858A68E913346F885B5BC17D4DBEB06_13</vt:lpwstr>
  </property>
  <property fmtid="{D5CDD505-2E9C-101B-9397-08002B2CF9AE}" pid="4" name="KSOTemplateDocerSaveRecord">
    <vt:lpwstr>eyJoZGlkIjoiZTEwMTFjZmI3NWUwMGRmYWEyNzFiMzQ2OTlkZWE5ODAiLCJ1c2VySWQiOiI0MzE2NzY3NzkifQ==</vt:lpwstr>
  </property>
</Properties>
</file>