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新疆农业广播电视学校克孜勒苏柯尔克孜自治州分校2024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0F0B0EB">
      <w:r>
        <w:br w:type="page"/>
      </w:r>
    </w:p>
    <w:p w14:paraId="1CAA7417">
      <w:pPr>
        <w:spacing w:line="640" w:lineRule="exact"/>
        <w:jc w:val="center"/>
        <w:outlineLvl w:val="1"/>
      </w:pPr>
      <w:r>
        <w:rPr>
          <w:rFonts w:ascii="黑体" w:hAnsi="黑体" w:eastAsia="黑体"/>
          <w:sz w:val="32"/>
        </w:rPr>
        <w:t>第一部分 单位概况</w:t>
      </w:r>
    </w:p>
    <w:p w14:paraId="345C7C94">
      <w:pPr>
        <w:spacing w:line="640" w:lineRule="exact"/>
        <w:ind w:firstLine="640"/>
        <w:jc w:val="both"/>
        <w:outlineLvl w:val="2"/>
      </w:pPr>
      <w:r>
        <w:rPr>
          <w:rFonts w:ascii="黑体" w:hAnsi="黑体" w:eastAsia="黑体"/>
          <w:sz w:val="32"/>
        </w:rPr>
        <w:t>一、主要职能</w:t>
      </w:r>
    </w:p>
    <w:p w14:paraId="101B3511">
      <w:pPr>
        <w:spacing w:line="580" w:lineRule="exact"/>
        <w:ind w:firstLine="640"/>
        <w:jc w:val="both"/>
      </w:pPr>
      <w:r>
        <w:rPr>
          <w:rFonts w:ascii="仿宋_GB2312" w:hAnsi="仿宋_GB2312" w:eastAsia="仿宋_GB2312"/>
          <w:sz w:val="32"/>
        </w:rPr>
        <w:t>新疆农业广播电视学校克孜勒苏柯尔克孜自治州克州分校主要职能是负责全州农牧民培训、农村富余劳动力转移和指导全州农牧民科技实用技术培训工作</w:t>
      </w:r>
      <w:r>
        <w:rPr>
          <w:rFonts w:hint="eastAsia" w:ascii="仿宋_GB2312" w:hAnsi="仿宋_GB2312" w:eastAsia="仿宋_GB2312"/>
          <w:sz w:val="32"/>
          <w:lang w:eastAsia="zh-CN"/>
        </w:rPr>
        <w:t>；</w:t>
      </w:r>
      <w:r>
        <w:rPr>
          <w:rFonts w:ascii="仿宋_GB2312" w:hAnsi="仿宋_GB2312" w:eastAsia="仿宋_GB2312"/>
          <w:sz w:val="32"/>
        </w:rPr>
        <w:t>承担新型农民科技培训</w:t>
      </w:r>
      <w:r>
        <w:rPr>
          <w:rFonts w:hint="eastAsia" w:ascii="仿宋_GB2312" w:hAnsi="仿宋_GB2312" w:eastAsia="仿宋_GB2312"/>
          <w:sz w:val="32"/>
          <w:lang w:eastAsia="zh-CN"/>
        </w:rPr>
        <w:t>；</w:t>
      </w:r>
      <w:r>
        <w:rPr>
          <w:rFonts w:ascii="仿宋_GB2312" w:hAnsi="仿宋_GB2312" w:eastAsia="仿宋_GB2312"/>
          <w:sz w:val="32"/>
        </w:rPr>
        <w:t>负责开展指导监督农村劳动力培训工作</w:t>
      </w:r>
      <w:r>
        <w:rPr>
          <w:rFonts w:hint="eastAsia" w:ascii="仿宋_GB2312" w:hAnsi="仿宋_GB2312" w:eastAsia="仿宋_GB2312"/>
          <w:sz w:val="32"/>
          <w:lang w:eastAsia="zh-CN"/>
        </w:rPr>
        <w:t>；</w:t>
      </w:r>
      <w:r>
        <w:rPr>
          <w:rFonts w:ascii="仿宋_GB2312" w:hAnsi="仿宋_GB2312" w:eastAsia="仿宋_GB2312"/>
          <w:sz w:val="32"/>
        </w:rPr>
        <w:t>负责农村基层干部和农村党员农业技术培训</w:t>
      </w:r>
      <w:r>
        <w:rPr>
          <w:rFonts w:hint="eastAsia" w:ascii="仿宋_GB2312" w:hAnsi="仿宋_GB2312" w:eastAsia="仿宋_GB2312"/>
          <w:sz w:val="32"/>
          <w:lang w:eastAsia="zh-CN"/>
        </w:rPr>
        <w:t>；</w:t>
      </w:r>
      <w:r>
        <w:rPr>
          <w:rFonts w:ascii="仿宋_GB2312" w:hAnsi="仿宋_GB2312" w:eastAsia="仿宋_GB2312"/>
          <w:sz w:val="32"/>
        </w:rPr>
        <w:t>负责组织各分校招生（中专学历教育、成人教育、联合办学教育）及培养教育工作</w:t>
      </w:r>
      <w:r>
        <w:rPr>
          <w:rFonts w:hint="eastAsia" w:ascii="仿宋_GB2312" w:hAnsi="仿宋_GB2312" w:eastAsia="仿宋_GB2312"/>
          <w:sz w:val="32"/>
          <w:lang w:eastAsia="zh-CN"/>
        </w:rPr>
        <w:t>；</w:t>
      </w:r>
      <w:r>
        <w:rPr>
          <w:rFonts w:ascii="仿宋_GB2312" w:hAnsi="仿宋_GB2312" w:eastAsia="仿宋_GB2312"/>
          <w:sz w:val="32"/>
        </w:rPr>
        <w:t>积极组织远程教育培训及媒体资源的开发和利用</w:t>
      </w:r>
      <w:r>
        <w:rPr>
          <w:rFonts w:hint="eastAsia" w:ascii="仿宋_GB2312" w:hAnsi="仿宋_GB2312" w:eastAsia="仿宋_GB2312"/>
          <w:sz w:val="32"/>
          <w:lang w:eastAsia="zh-CN"/>
        </w:rPr>
        <w:t>；</w:t>
      </w:r>
      <w:r>
        <w:rPr>
          <w:rFonts w:ascii="仿宋_GB2312" w:hAnsi="仿宋_GB2312" w:eastAsia="仿宋_GB2312"/>
          <w:sz w:val="32"/>
        </w:rPr>
        <w:t>自编适合当地的农牧民培训手册及教材；负责对农广校系统职业技能鉴定督导员、考评员资格认证培训工作；承担全州广播电视媒体和文字声像教材等远程教育工作，及时向农民传递科技知识和信息工作；负责开展科技兴农、科技兴教活动，组织各种形式的咨询活动。</w:t>
      </w:r>
    </w:p>
    <w:p w14:paraId="37FF7E83">
      <w:pPr>
        <w:spacing w:line="640" w:lineRule="exact"/>
        <w:ind w:firstLine="640"/>
        <w:jc w:val="both"/>
        <w:outlineLvl w:val="2"/>
      </w:pPr>
      <w:r>
        <w:rPr>
          <w:rFonts w:ascii="黑体" w:hAnsi="黑体" w:eastAsia="黑体"/>
          <w:sz w:val="32"/>
        </w:rPr>
        <w:t>二、机构设置及人员情况</w:t>
      </w:r>
    </w:p>
    <w:p w14:paraId="509227F5">
      <w:pPr>
        <w:spacing w:line="580" w:lineRule="exact"/>
        <w:ind w:firstLine="640"/>
        <w:jc w:val="both"/>
      </w:pPr>
      <w:r>
        <w:rPr>
          <w:rFonts w:ascii="仿宋_GB2312" w:hAnsi="仿宋_GB2312" w:eastAsia="仿宋_GB2312"/>
          <w:sz w:val="32"/>
        </w:rPr>
        <w:t>新疆农业广播电视学校克孜勒苏柯尔克孜自治州分校2024年度，实有人数18人，其中：在职人员14人，增加1人；离休人员0人，增加0人；退休人员4人,增加0人。</w:t>
      </w:r>
    </w:p>
    <w:p w14:paraId="0B4810D1">
      <w:pPr>
        <w:spacing w:line="580" w:lineRule="exact"/>
        <w:ind w:firstLine="640"/>
        <w:jc w:val="both"/>
      </w:pPr>
      <w:r>
        <w:rPr>
          <w:rFonts w:ascii="仿宋_GB2312" w:hAnsi="仿宋_GB2312" w:eastAsia="仿宋_GB2312"/>
          <w:sz w:val="32"/>
        </w:rPr>
        <w:t>新疆农业广播电视学校克孜勒苏柯尔克孜自治州分校无下属预算单位，下设2个科室，分别是：办公室、业务科。</w:t>
      </w:r>
    </w:p>
    <w:p w14:paraId="61F3BA84">
      <w:r>
        <w:br w:type="page"/>
      </w:r>
    </w:p>
    <w:p w14:paraId="3C33CE75">
      <w:pPr>
        <w:spacing w:line="240" w:lineRule="auto"/>
        <w:jc w:val="center"/>
        <w:outlineLvl w:val="1"/>
      </w:pPr>
      <w:r>
        <w:rPr>
          <w:rFonts w:ascii="黑体" w:hAnsi="黑体" w:eastAsia="黑体"/>
          <w:sz w:val="32"/>
        </w:rPr>
        <w:t>第二部分 部门决算情况说明</w:t>
      </w:r>
    </w:p>
    <w:p w14:paraId="7B580A34">
      <w:pPr>
        <w:spacing w:line="640" w:lineRule="exact"/>
        <w:ind w:firstLine="640"/>
        <w:jc w:val="both"/>
        <w:outlineLvl w:val="2"/>
      </w:pPr>
      <w:r>
        <w:rPr>
          <w:rFonts w:ascii="黑体" w:hAnsi="黑体" w:eastAsia="黑体"/>
          <w:sz w:val="32"/>
        </w:rPr>
        <w:t>一、收入支出决算总体情况说明</w:t>
      </w:r>
    </w:p>
    <w:p w14:paraId="24209E43">
      <w:pPr>
        <w:spacing w:line="580" w:lineRule="exact"/>
        <w:ind w:firstLine="640"/>
        <w:jc w:val="both"/>
      </w:pPr>
      <w:r>
        <w:rPr>
          <w:rFonts w:ascii="仿宋_GB2312" w:hAnsi="仿宋_GB2312" w:eastAsia="仿宋_GB2312"/>
          <w:b/>
          <w:sz w:val="32"/>
        </w:rPr>
        <w:t>2024年度收入总计282.11万元，</w:t>
      </w:r>
      <w:r>
        <w:rPr>
          <w:rFonts w:ascii="仿宋_GB2312" w:hAnsi="仿宋_GB2312" w:eastAsia="仿宋_GB2312"/>
          <w:b w:val="0"/>
          <w:sz w:val="32"/>
        </w:rPr>
        <w:t>其中：本年收入合计282.08万元，使用非财政拨款结余（含专用结余）0.00万元，年初结转和结余0.03万元。</w:t>
      </w:r>
    </w:p>
    <w:p w14:paraId="41ED25C6">
      <w:pPr>
        <w:spacing w:line="580" w:lineRule="exact"/>
        <w:ind w:firstLine="640"/>
        <w:jc w:val="both"/>
      </w:pPr>
      <w:r>
        <w:rPr>
          <w:rFonts w:ascii="仿宋_GB2312" w:hAnsi="仿宋_GB2312" w:eastAsia="仿宋_GB2312"/>
          <w:b/>
          <w:sz w:val="32"/>
        </w:rPr>
        <w:t>2024年度支出总计282.11万元，</w:t>
      </w:r>
      <w:r>
        <w:rPr>
          <w:rFonts w:ascii="仿宋_GB2312" w:hAnsi="仿宋_GB2312" w:eastAsia="仿宋_GB2312"/>
          <w:b w:val="0"/>
          <w:sz w:val="32"/>
        </w:rPr>
        <w:t>其中：本年支出合计282.11万元，结余分配0.00万元，年末结转和结余0.00万元。</w:t>
      </w:r>
    </w:p>
    <w:p w14:paraId="3B0608B7">
      <w:pPr>
        <w:spacing w:line="580" w:lineRule="exact"/>
        <w:ind w:firstLine="640"/>
        <w:jc w:val="both"/>
      </w:pPr>
      <w:r>
        <w:rPr>
          <w:rFonts w:ascii="仿宋_GB2312" w:hAnsi="仿宋_GB2312" w:eastAsia="仿宋_GB2312"/>
          <w:b w:val="0"/>
          <w:sz w:val="32"/>
        </w:rPr>
        <w:t>收入支出总体与上年相比，减少59.68万元，下降17.46%，主要原因是：上年补发人员津贴补贴，奖金，本年无此补发情况，经费减少；本年无新增退休人员，职业年金缴费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441792DF">
      <w:pPr>
        <w:spacing w:line="640" w:lineRule="exact"/>
        <w:ind w:firstLine="640"/>
        <w:jc w:val="both"/>
        <w:outlineLvl w:val="2"/>
      </w:pPr>
      <w:r>
        <w:rPr>
          <w:rFonts w:ascii="黑体" w:hAnsi="黑体" w:eastAsia="黑体"/>
          <w:sz w:val="32"/>
        </w:rPr>
        <w:t>二、收入决算情况说明</w:t>
      </w:r>
    </w:p>
    <w:p w14:paraId="3F045442">
      <w:pPr>
        <w:spacing w:line="580" w:lineRule="exact"/>
        <w:ind w:firstLine="640"/>
        <w:jc w:val="both"/>
      </w:pPr>
      <w:r>
        <w:rPr>
          <w:rFonts w:ascii="仿宋_GB2312" w:hAnsi="仿宋_GB2312" w:eastAsia="仿宋_GB2312"/>
          <w:b/>
          <w:sz w:val="32"/>
        </w:rPr>
        <w:t>本年收入282.08万元，</w:t>
      </w:r>
      <w:r>
        <w:rPr>
          <w:rFonts w:ascii="仿宋_GB2312" w:hAnsi="仿宋_GB2312" w:eastAsia="仿宋_GB2312"/>
          <w:b w:val="0"/>
          <w:sz w:val="32"/>
        </w:rPr>
        <w:t>其中：财政拨款收入282.08万元，占100.00%；上级补助收入0.00万元，占0.00%；事业收入0.00万元，占0.00%；经营收入0.00万元，占0.00%；附属单位上缴收入0.00万元，占0.00%；其他收入0.00万元，占0.00%。</w:t>
      </w:r>
    </w:p>
    <w:p w14:paraId="53C407FD">
      <w:pPr>
        <w:spacing w:line="640" w:lineRule="exact"/>
        <w:ind w:firstLine="640"/>
        <w:jc w:val="both"/>
        <w:outlineLvl w:val="2"/>
      </w:pPr>
      <w:r>
        <w:rPr>
          <w:rFonts w:ascii="黑体" w:hAnsi="黑体" w:eastAsia="黑体"/>
          <w:sz w:val="32"/>
        </w:rPr>
        <w:t>三、支出决算情况说明</w:t>
      </w:r>
    </w:p>
    <w:p w14:paraId="5DAEE649">
      <w:pPr>
        <w:spacing w:line="580" w:lineRule="exact"/>
        <w:ind w:firstLine="640"/>
        <w:jc w:val="both"/>
      </w:pPr>
      <w:r>
        <w:rPr>
          <w:rFonts w:ascii="仿宋_GB2312" w:hAnsi="仿宋_GB2312" w:eastAsia="仿宋_GB2312"/>
          <w:b/>
          <w:sz w:val="32"/>
        </w:rPr>
        <w:t>本年支出282.11万元，</w:t>
      </w:r>
      <w:r>
        <w:rPr>
          <w:rFonts w:ascii="仿宋_GB2312" w:hAnsi="仿宋_GB2312" w:eastAsia="仿宋_GB2312"/>
          <w:b w:val="0"/>
          <w:sz w:val="32"/>
        </w:rPr>
        <w:t>其中：基本支出270.11万元，占95.75%；项目支出12.00万元，占4.25%；上缴上级支出0.00万元，占0.00%；经营支出0.00万元，占0.00%；对附属单位补助支出0.00万元，占0.00%。</w:t>
      </w:r>
    </w:p>
    <w:p w14:paraId="4E1F32D4">
      <w:pPr>
        <w:spacing w:line="640" w:lineRule="exact"/>
        <w:ind w:firstLine="640"/>
        <w:jc w:val="both"/>
        <w:outlineLvl w:val="2"/>
      </w:pPr>
      <w:r>
        <w:rPr>
          <w:rFonts w:ascii="黑体" w:hAnsi="黑体" w:eastAsia="黑体"/>
          <w:sz w:val="32"/>
        </w:rPr>
        <w:t>四、财政拨款收入支出决算总体情况说明</w:t>
      </w:r>
    </w:p>
    <w:p w14:paraId="31F02029">
      <w:pPr>
        <w:spacing w:line="580" w:lineRule="exact"/>
        <w:ind w:firstLine="640"/>
        <w:jc w:val="both"/>
      </w:pPr>
      <w:r>
        <w:rPr>
          <w:rFonts w:ascii="仿宋_GB2312" w:hAnsi="仿宋_GB2312" w:eastAsia="仿宋_GB2312"/>
          <w:b/>
          <w:sz w:val="32"/>
        </w:rPr>
        <w:t>2024年度财政拨款收入总计282.08万元，</w:t>
      </w:r>
      <w:r>
        <w:rPr>
          <w:rFonts w:ascii="仿宋_GB2312" w:hAnsi="仿宋_GB2312" w:eastAsia="仿宋_GB2312"/>
          <w:b w:val="0"/>
          <w:sz w:val="32"/>
        </w:rPr>
        <w:t>其中：年初财政拨款结转和结余0.00万元，本年财政拨款收入282.08万元。</w:t>
      </w:r>
      <w:r>
        <w:rPr>
          <w:rFonts w:ascii="仿宋_GB2312" w:hAnsi="仿宋_GB2312" w:eastAsia="仿宋_GB2312"/>
          <w:b/>
          <w:sz w:val="32"/>
        </w:rPr>
        <w:t>财政拨款支出总计282.08万元，</w:t>
      </w:r>
      <w:r>
        <w:rPr>
          <w:rFonts w:ascii="仿宋_GB2312" w:hAnsi="仿宋_GB2312" w:eastAsia="仿宋_GB2312"/>
          <w:b w:val="0"/>
          <w:sz w:val="32"/>
        </w:rPr>
        <w:t>其中：年末财政拨款结转和结余0.00万元，本年财政拨款支出282.08万元。</w:t>
      </w:r>
    </w:p>
    <w:p w14:paraId="6C897AF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减少59.67万元，下降17.46%，主要原因是：上年补发人员津贴补贴，奖金，本年无此补发情况，经费减少；本年无新增退休人员，职业年金缴费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年初预算数286.43万元，决算数282.08万元，预决算差异率-1.52%，主要原因是：年中调减为民办实事经费，导致预决算差异。</w:t>
      </w:r>
    </w:p>
    <w:p w14:paraId="750F400A">
      <w:pPr>
        <w:spacing w:line="640" w:lineRule="exact"/>
        <w:ind w:firstLine="640"/>
        <w:jc w:val="both"/>
        <w:outlineLvl w:val="2"/>
      </w:pPr>
      <w:r>
        <w:rPr>
          <w:rFonts w:ascii="黑体" w:hAnsi="黑体" w:eastAsia="黑体"/>
          <w:sz w:val="32"/>
        </w:rPr>
        <w:t>五、一般公共预算财政拨款支出决算情况说明</w:t>
      </w:r>
    </w:p>
    <w:p w14:paraId="5856A50F">
      <w:pPr>
        <w:spacing w:line="640" w:lineRule="exact"/>
        <w:ind w:firstLine="640"/>
        <w:jc w:val="both"/>
        <w:outlineLvl w:val="3"/>
      </w:pPr>
      <w:r>
        <w:rPr>
          <w:rFonts w:ascii="楷体_GB2312" w:hAnsi="楷体_GB2312" w:eastAsia="楷体_GB2312"/>
          <w:b/>
          <w:sz w:val="32"/>
        </w:rPr>
        <w:t>（一）一般公共预算财政拨款支出决算总体情况</w:t>
      </w:r>
    </w:p>
    <w:p w14:paraId="721BA77C">
      <w:pPr>
        <w:spacing w:line="580" w:lineRule="exact"/>
        <w:ind w:firstLine="640"/>
        <w:jc w:val="both"/>
      </w:pPr>
      <w:r>
        <w:rPr>
          <w:rFonts w:ascii="仿宋_GB2312" w:hAnsi="仿宋_GB2312" w:eastAsia="仿宋_GB2312"/>
          <w:b/>
          <w:sz w:val="32"/>
        </w:rPr>
        <w:t>2024年度一般公共预算财政拨款支出282.08万元，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减少59.67万元，下降17.46%，主要原因是：上年补发人员津贴补贴，奖金，本年无此补发情况，经费减少；本年无新增退休人员，职业年金缴费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年初预算数286.43万元，决算数282.08万元，预决算差异率-1.52%，主要原因是：年中调减为民办实事经费，导致预决算差异。</w:t>
      </w:r>
    </w:p>
    <w:p w14:paraId="1A26F3CE">
      <w:pPr>
        <w:spacing w:line="640" w:lineRule="exact"/>
        <w:ind w:firstLine="640"/>
        <w:jc w:val="both"/>
        <w:outlineLvl w:val="3"/>
      </w:pPr>
      <w:r>
        <w:rPr>
          <w:rFonts w:ascii="楷体_GB2312" w:hAnsi="楷体_GB2312" w:eastAsia="楷体_GB2312"/>
          <w:b/>
          <w:sz w:val="32"/>
        </w:rPr>
        <w:t>（二）一般公共预算财政拨款支出决算结构情况</w:t>
      </w:r>
    </w:p>
    <w:p w14:paraId="074FD2F2">
      <w:pPr>
        <w:spacing w:line="580" w:lineRule="exact"/>
        <w:ind w:firstLine="640"/>
        <w:jc w:val="both"/>
      </w:pPr>
      <w:r>
        <w:rPr>
          <w:rFonts w:ascii="仿宋_GB2312" w:hAnsi="仿宋_GB2312" w:eastAsia="仿宋_GB2312"/>
          <w:b w:val="0"/>
          <w:sz w:val="32"/>
        </w:rPr>
        <w:t>1.社会保障和就业支出(类)33.90万元,占12.02%。</w:t>
      </w:r>
    </w:p>
    <w:p w14:paraId="567D8443">
      <w:pPr>
        <w:spacing w:line="580" w:lineRule="exact"/>
        <w:ind w:firstLine="640"/>
        <w:jc w:val="both"/>
      </w:pPr>
      <w:r>
        <w:rPr>
          <w:rFonts w:ascii="仿宋_GB2312" w:hAnsi="仿宋_GB2312" w:eastAsia="仿宋_GB2312"/>
          <w:b w:val="0"/>
          <w:sz w:val="32"/>
        </w:rPr>
        <w:t>2.农林水支出(类)248.18万元,占87.98%。</w:t>
      </w:r>
    </w:p>
    <w:p w14:paraId="5FA85584">
      <w:pPr>
        <w:spacing w:line="640" w:lineRule="exact"/>
        <w:ind w:firstLine="640"/>
        <w:jc w:val="both"/>
        <w:outlineLvl w:val="3"/>
      </w:pPr>
      <w:r>
        <w:rPr>
          <w:rFonts w:ascii="楷体_GB2312" w:hAnsi="楷体_GB2312" w:eastAsia="楷体_GB2312"/>
          <w:b/>
          <w:sz w:val="32"/>
        </w:rPr>
        <w:t>（三）一般公共预算财政拨款支出决算具体情况</w:t>
      </w:r>
    </w:p>
    <w:p w14:paraId="033333FD">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1.社会保障和就业支出(类)行政事业单位养老支出(款)事业单位离退休(项):支出决算数为7.78万元，比上年决算增加3.21万元，增长70.24%,主要原因是：本年增加退休人员基础绩效奖，退休费支出增加。</w:t>
      </w:r>
    </w:p>
    <w:p w14:paraId="2B03415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26.12万元，比上年决算增加0.11万元，增长0.42%,主要原因是：本年在职人员工资基数调增，养老缴费基数上涨，相应支出增加。</w:t>
      </w:r>
    </w:p>
    <w:p w14:paraId="0ED2332C">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3.社会保障和就业支出(类)行政事业单位养老支出(款)机关事业单位职业年金缴费支出(项):支出决算数为0.00万元，比上年决算减少28.24万元，下降100.00%,主要原因是：本年无新增退休人员，无职业年金缴费支出。</w:t>
      </w:r>
    </w:p>
    <w:p w14:paraId="3B0D226E">
      <w:pPr>
        <w:spacing w:line="580" w:lineRule="exact"/>
        <w:ind w:firstLine="640"/>
        <w:jc w:val="both"/>
      </w:pPr>
      <w:r>
        <w:rPr>
          <w:rFonts w:ascii="仿宋_GB2312" w:hAnsi="仿宋_GB2312" w:eastAsia="仿宋_GB2312"/>
          <w:b w:val="0"/>
          <w:sz w:val="32"/>
        </w:rPr>
        <w:t>4.农林水支出(类)农业农村(款)事业运行(项):支出决算数为236.18万元，比上年决算减少34.25万元，下降12.67%,主要原因是：上年补发人员津贴补贴，奖金，本年无此补发情况，经费减少。</w:t>
      </w:r>
    </w:p>
    <w:p w14:paraId="7F20C642">
      <w:pPr>
        <w:spacing w:line="580" w:lineRule="exact"/>
        <w:ind w:firstLine="640"/>
        <w:jc w:val="both"/>
      </w:pPr>
      <w:r>
        <w:rPr>
          <w:rFonts w:ascii="仿宋_GB2312" w:hAnsi="仿宋_GB2312" w:eastAsia="仿宋_GB2312"/>
          <w:b w:val="0"/>
          <w:sz w:val="32"/>
        </w:rPr>
        <w:t>5.农林水支出(类)农业农村(款)其他农业农村支出(项):支出决算数为12.00万元，比上年决算减少0.50万元，下降4.00%,主要原因是：本年减少为民办实事经费。</w:t>
      </w:r>
    </w:p>
    <w:p w14:paraId="5A92FC4A">
      <w:pPr>
        <w:spacing w:line="640" w:lineRule="exact"/>
        <w:ind w:firstLine="640"/>
        <w:jc w:val="both"/>
        <w:outlineLvl w:val="2"/>
      </w:pPr>
      <w:r>
        <w:rPr>
          <w:rFonts w:ascii="黑体" w:hAnsi="黑体" w:eastAsia="黑体"/>
          <w:sz w:val="32"/>
        </w:rPr>
        <w:t>六、一般公共预算财政拨款基本支出决算情况说明</w:t>
      </w:r>
    </w:p>
    <w:p w14:paraId="6F934D29">
      <w:pPr>
        <w:spacing w:line="580" w:lineRule="exact"/>
        <w:ind w:firstLine="640"/>
        <w:jc w:val="both"/>
      </w:pPr>
      <w:r>
        <w:rPr>
          <w:rFonts w:ascii="仿宋_GB2312" w:hAnsi="仿宋_GB2312" w:eastAsia="仿宋_GB2312"/>
          <w:b w:val="0"/>
          <w:sz w:val="32"/>
        </w:rPr>
        <w:t>2024年度一般公共预算财政拨款基本支出270.08万元，其中：</w:t>
      </w:r>
      <w:r>
        <w:rPr>
          <w:rFonts w:ascii="仿宋_GB2312" w:hAnsi="仿宋_GB2312" w:eastAsia="仿宋_GB2312"/>
          <w:b/>
          <w:sz w:val="32"/>
        </w:rPr>
        <w:t>人员经费261.58万元，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包括：基本工资、津贴补贴、奖金、机关事业单位基本养老保险缴费、职工基本医疗保险缴费、其他社会保障缴费、住房公积金、其他工资福利支出、退休费、生活补助、奖励金。</w:t>
      </w:r>
    </w:p>
    <w:p w14:paraId="1938F1AB">
      <w:pPr>
        <w:spacing w:line="580" w:lineRule="exact"/>
        <w:ind w:firstLine="640"/>
        <w:jc w:val="both"/>
      </w:pPr>
      <w:r>
        <w:rPr>
          <w:rFonts w:ascii="仿宋_GB2312" w:hAnsi="仿宋_GB2312" w:eastAsia="仿宋_GB2312"/>
          <w:b/>
          <w:sz w:val="32"/>
        </w:rPr>
        <w:t>公用经费8.50万元，</w:t>
      </w:r>
      <w:r>
        <w:rPr>
          <w:rFonts w:ascii="仿宋_GB2312" w:hAnsi="仿宋_GB2312" w:eastAsia="仿宋_GB2312"/>
          <w:b w:val="0"/>
          <w:sz w:val="32"/>
        </w:rPr>
        <w:t>包括：办公费、印刷费、水费、电费、邮电费、差旅费、劳务费、工会经费、福利费、公务用车运行维护费。</w:t>
      </w:r>
    </w:p>
    <w:p w14:paraId="59613F6E">
      <w:pPr>
        <w:spacing w:line="640" w:lineRule="exact"/>
        <w:ind w:firstLine="640"/>
        <w:jc w:val="both"/>
        <w:outlineLvl w:val="2"/>
      </w:pPr>
      <w:r>
        <w:rPr>
          <w:rFonts w:ascii="黑体" w:hAnsi="黑体" w:eastAsia="黑体"/>
          <w:sz w:val="32"/>
        </w:rPr>
        <w:t>七、政府性基金预算财政拨款收入支出决算情况说明</w:t>
      </w:r>
    </w:p>
    <w:p w14:paraId="5D284F0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E3454D">
      <w:pPr>
        <w:spacing w:line="640" w:lineRule="exact"/>
        <w:ind w:firstLine="640"/>
        <w:jc w:val="both"/>
        <w:outlineLvl w:val="2"/>
      </w:pPr>
      <w:r>
        <w:rPr>
          <w:rFonts w:ascii="黑体" w:hAnsi="黑体" w:eastAsia="黑体"/>
          <w:sz w:val="32"/>
        </w:rPr>
        <w:t>八、国有资本经营预算财政拨款收入支出决算情况说明</w:t>
      </w:r>
    </w:p>
    <w:p w14:paraId="251B556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C9F0B9F">
      <w:pPr>
        <w:spacing w:line="640" w:lineRule="exact"/>
        <w:ind w:firstLine="640"/>
        <w:jc w:val="both"/>
        <w:outlineLvl w:val="2"/>
      </w:pPr>
      <w:r>
        <w:rPr>
          <w:rFonts w:ascii="黑体" w:hAnsi="黑体" w:eastAsia="黑体"/>
          <w:sz w:val="32"/>
        </w:rPr>
        <w:t>九、财政拨款“三公”经费支出决算情况说明</w:t>
      </w:r>
    </w:p>
    <w:p w14:paraId="41E515F8">
      <w:pPr>
        <w:spacing w:line="580" w:lineRule="exact"/>
        <w:ind w:firstLine="640"/>
        <w:jc w:val="both"/>
      </w:pPr>
      <w:r>
        <w:rPr>
          <w:rFonts w:ascii="仿宋_GB2312" w:hAnsi="仿宋_GB2312" w:eastAsia="仿宋_GB2312"/>
          <w:b/>
          <w:sz w:val="32"/>
        </w:rPr>
        <w:t>2024年度财政拨款“三公”经费支出0.65万元，</w:t>
      </w:r>
      <w:r>
        <w:rPr>
          <w:rFonts w:ascii="仿宋_GB2312" w:hAnsi="仿宋_GB2312" w:eastAsia="仿宋_GB2312"/>
          <w:b w:val="0"/>
          <w:sz w:val="32"/>
        </w:rPr>
        <w:t>比上年减少0.05万元，下降7.14%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0.65万元，占100.00%，比上年减少0.05万元，下降7.14%，主要原因是：严格落实中央八项规定精神，厉行节约，减少公务用车运行维护费。公务接待费支出0.00万元，占0.00%，比上年增加0.00万元，增长0.00%，主要原因是：2023年与2024年均未安排公务接待费支出。</w:t>
      </w:r>
    </w:p>
    <w:p w14:paraId="191BF22E">
      <w:pPr>
        <w:spacing w:line="580" w:lineRule="exact"/>
        <w:ind w:firstLine="640"/>
        <w:jc w:val="both"/>
      </w:pPr>
      <w:r>
        <w:rPr>
          <w:rFonts w:ascii="仿宋_GB2312" w:hAnsi="仿宋_GB2312" w:eastAsia="仿宋_GB2312"/>
          <w:b/>
          <w:sz w:val="32"/>
        </w:rPr>
        <w:t>具体情况如下：</w:t>
      </w:r>
    </w:p>
    <w:p w14:paraId="10C983F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6C6091">
      <w:pPr>
        <w:spacing w:line="580" w:lineRule="exact"/>
        <w:ind w:firstLine="640"/>
        <w:jc w:val="both"/>
      </w:pPr>
      <w:r>
        <w:rPr>
          <w:rFonts w:ascii="仿宋_GB2312" w:hAnsi="仿宋_GB2312" w:eastAsia="仿宋_GB2312"/>
          <w:b w:val="0"/>
          <w:sz w:val="32"/>
        </w:rPr>
        <w:t>公务用车购置及运行维护费0.65万元，其中：公务用车购置费0.00万元，公务用车运行维护费0.65万元。公务用车运行维护费开支内容包括车辆加油费、维修费、保险费、审车费、过路费。公务用车购置数0辆，公务用车保有量1辆。国有资产占用情况中固定资产车辆0辆，与公务用车保有量差异原因是：借用其他单位车辆，车辆费用由本单位支付。</w:t>
      </w:r>
    </w:p>
    <w:p w14:paraId="737A5AC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416F6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0.65万元，决算数0.65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0.65万元，决算数0.65万元，预决算差异率0.00%，主要原因是：严格按照预算执行，预决算无差异。公务接待费全年预算数0.00万元，决算数0.00万元，预决算差异率0.00%，主要原因是：本单位无公务接待费。</w:t>
      </w:r>
    </w:p>
    <w:p w14:paraId="4A8DC22E">
      <w:pPr>
        <w:spacing w:line="640" w:lineRule="exact"/>
        <w:ind w:firstLine="640"/>
        <w:jc w:val="both"/>
        <w:outlineLvl w:val="2"/>
      </w:pPr>
      <w:r>
        <w:rPr>
          <w:rFonts w:ascii="黑体" w:hAnsi="黑体" w:eastAsia="黑体"/>
          <w:sz w:val="32"/>
        </w:rPr>
        <w:t>十、其他重要事项的情况说明</w:t>
      </w:r>
    </w:p>
    <w:p w14:paraId="476B33AD">
      <w:pPr>
        <w:spacing w:line="640" w:lineRule="exact"/>
        <w:ind w:firstLine="640"/>
        <w:jc w:val="both"/>
        <w:outlineLvl w:val="3"/>
      </w:pPr>
      <w:r>
        <w:rPr>
          <w:rFonts w:ascii="楷体_GB2312" w:hAnsi="楷体_GB2312" w:eastAsia="楷体_GB2312"/>
          <w:b/>
          <w:sz w:val="32"/>
        </w:rPr>
        <w:t>（一）机关运行经费及公用经费支出情况</w:t>
      </w:r>
    </w:p>
    <w:p w14:paraId="07880D1A">
      <w:pPr>
        <w:spacing w:line="580" w:lineRule="exact"/>
        <w:ind w:firstLine="640"/>
        <w:jc w:val="both"/>
      </w:pPr>
      <w:r>
        <w:rPr>
          <w:rFonts w:ascii="仿宋_GB2312" w:hAnsi="仿宋_GB2312" w:eastAsia="仿宋_GB2312"/>
          <w:b w:val="0"/>
          <w:sz w:val="32"/>
        </w:rPr>
        <w:t>2024年度新疆农业广播电视学校克孜勒苏柯尔克孜自治州分校（事业单位）公用经费支出8.50万元，比上年减少0.18万元，下降2.07%，主要原因是：本年工会经费减少。</w:t>
      </w:r>
    </w:p>
    <w:p w14:paraId="6D1E1FD7">
      <w:pPr>
        <w:spacing w:line="640" w:lineRule="exact"/>
        <w:ind w:firstLine="640"/>
        <w:jc w:val="both"/>
        <w:outlineLvl w:val="3"/>
      </w:pPr>
      <w:r>
        <w:rPr>
          <w:rFonts w:ascii="楷体_GB2312" w:hAnsi="楷体_GB2312" w:eastAsia="楷体_GB2312"/>
          <w:b/>
          <w:sz w:val="32"/>
        </w:rPr>
        <w:t>（二）政府采购情况</w:t>
      </w:r>
    </w:p>
    <w:p w14:paraId="1EC97AF4">
      <w:pPr>
        <w:spacing w:line="580" w:lineRule="exact"/>
        <w:ind w:firstLine="640"/>
        <w:jc w:val="both"/>
      </w:pPr>
      <w:r>
        <w:rPr>
          <w:rFonts w:ascii="仿宋_GB2312" w:hAnsi="仿宋_GB2312" w:eastAsia="仿宋_GB2312"/>
          <w:b w:val="0"/>
          <w:sz w:val="32"/>
        </w:rPr>
        <w:t>2024年度政府采购支出总额15.81万元，其中：政府采购货物支出10.97万元、政府采购工程支出0.00万元、政府采购服务支出4.84万元。</w:t>
      </w:r>
    </w:p>
    <w:p w14:paraId="04F4133F">
      <w:pPr>
        <w:spacing w:line="580" w:lineRule="exact"/>
        <w:ind w:firstLine="640"/>
        <w:jc w:val="both"/>
      </w:pPr>
      <w:r>
        <w:rPr>
          <w:rFonts w:ascii="仿宋_GB2312" w:hAnsi="仿宋_GB2312" w:eastAsia="仿宋_GB2312"/>
          <w:b w:val="0"/>
          <w:sz w:val="32"/>
        </w:rPr>
        <w:t>授予中小企业合同金额15.81万元，占政府采购支出总额的100.00%，其中：授予小微企业合同金额15.81万元，占政府采购支出总额的100.00%。</w:t>
      </w:r>
    </w:p>
    <w:p w14:paraId="4058E41E">
      <w:pPr>
        <w:spacing w:line="640" w:lineRule="exact"/>
        <w:ind w:firstLine="640"/>
        <w:jc w:val="both"/>
        <w:outlineLvl w:val="3"/>
      </w:pPr>
      <w:r>
        <w:rPr>
          <w:rFonts w:ascii="楷体_GB2312" w:hAnsi="楷体_GB2312" w:eastAsia="楷体_GB2312"/>
          <w:b/>
          <w:sz w:val="32"/>
        </w:rPr>
        <w:t>（三）国有资产占用情况说明</w:t>
      </w:r>
    </w:p>
    <w:p w14:paraId="6484AAB4">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FE210F2">
      <w:pPr>
        <w:spacing w:line="640" w:lineRule="exact"/>
        <w:ind w:firstLine="640"/>
        <w:jc w:val="both"/>
        <w:outlineLvl w:val="2"/>
      </w:pPr>
      <w:r>
        <w:rPr>
          <w:rFonts w:ascii="黑体" w:hAnsi="黑体" w:eastAsia="黑体"/>
          <w:sz w:val="32"/>
        </w:rPr>
        <w:t>十一、预算绩效的情况说明</w:t>
      </w:r>
    </w:p>
    <w:p w14:paraId="1B9144A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282.10万元，实际执行总额282.10万元；预算绩效评价项目2个，全年预算数12.03万元，全年执行数12.03万元。预算绩效管理取得的成效：农广校党支部充分发挥党建引领示范作用，班子带头，党员跟进，干部参与，各项业务工作取得了新突破。截至目前，共计培训23310人次，发放资料9263余份。一是全面完成高素质农民培育工作。2024年高素质农民培育项目培训任务550人，项目资金234万元，涉及新型农业经营和服务主体带头人、乡村振兴带头人、乡村社会事业治理带头人、高素质女农民、专业生产型、技能服务型等专业。开班16期698人，已超额完成培训任务，培训学员满意度均达到90%以上。强化对县（市）培育质量监管，同时，对往年高素质农民培育学员开展跟踪服务和回访工作，确保培训取得实效</w:t>
      </w:r>
      <w:r>
        <w:rPr>
          <w:rFonts w:hint="eastAsia" w:ascii="仿宋_GB2312" w:hAnsi="仿宋_GB2312" w:eastAsia="仿宋_GB2312"/>
          <w:b w:val="0"/>
          <w:sz w:val="32"/>
          <w:lang w:eastAsia="zh-CN"/>
        </w:rPr>
        <w:t>；</w:t>
      </w:r>
      <w:r>
        <w:rPr>
          <w:rFonts w:ascii="仿宋_GB2312" w:hAnsi="仿宋_GB2312" w:eastAsia="仿宋_GB2312"/>
          <w:b w:val="0"/>
          <w:sz w:val="32"/>
        </w:rPr>
        <w:t>二是积极开展实用技术培训。利用线上线下融合的方式，进行培训，截至目前共计培训22612人次，发放资料9263余份。线下培训：一是利用冬春农闲季节，多层次、多渠道、多形式有针对性开展“冬春培训”培训9956人次（其中：县市8085人次），发放资料5900余份</w:t>
      </w:r>
      <w:r>
        <w:rPr>
          <w:rFonts w:hint="eastAsia" w:ascii="仿宋_GB2312" w:hAnsi="仿宋_GB2312" w:eastAsia="仿宋_GB2312"/>
          <w:b w:val="0"/>
          <w:sz w:val="32"/>
          <w:lang w:eastAsia="zh-CN"/>
        </w:rPr>
        <w:t>；</w:t>
      </w:r>
      <w:r>
        <w:rPr>
          <w:rFonts w:ascii="仿宋_GB2312" w:hAnsi="仿宋_GB2312" w:eastAsia="仿宋_GB2312"/>
          <w:b w:val="0"/>
          <w:sz w:val="32"/>
        </w:rPr>
        <w:t>二是围绕《自治区小麦优质高产栽培技术方案》《自治区玉米密植精准调控高产技术方案》《自治区棉花优质高产栽培技术方案》，对阿克陶县小麦、玉米和棉花种植大户、种植合作社负责人、乡村农技人员开展培训，共计300人；三是根据《新疆农田地膜科学使用及污染防控技术》《新疆小麦病虫害绿色防控技术》和《新疆秸秆综合利用技术》等开展培训，共计培训1100人，发放资料1000余册；四是举办农业系统小麦、玉米和棉花优质高产栽培技术培训班，农业系统中级以上专业技术干部参加了培训，共计培训5期294人次，通过培训进一步提升农业技术人员专业知识水平；五是组织农技人员及种植大户，举办小麦、玉米优质高产栽培技术现场培训，共培训4期260人，发放《克州农林牧农业主推品种+主推技术》3363册；六是利用援助资金开展农牧民实用技术培训4828人，培训内容主要围绕当地需求，种植业、林果业、设施农业、养殖业等专业；七是组织全州农业农村系统专业技术干部2514人次参加了为期11天的干部冬季培训班；八是开展农民综合素质素养提升培训50期2610人。九是遴选全州20名学员参加自治区专题培训。线上培训。一是充分利用“云上智农”信息化</w:t>
      </w:r>
      <w:r>
        <w:rPr>
          <w:rFonts w:hint="eastAsia" w:ascii="仿宋_GB2312" w:hAnsi="仿宋_GB2312" w:eastAsia="仿宋_GB2312"/>
          <w:b w:val="0"/>
          <w:sz w:val="32"/>
          <w:lang w:eastAsia="zh-CN"/>
        </w:rPr>
        <w:t>学习</w:t>
      </w:r>
      <w:r>
        <w:rPr>
          <w:rFonts w:ascii="仿宋_GB2312" w:hAnsi="仿宋_GB2312" w:eastAsia="仿宋_GB2312"/>
          <w:b w:val="0"/>
          <w:sz w:val="32"/>
        </w:rPr>
        <w:t>平台，推动专业技术人员掌握新理念、新知识、新技术，提高应用良田良种良法良机良制综合配套技术的能力和水平，提高关键技术到位率和覆盖面，围绕全国农垦粮油等主要作物20项高产高效技术及模式开展培训10期250人次；二是利用全国农业农村远程教育平台，组织开展2024年农业农村系统科技人员知识更新培训11期1541人次；三是组织开展推进乡村全面振兴视频培训39人次；四是以“提升农民数字素养共享美好数字生活”为主题，开展农民手机培训周线上直播培训733人次；五是</w:t>
      </w:r>
      <w:r>
        <w:rPr>
          <w:rFonts w:hint="eastAsia" w:ascii="仿宋_GB2312" w:hAnsi="仿宋_GB2312" w:eastAsia="仿宋_GB2312"/>
          <w:b w:val="0"/>
          <w:sz w:val="32"/>
          <w:lang w:eastAsia="zh-CN"/>
        </w:rPr>
        <w:t>其他</w:t>
      </w:r>
      <w:r>
        <w:rPr>
          <w:rFonts w:ascii="仿宋_GB2312" w:hAnsi="仿宋_GB2312" w:eastAsia="仿宋_GB2312"/>
          <w:b w:val="0"/>
          <w:sz w:val="32"/>
        </w:rPr>
        <w:t>类培训38人。发现的问题及原因：一是部分业务人员绩效管理意识有待增强，未能全面深入认识理解绩效管理工作的意义。绩效管理经验不足，预算绩效管理工作有待进一步落实</w:t>
      </w:r>
      <w:r>
        <w:rPr>
          <w:rFonts w:hint="eastAsia" w:ascii="仿宋_GB2312" w:hAnsi="仿宋_GB2312" w:eastAsia="仿宋_GB2312"/>
          <w:b w:val="0"/>
          <w:sz w:val="32"/>
          <w:lang w:eastAsia="zh-CN"/>
        </w:rPr>
        <w:t>；</w:t>
      </w:r>
      <w:r>
        <w:rPr>
          <w:rFonts w:ascii="仿宋_GB2312" w:hAnsi="仿宋_GB2312" w:eastAsia="仿宋_GB2312"/>
          <w:b w:val="0"/>
          <w:sz w:val="32"/>
        </w:rPr>
        <w:t>二是绩效指标的明确性、可衡量性、相关性还需进一步提升。预算精细化管理还需完善，预算编制管理水平仍有进一步提升的空间。下一步改进措施：一是继续加大绩效工作宣传力度，强化绩效理念</w:t>
      </w:r>
      <w:r>
        <w:rPr>
          <w:rFonts w:hint="eastAsia" w:ascii="仿宋_GB2312" w:hAnsi="仿宋_GB2312" w:eastAsia="仿宋_GB2312"/>
          <w:b w:val="0"/>
          <w:sz w:val="32"/>
          <w:lang w:eastAsia="zh-CN"/>
        </w:rPr>
        <w:t>；</w:t>
      </w:r>
      <w:r>
        <w:rPr>
          <w:rFonts w:ascii="仿宋_GB2312" w:hAnsi="仿宋_GB2312" w:eastAsia="仿宋_GB2312"/>
          <w:b w:val="0"/>
          <w:sz w:val="32"/>
        </w:rPr>
        <w:t>二是继续完善绩效指标，提高整体绩效目标质量。提升预算精细化管理水平</w:t>
      </w:r>
      <w:r>
        <w:rPr>
          <w:rFonts w:hint="eastAsia" w:ascii="仿宋_GB2312" w:hAnsi="仿宋_GB2312" w:eastAsia="仿宋_GB2312"/>
          <w:b w:val="0"/>
          <w:sz w:val="32"/>
          <w:lang w:eastAsia="zh-CN"/>
        </w:rPr>
        <w:t>；</w:t>
      </w:r>
      <w:r>
        <w:rPr>
          <w:rFonts w:ascii="仿宋_GB2312" w:hAnsi="仿宋_GB2312" w:eastAsia="仿宋_GB2312"/>
          <w:b w:val="0"/>
          <w:sz w:val="32"/>
        </w:rPr>
        <w:t>三是继续完善预算绩效管理相关工作制度，建立全过程预算绩效管理链条，有效贯彻落实全面实施绩效管理的精神。具体附整体支出绩效自评表，项目支出绩效自评表和评价报告。</w:t>
      </w:r>
    </w:p>
    <w:p w14:paraId="07F1B30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AB5EBCF">
        <w:tblPrEx>
          <w:tblCellMar>
            <w:top w:w="0" w:type="dxa"/>
            <w:left w:w="108" w:type="dxa"/>
            <w:bottom w:w="0" w:type="dxa"/>
            <w:right w:w="108" w:type="dxa"/>
          </w:tblCellMar>
        </w:tblPrEx>
        <w:tc>
          <w:tcPr>
            <w:tcW w:w="8840" w:type="dxa"/>
            <w:gridSpan w:val="8"/>
            <w:vAlign w:val="center"/>
          </w:tcPr>
          <w:p w14:paraId="505E64CF">
            <w:pPr>
              <w:jc w:val="center"/>
            </w:pPr>
            <w:r>
              <w:rPr>
                <w:rFonts w:ascii="宋体" w:hAnsi="宋体" w:eastAsia="宋体"/>
                <w:sz w:val="24"/>
              </w:rPr>
              <w:t>单位整体支出绩效自评表</w:t>
            </w:r>
          </w:p>
        </w:tc>
      </w:tr>
      <w:tr w14:paraId="50500D9E">
        <w:tblPrEx>
          <w:tblCellMar>
            <w:top w:w="0" w:type="dxa"/>
            <w:left w:w="108" w:type="dxa"/>
            <w:bottom w:w="0" w:type="dxa"/>
            <w:right w:w="108" w:type="dxa"/>
          </w:tblCellMar>
        </w:tblPrEx>
        <w:tc>
          <w:tcPr>
            <w:tcW w:w="8840" w:type="dxa"/>
            <w:gridSpan w:val="8"/>
            <w:vAlign w:val="center"/>
          </w:tcPr>
          <w:p w14:paraId="4381695D">
            <w:pPr>
              <w:jc w:val="center"/>
            </w:pPr>
            <w:r>
              <w:rPr>
                <w:rFonts w:ascii="宋体" w:hAnsi="宋体" w:eastAsia="宋体"/>
                <w:sz w:val="24"/>
              </w:rPr>
              <w:t>（2024年度）</w:t>
            </w:r>
          </w:p>
        </w:tc>
      </w:tr>
      <w:tr w14:paraId="2A03FF7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0F1A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99A509">
            <w:pPr>
              <w:jc w:val="center"/>
            </w:pPr>
            <w:r>
              <w:rPr>
                <w:rFonts w:ascii="宋体" w:hAnsi="宋体" w:eastAsia="宋体"/>
                <w:sz w:val="16"/>
              </w:rPr>
              <w:t>新疆农业广播电视学校克孜勒苏柯尔克孜自治州分校</w:t>
            </w:r>
          </w:p>
        </w:tc>
      </w:tr>
      <w:tr w14:paraId="2E53B22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CF65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919C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927FE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3226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03408">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5DC9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42E74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8BCF0">
            <w:pPr>
              <w:jc w:val="center"/>
            </w:pPr>
            <w:r>
              <w:rPr>
                <w:rFonts w:ascii="宋体" w:hAnsi="宋体" w:eastAsia="宋体"/>
                <w:sz w:val="16"/>
              </w:rPr>
              <w:t>得分</w:t>
            </w:r>
          </w:p>
        </w:tc>
      </w:tr>
      <w:tr w14:paraId="6FFCF2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2170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B9680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C5698">
            <w:pPr>
              <w:jc w:val="center"/>
            </w:pPr>
            <w:r>
              <w:rPr>
                <w:rFonts w:ascii="宋体" w:hAnsi="宋体" w:eastAsia="宋体"/>
                <w:sz w:val="16"/>
              </w:rPr>
              <w:t>286.46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156B8">
            <w:pPr>
              <w:jc w:val="center"/>
            </w:pPr>
            <w:r>
              <w:rPr>
                <w:rFonts w:ascii="宋体" w:hAnsi="宋体" w:eastAsia="宋体"/>
                <w:sz w:val="16"/>
              </w:rPr>
              <w:t>282.10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63044">
            <w:pPr>
              <w:jc w:val="center"/>
            </w:pPr>
            <w:r>
              <w:rPr>
                <w:rFonts w:ascii="宋体" w:hAnsi="宋体" w:eastAsia="宋体"/>
                <w:sz w:val="16"/>
              </w:rPr>
              <w:t>282.10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D8CF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1FB5B">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CF5B2">
            <w:pPr>
              <w:jc w:val="center"/>
            </w:pPr>
            <w:r>
              <w:rPr>
                <w:rFonts w:ascii="宋体" w:hAnsi="宋体" w:eastAsia="宋体"/>
                <w:sz w:val="16"/>
              </w:rPr>
              <w:t>10</w:t>
            </w:r>
          </w:p>
        </w:tc>
      </w:tr>
      <w:tr w14:paraId="0DFE09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F068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B48A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296E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D39360">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DFA88">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968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46B1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BE137">
            <w:pPr>
              <w:jc w:val="center"/>
            </w:pPr>
            <w:r>
              <w:rPr>
                <w:rFonts w:ascii="宋体" w:hAnsi="宋体" w:eastAsia="宋体"/>
                <w:sz w:val="16"/>
              </w:rPr>
              <w:t>—</w:t>
            </w:r>
          </w:p>
        </w:tc>
      </w:tr>
      <w:tr w14:paraId="5609A4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FE71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64E24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6F079">
            <w:pPr>
              <w:jc w:val="center"/>
            </w:pPr>
            <w:r>
              <w:rPr>
                <w:rFonts w:ascii="宋体" w:hAnsi="宋体" w:eastAsia="宋体"/>
                <w:sz w:val="16"/>
              </w:rPr>
              <w:t>286.43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84CD0">
            <w:pPr>
              <w:jc w:val="center"/>
            </w:pPr>
            <w:r>
              <w:rPr>
                <w:rFonts w:ascii="宋体" w:hAnsi="宋体" w:eastAsia="宋体"/>
                <w:sz w:val="16"/>
              </w:rPr>
              <w:t>270.10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11BC6">
            <w:pPr>
              <w:jc w:val="center"/>
            </w:pPr>
            <w:r>
              <w:rPr>
                <w:rFonts w:ascii="宋体" w:hAnsi="宋体" w:eastAsia="宋体"/>
                <w:sz w:val="16"/>
              </w:rPr>
              <w:t>270.10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C505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C533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A99F6E">
            <w:pPr>
              <w:jc w:val="center"/>
            </w:pPr>
            <w:r>
              <w:rPr>
                <w:rFonts w:ascii="宋体" w:hAnsi="宋体" w:eastAsia="宋体"/>
                <w:sz w:val="16"/>
              </w:rPr>
              <w:t>—</w:t>
            </w:r>
          </w:p>
        </w:tc>
      </w:tr>
      <w:tr w14:paraId="260C3A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E043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DC56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D20CA2">
            <w:pPr>
              <w:jc w:val="center"/>
            </w:pPr>
            <w:r>
              <w:rPr>
                <w:rFonts w:ascii="宋体" w:hAnsi="宋体" w:eastAsia="宋体"/>
                <w:sz w:val="16"/>
              </w:rPr>
              <w:t>0.03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A767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EDFA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577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13F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D9140">
            <w:pPr>
              <w:jc w:val="center"/>
            </w:pPr>
            <w:r>
              <w:rPr>
                <w:rFonts w:ascii="宋体" w:hAnsi="宋体" w:eastAsia="宋体"/>
                <w:sz w:val="16"/>
              </w:rPr>
              <w:t>—</w:t>
            </w:r>
          </w:p>
        </w:tc>
      </w:tr>
      <w:tr w14:paraId="130C9E6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BF2D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9C963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9BFB99">
            <w:pPr>
              <w:jc w:val="center"/>
            </w:pPr>
            <w:r>
              <w:rPr>
                <w:rFonts w:ascii="宋体" w:hAnsi="宋体" w:eastAsia="宋体"/>
                <w:sz w:val="16"/>
              </w:rPr>
              <w:t>实际完成情况</w:t>
            </w:r>
          </w:p>
        </w:tc>
      </w:tr>
      <w:tr w14:paraId="6E4F67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38A41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88852B">
            <w:pPr>
              <w:jc w:val="both"/>
            </w:pPr>
            <w:r>
              <w:rPr>
                <w:rFonts w:ascii="宋体" w:hAnsi="宋体" w:eastAsia="宋体"/>
                <w:sz w:val="16"/>
              </w:rPr>
              <w:t>1、结合新时代农民培训出现的新形势新任务新特点，全力抓好师资队伍建设，通过走出去，引进来，外出挂职、培训等多种方式，全面加强师资力量，努力打造一支素质过硬、业务精尖的教师队伍。</w:t>
            </w:r>
            <w:r>
              <w:rPr>
                <w:rFonts w:ascii="宋体" w:hAnsi="宋体" w:eastAsia="宋体"/>
                <w:sz w:val="16"/>
              </w:rPr>
              <w:br w:type="textWrapping"/>
            </w:r>
            <w:r>
              <w:rPr>
                <w:rFonts w:ascii="宋体" w:hAnsi="宋体" w:eastAsia="宋体"/>
                <w:sz w:val="16"/>
              </w:rPr>
              <w:t>2、以全面提高高素质农民为目标，进一步加强组织领导、夯实工作基础、强化行政推力，争取各级各部门的支持，大力发展农民教育培训事业，为克州乡村振兴发展提供人才支撑。</w:t>
            </w:r>
            <w:r>
              <w:rPr>
                <w:rFonts w:ascii="宋体" w:hAnsi="宋体" w:eastAsia="宋体"/>
                <w:sz w:val="16"/>
              </w:rPr>
              <w:br w:type="textWrapping"/>
            </w:r>
            <w:r>
              <w:rPr>
                <w:rFonts w:ascii="宋体" w:hAnsi="宋体" w:eastAsia="宋体"/>
                <w:sz w:val="16"/>
              </w:rPr>
              <w:t>3、结合农民科技培训，进一步发挥“农业科技入户直通车”的作用，深入实施农业实用技术培训，确保完成全年的培训任务。以发展当地农业主导产业或优势产业为重点，按照一乡一业、一村一品的产业发展，有力促进农民增收和农村经济的快速发展。</w:t>
            </w:r>
            <w:r>
              <w:rPr>
                <w:rFonts w:ascii="宋体" w:hAnsi="宋体" w:eastAsia="宋体"/>
                <w:sz w:val="16"/>
              </w:rPr>
              <w:br w:type="textWrapping"/>
            </w:r>
            <w:r>
              <w:rPr>
                <w:rFonts w:ascii="宋体" w:hAnsi="宋体" w:eastAsia="宋体"/>
                <w:sz w:val="16"/>
              </w:rPr>
              <w:t>4及时总结宣传农民培训工作的典型和经验，继续做好培训亮点的宣传工作。积极争取领导的支持，确保农广校各项事业的有力发展。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0097E1">
            <w:pPr>
              <w:jc w:val="both"/>
            </w:pPr>
            <w:r>
              <w:rPr>
                <w:rFonts w:ascii="宋体" w:hAnsi="宋体" w:eastAsia="宋体"/>
                <w:sz w:val="16"/>
              </w:rPr>
              <w:t>截至2024年12月31日，已完成：2024年计划培育高素质农民550人，项目资金234万元，其中：新型农业经营和服务主体带头人240人、乡村振兴带头人50人、乡村社会事业治理带头人50人、高素质女农民100人、专业生产型55人、技能服务型55人。截至目前2024年高素质农民培育开班16期698人，参训学员基本信息全部录入全国农业科教云平台。开展农民综合素质素养提升培训，全面提升综合素质素养，共计50期2610人。</w:t>
            </w:r>
            <w:r>
              <w:rPr>
                <w:rFonts w:ascii="宋体" w:hAnsi="宋体" w:eastAsia="宋体"/>
                <w:sz w:val="16"/>
              </w:rPr>
              <w:br w:type="textWrapping"/>
            </w:r>
            <w:r>
              <w:rPr>
                <w:rFonts w:ascii="宋体" w:hAnsi="宋体" w:eastAsia="宋体"/>
                <w:sz w:val="16"/>
              </w:rPr>
              <w:t>　　利用冬春农闲季节，多层次、多渠道、多形式有针对性开展实用技术培训。其中线上培训利用全国农业农村远程教育平台，组织开展2024年农业农村系统科技人员知识更新培训，各县（市）农业农村系统局属各单位，共计11期1541名科技人员参加培训。通过以上工作的实施，保障了</w:t>
            </w:r>
            <w:r>
              <w:rPr>
                <w:rFonts w:hint="eastAsia" w:ascii="宋体" w:hAnsi="宋体"/>
                <w:sz w:val="16"/>
                <w:lang w:eastAsia="zh-CN"/>
              </w:rPr>
              <w:t>本单位</w:t>
            </w:r>
            <w:r>
              <w:rPr>
                <w:rFonts w:ascii="宋体" w:hAnsi="宋体" w:eastAsia="宋体"/>
                <w:sz w:val="16"/>
              </w:rPr>
              <w:t>14名职工的工资、福利及社保正常发放及缴纳，确保民生工作落实到位；保障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1辆公务用车的运行及维护，保障单位各项工作的正常运转，确保机构运转正常。</w:t>
            </w:r>
          </w:p>
        </w:tc>
      </w:tr>
      <w:tr w14:paraId="0596C64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E4BA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6CD2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2FCD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DB05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4EF3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9DB3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B19F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FA31F">
            <w:pPr>
              <w:jc w:val="center"/>
            </w:pPr>
            <w:r>
              <w:rPr>
                <w:rFonts w:ascii="宋体" w:hAnsi="宋体" w:eastAsia="宋体"/>
                <w:sz w:val="16"/>
              </w:rPr>
              <w:t>得分</w:t>
            </w:r>
          </w:p>
        </w:tc>
      </w:tr>
      <w:tr w14:paraId="52FD7C9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533A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F0EA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8C95A">
            <w:pPr>
              <w:jc w:val="center"/>
            </w:pPr>
            <w:r>
              <w:rPr>
                <w:rFonts w:ascii="宋体" w:hAnsi="宋体" w:eastAsia="宋体"/>
                <w:sz w:val="16"/>
              </w:rPr>
              <w:t>高素质农民培训（期）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C793F">
            <w:pPr>
              <w:jc w:val="center"/>
            </w:pPr>
            <w:r>
              <w:rPr>
                <w:rFonts w:ascii="宋体" w:hAnsi="宋体" w:eastAsia="宋体"/>
                <w:sz w:val="16"/>
              </w:rPr>
              <w:t>&gt;=12期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EA51C">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D563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7203F">
            <w:pPr>
              <w:jc w:val="center"/>
            </w:pPr>
            <w:r>
              <w:rPr>
                <w:rFonts w:ascii="宋体" w:hAnsi="宋体" w:eastAsia="宋体"/>
                <w:sz w:val="16"/>
              </w:rPr>
              <w:t>16期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50294">
            <w:pPr>
              <w:jc w:val="center"/>
            </w:pPr>
            <w:r>
              <w:rPr>
                <w:rFonts w:ascii="宋体" w:hAnsi="宋体" w:eastAsia="宋体"/>
                <w:sz w:val="16"/>
              </w:rPr>
              <w:t>30</w:t>
            </w:r>
          </w:p>
        </w:tc>
      </w:tr>
      <w:tr w14:paraId="1BAA99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6570A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74B9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6148C7">
            <w:pPr>
              <w:jc w:val="center"/>
            </w:pPr>
            <w:r>
              <w:rPr>
                <w:rFonts w:ascii="宋体" w:hAnsi="宋体" w:eastAsia="宋体"/>
                <w:sz w:val="16"/>
              </w:rPr>
              <w:t>农业农村系统科技人员知识更新培训（期）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F0BB0">
            <w:pPr>
              <w:jc w:val="center"/>
            </w:pPr>
            <w:r>
              <w:rPr>
                <w:rFonts w:ascii="宋体" w:hAnsi="宋体" w:eastAsia="宋体"/>
                <w:sz w:val="16"/>
              </w:rPr>
              <w:t>&gt;=9期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7451B">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2E58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61F9F">
            <w:pPr>
              <w:jc w:val="center"/>
            </w:pPr>
            <w:r>
              <w:rPr>
                <w:rFonts w:ascii="宋体" w:hAnsi="宋体" w:eastAsia="宋体"/>
                <w:sz w:val="16"/>
              </w:rPr>
              <w:t>11期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1B158">
            <w:pPr>
              <w:jc w:val="center"/>
            </w:pPr>
            <w:r>
              <w:rPr>
                <w:rFonts w:ascii="宋体" w:hAnsi="宋体" w:eastAsia="宋体"/>
                <w:sz w:val="16"/>
              </w:rPr>
              <w:t>30</w:t>
            </w:r>
          </w:p>
        </w:tc>
      </w:tr>
      <w:tr w14:paraId="4EE4ECCA">
        <w:tblPrEx>
          <w:tblCellMar>
            <w:top w:w="0" w:type="dxa"/>
            <w:left w:w="108" w:type="dxa"/>
            <w:bottom w:w="0" w:type="dxa"/>
            <w:right w:w="108" w:type="dxa"/>
          </w:tblCellMar>
        </w:tblPrEx>
        <w:trPr>
          <w:trHeight w:val="944"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95527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DBBC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7B55D">
            <w:pPr>
              <w:jc w:val="center"/>
            </w:pPr>
            <w:r>
              <w:rPr>
                <w:rFonts w:ascii="宋体" w:hAnsi="宋体" w:eastAsia="宋体"/>
                <w:sz w:val="16"/>
              </w:rPr>
              <w:t>参训学员基本信息录入全国农业科教云平台（%）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4E2C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19683">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51A59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1AE6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CF003C">
            <w:pPr>
              <w:jc w:val="center"/>
            </w:pPr>
            <w:r>
              <w:rPr>
                <w:rFonts w:ascii="宋体" w:hAnsi="宋体" w:eastAsia="宋体"/>
                <w:sz w:val="16"/>
              </w:rPr>
              <w:t>30</w:t>
            </w:r>
          </w:p>
        </w:tc>
      </w:tr>
    </w:tbl>
    <w:p w14:paraId="5572A6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B1499CA">
        <w:tblPrEx>
          <w:tblCellMar>
            <w:top w:w="0" w:type="dxa"/>
            <w:left w:w="108" w:type="dxa"/>
            <w:bottom w:w="0" w:type="dxa"/>
            <w:right w:w="108" w:type="dxa"/>
          </w:tblCellMar>
        </w:tblPrEx>
        <w:tc>
          <w:tcPr>
            <w:tcW w:w="8848" w:type="dxa"/>
            <w:gridSpan w:val="14"/>
            <w:vAlign w:val="center"/>
          </w:tcPr>
          <w:p w14:paraId="61B5117A">
            <w:pPr>
              <w:jc w:val="center"/>
            </w:pPr>
            <w:r>
              <w:rPr>
                <w:rFonts w:ascii="宋体" w:hAnsi="宋体" w:eastAsia="宋体"/>
                <w:sz w:val="24"/>
              </w:rPr>
              <w:t>项目支出绩效自评表</w:t>
            </w:r>
          </w:p>
        </w:tc>
      </w:tr>
      <w:tr w14:paraId="39705B71">
        <w:tblPrEx>
          <w:tblCellMar>
            <w:top w:w="0" w:type="dxa"/>
            <w:left w:w="108" w:type="dxa"/>
            <w:bottom w:w="0" w:type="dxa"/>
            <w:right w:w="108" w:type="dxa"/>
          </w:tblCellMar>
        </w:tblPrEx>
        <w:tc>
          <w:tcPr>
            <w:tcW w:w="8848" w:type="dxa"/>
            <w:gridSpan w:val="14"/>
            <w:vAlign w:val="center"/>
          </w:tcPr>
          <w:p w14:paraId="64523AAB">
            <w:pPr>
              <w:jc w:val="center"/>
            </w:pPr>
            <w:r>
              <w:rPr>
                <w:rFonts w:ascii="宋体" w:hAnsi="宋体" w:eastAsia="宋体"/>
                <w:sz w:val="24"/>
              </w:rPr>
              <w:t>(2024年度)</w:t>
            </w:r>
          </w:p>
        </w:tc>
      </w:tr>
      <w:tr w14:paraId="6CF911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B7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183B81">
            <w:pPr>
              <w:jc w:val="center"/>
            </w:pPr>
            <w:r>
              <w:rPr>
                <w:rFonts w:ascii="宋体" w:hAnsi="宋体" w:eastAsia="宋体"/>
                <w:sz w:val="16"/>
              </w:rPr>
              <w:t>2022年机关工委返还党费</w:t>
            </w:r>
          </w:p>
        </w:tc>
      </w:tr>
      <w:tr w14:paraId="2ACA3F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FF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5F1F0">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88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08E0B9">
            <w:pPr>
              <w:jc w:val="center"/>
            </w:pPr>
            <w:r>
              <w:rPr>
                <w:rFonts w:ascii="宋体" w:hAnsi="宋体" w:eastAsia="宋体"/>
                <w:sz w:val="16"/>
              </w:rPr>
              <w:t>新疆农业广播电视学校克孜勒苏柯尔克孜自治州分校</w:t>
            </w:r>
          </w:p>
        </w:tc>
      </w:tr>
      <w:tr w14:paraId="0C7EB0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8B7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CC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7A5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36E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F86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1F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E54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5DFF">
            <w:pPr>
              <w:jc w:val="center"/>
            </w:pPr>
            <w:r>
              <w:rPr>
                <w:rFonts w:ascii="宋体" w:hAnsi="宋体" w:eastAsia="宋体"/>
                <w:sz w:val="16"/>
              </w:rPr>
              <w:t>得分</w:t>
            </w:r>
          </w:p>
        </w:tc>
      </w:tr>
      <w:tr w14:paraId="0AFB7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24F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776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98125">
            <w:pPr>
              <w:jc w:val="center"/>
            </w:pPr>
            <w:r>
              <w:rPr>
                <w:rFonts w:ascii="宋体" w:hAnsi="宋体" w:eastAsia="宋体"/>
                <w:sz w:val="16"/>
              </w:rPr>
              <w:t>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F1128">
            <w:pPr>
              <w:jc w:val="center"/>
            </w:pPr>
            <w:r>
              <w:rPr>
                <w:rFonts w:ascii="宋体" w:hAnsi="宋体" w:eastAsia="宋体"/>
                <w:sz w:val="16"/>
              </w:rPr>
              <w:t>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4ED21">
            <w:pPr>
              <w:jc w:val="center"/>
            </w:pPr>
            <w:r>
              <w:rPr>
                <w:rFonts w:ascii="宋体" w:hAnsi="宋体" w:eastAsia="宋体"/>
                <w:sz w:val="16"/>
              </w:rPr>
              <w:t>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997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D946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5BB3">
            <w:pPr>
              <w:jc w:val="center"/>
            </w:pPr>
            <w:r>
              <w:rPr>
                <w:rFonts w:ascii="宋体" w:hAnsi="宋体" w:eastAsia="宋体"/>
                <w:sz w:val="16"/>
              </w:rPr>
              <w:t>10.00分</w:t>
            </w:r>
          </w:p>
        </w:tc>
      </w:tr>
      <w:tr w14:paraId="3242E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BC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420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965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2CB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C90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EC8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1D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8816">
            <w:pPr>
              <w:jc w:val="center"/>
            </w:pPr>
            <w:r>
              <w:rPr>
                <w:rFonts w:ascii="宋体" w:hAnsi="宋体" w:eastAsia="宋体"/>
                <w:sz w:val="16"/>
              </w:rPr>
              <w:t>—</w:t>
            </w:r>
          </w:p>
        </w:tc>
      </w:tr>
      <w:tr w14:paraId="28691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1B5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999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D3D54">
            <w:pPr>
              <w:jc w:val="center"/>
            </w:pPr>
            <w:r>
              <w:rPr>
                <w:rFonts w:ascii="宋体" w:hAnsi="宋体" w:eastAsia="宋体"/>
                <w:sz w:val="16"/>
              </w:rPr>
              <w:t>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A2A7">
            <w:pPr>
              <w:jc w:val="center"/>
            </w:pPr>
            <w:r>
              <w:rPr>
                <w:rFonts w:ascii="宋体" w:hAnsi="宋体" w:eastAsia="宋体"/>
                <w:sz w:val="16"/>
              </w:rPr>
              <w:t>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79B41">
            <w:pPr>
              <w:jc w:val="center"/>
            </w:pPr>
            <w:r>
              <w:rPr>
                <w:rFonts w:ascii="宋体" w:hAnsi="宋体" w:eastAsia="宋体"/>
                <w:sz w:val="16"/>
              </w:rPr>
              <w:t>0.03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5CB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CB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9FF1">
            <w:pPr>
              <w:jc w:val="center"/>
            </w:pPr>
            <w:r>
              <w:rPr>
                <w:rFonts w:ascii="宋体" w:hAnsi="宋体" w:eastAsia="宋体"/>
                <w:sz w:val="16"/>
              </w:rPr>
              <w:t>—</w:t>
            </w:r>
          </w:p>
        </w:tc>
      </w:tr>
      <w:tr w14:paraId="3C10C2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100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3E6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83FADC">
            <w:pPr>
              <w:jc w:val="center"/>
            </w:pPr>
            <w:r>
              <w:rPr>
                <w:rFonts w:ascii="宋体" w:hAnsi="宋体" w:eastAsia="宋体"/>
                <w:sz w:val="16"/>
              </w:rPr>
              <w:t>实际完成情况</w:t>
            </w:r>
          </w:p>
        </w:tc>
      </w:tr>
      <w:tr w14:paraId="159DA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E92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C965FB">
            <w:pPr>
              <w:jc w:val="both"/>
            </w:pPr>
            <w:r>
              <w:rPr>
                <w:rFonts w:ascii="宋体" w:hAnsi="宋体" w:eastAsia="宋体"/>
                <w:sz w:val="16"/>
              </w:rPr>
              <w:t>该项目资金计划用于征订2024年党报党刊，其中：财政拨款0万元，其他资金0.03万元。坚持“专项专用”原则，使用党员学习、征订党报党刊等，提升党员素质更好发挥党建引领保障作用，以高质量党建引</w:t>
            </w:r>
            <w:r>
              <w:rPr>
                <w:rFonts w:hint="eastAsia" w:ascii="宋体" w:hAnsi="宋体"/>
                <w:sz w:val="16"/>
                <w:lang w:eastAsia="zh-CN"/>
              </w:rPr>
              <w:t>领高</w:t>
            </w:r>
            <w:r>
              <w:rPr>
                <w:rFonts w:ascii="宋体" w:hAnsi="宋体" w:eastAsia="宋体"/>
                <w:sz w:val="16"/>
              </w:rPr>
              <w:t>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D27C49">
            <w:pPr>
              <w:jc w:val="both"/>
            </w:pPr>
            <w:r>
              <w:rPr>
                <w:rFonts w:ascii="宋体" w:hAnsi="宋体" w:eastAsia="宋体"/>
                <w:sz w:val="16"/>
              </w:rPr>
              <w:t>截至2024年12月31日。</w:t>
            </w:r>
            <w:r>
              <w:rPr>
                <w:rFonts w:hint="eastAsia" w:ascii="宋体" w:hAnsi="宋体"/>
                <w:sz w:val="16"/>
                <w:lang w:eastAsia="zh-CN"/>
              </w:rPr>
              <w:t>实际完成情况</w:t>
            </w:r>
            <w:r>
              <w:rPr>
                <w:rFonts w:ascii="宋体" w:hAnsi="宋体" w:eastAsia="宋体"/>
                <w:sz w:val="16"/>
              </w:rPr>
              <w:t>征订党报党刊数1次，组织党员学习1次。通过该项目实施，使用党员学习、征订党报党刊等，提升党员素质更好发挥党建引领保障作用，以高质量党建引</w:t>
            </w:r>
            <w:r>
              <w:rPr>
                <w:rFonts w:hint="eastAsia" w:ascii="宋体" w:hAnsi="宋体"/>
                <w:sz w:val="16"/>
                <w:lang w:eastAsia="zh-CN"/>
              </w:rPr>
              <w:t>领高</w:t>
            </w:r>
            <w:r>
              <w:rPr>
                <w:rFonts w:ascii="宋体" w:hAnsi="宋体" w:eastAsia="宋体"/>
                <w:sz w:val="16"/>
              </w:rPr>
              <w:t>质量发展。</w:t>
            </w:r>
            <w:r>
              <w:rPr>
                <w:rFonts w:ascii="宋体" w:hAnsi="宋体" w:eastAsia="宋体"/>
                <w:sz w:val="16"/>
              </w:rPr>
              <w:tab/>
            </w:r>
            <w:r>
              <w:rPr>
                <w:rFonts w:ascii="宋体" w:hAnsi="宋体" w:eastAsia="宋体"/>
                <w:sz w:val="16"/>
              </w:rPr>
              <w:tab/>
            </w:r>
          </w:p>
        </w:tc>
      </w:tr>
      <w:tr w14:paraId="73AB75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7A5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12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A9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3C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A0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88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14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0C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6C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55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E2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88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0EA7F">
            <w:pPr>
              <w:jc w:val="center"/>
            </w:pPr>
            <w:r>
              <w:rPr>
                <w:rFonts w:ascii="宋体" w:hAnsi="宋体" w:eastAsia="宋体"/>
                <w:sz w:val="16"/>
              </w:rPr>
              <w:t>偏差原因分析及改进措施</w:t>
            </w:r>
          </w:p>
        </w:tc>
      </w:tr>
      <w:tr w14:paraId="28480B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53A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A80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D35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58A5">
            <w:pPr>
              <w:jc w:val="center"/>
            </w:pPr>
            <w:r>
              <w:rPr>
                <w:rFonts w:ascii="宋体" w:hAnsi="宋体" w:eastAsia="宋体"/>
                <w:sz w:val="16"/>
              </w:rPr>
              <w:t>征订党报党刊数（次）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4EB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6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C05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4F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F9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6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F58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51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69ECC">
            <w:pPr>
              <w:jc w:val="center"/>
            </w:pPr>
          </w:p>
        </w:tc>
      </w:tr>
      <w:tr w14:paraId="121EF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19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C6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D3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D5DD">
            <w:pPr>
              <w:jc w:val="center"/>
            </w:pPr>
            <w:r>
              <w:rPr>
                <w:rFonts w:ascii="宋体" w:hAnsi="宋体" w:eastAsia="宋体"/>
                <w:sz w:val="16"/>
              </w:rPr>
              <w:t>组织党员学习（次）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B93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6D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B2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7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4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B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B37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EB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B533C">
            <w:pPr>
              <w:jc w:val="center"/>
            </w:pPr>
          </w:p>
        </w:tc>
      </w:tr>
      <w:tr w14:paraId="038F5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006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B6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35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568A">
            <w:pPr>
              <w:jc w:val="center"/>
            </w:pPr>
            <w:r>
              <w:rPr>
                <w:rFonts w:ascii="宋体" w:hAnsi="宋体" w:eastAsia="宋体"/>
                <w:sz w:val="16"/>
              </w:rPr>
              <w:t>报刊质量合格率(%)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3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D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C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A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D7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B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5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F3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58F4A">
            <w:pPr>
              <w:jc w:val="center"/>
            </w:pPr>
          </w:p>
        </w:tc>
      </w:tr>
      <w:tr w14:paraId="3A618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63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1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EE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6AB1">
            <w:pPr>
              <w:jc w:val="center"/>
            </w:pPr>
            <w:r>
              <w:rPr>
                <w:rFonts w:ascii="宋体" w:hAnsi="宋体" w:eastAsia="宋体"/>
                <w:sz w:val="16"/>
              </w:rPr>
              <w:t>征订党报党刊及时率（%）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4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5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8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52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A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FF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C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76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1E45">
            <w:pPr>
              <w:jc w:val="center"/>
            </w:pPr>
          </w:p>
        </w:tc>
      </w:tr>
      <w:tr w14:paraId="7425E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475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42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57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5C57">
            <w:pPr>
              <w:jc w:val="center"/>
            </w:pPr>
            <w:r>
              <w:rPr>
                <w:rFonts w:ascii="宋体" w:hAnsi="宋体" w:eastAsia="宋体"/>
                <w:sz w:val="16"/>
              </w:rPr>
              <w:t>党报党刊费用（万元）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56E0">
            <w:pPr>
              <w:jc w:val="center"/>
            </w:pPr>
            <w:r>
              <w:rPr>
                <w:rFonts w:ascii="宋体" w:hAnsi="宋体" w:eastAsia="宋体"/>
                <w:sz w:val="16"/>
              </w:rPr>
              <w:t>&lt;=0.03万元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5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5E9A">
            <w:pPr>
              <w:jc w:val="center"/>
            </w:pPr>
            <w:r>
              <w:rPr>
                <w:rFonts w:ascii="宋体" w:hAnsi="宋体" w:eastAsia="宋体"/>
                <w:sz w:val="16"/>
              </w:rPr>
              <w:t>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47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05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0C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6F13">
            <w:pPr>
              <w:jc w:val="center"/>
            </w:pPr>
            <w:r>
              <w:rPr>
                <w:rFonts w:ascii="宋体" w:hAnsi="宋体" w:eastAsia="宋体"/>
                <w:sz w:val="16"/>
              </w:rPr>
              <w:t>=0.03万元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E0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8F511">
            <w:pPr>
              <w:jc w:val="center"/>
            </w:pPr>
          </w:p>
        </w:tc>
      </w:tr>
      <w:tr w14:paraId="0C7F9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30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7E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DE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7A9C">
            <w:pPr>
              <w:jc w:val="center"/>
            </w:pPr>
            <w:r>
              <w:rPr>
                <w:rFonts w:ascii="宋体" w:hAnsi="宋体" w:eastAsia="宋体"/>
                <w:sz w:val="16"/>
              </w:rPr>
              <w:t>提升党员素质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323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6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B24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1F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47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61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A82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C7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D40D">
            <w:pPr>
              <w:jc w:val="center"/>
            </w:pPr>
          </w:p>
        </w:tc>
      </w:tr>
      <w:tr w14:paraId="27D45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F6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B9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4F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6585">
            <w:pPr>
              <w:jc w:val="center"/>
            </w:pPr>
            <w:r>
              <w:rPr>
                <w:rFonts w:ascii="宋体" w:hAnsi="宋体" w:eastAsia="宋体"/>
                <w:sz w:val="16"/>
              </w:rPr>
              <w:t>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3B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F1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C8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42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A8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5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6A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E5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61D01">
            <w:pPr>
              <w:jc w:val="center"/>
            </w:pPr>
          </w:p>
        </w:tc>
      </w:tr>
      <w:tr w14:paraId="7A8941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D5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301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B0B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C65975">
            <w:pPr>
              <w:jc w:val="center"/>
            </w:pPr>
            <w:r>
              <w:rPr>
                <w:rFonts w:ascii="宋体" w:hAnsi="宋体" w:eastAsia="宋体"/>
                <w:sz w:val="16"/>
              </w:rPr>
              <w:t>100分</w:t>
            </w:r>
          </w:p>
        </w:tc>
      </w:tr>
    </w:tbl>
    <w:p w14:paraId="7240D5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F2FE7F8">
        <w:tblPrEx>
          <w:tblCellMar>
            <w:top w:w="0" w:type="dxa"/>
            <w:left w:w="108" w:type="dxa"/>
            <w:bottom w:w="0" w:type="dxa"/>
            <w:right w:w="108" w:type="dxa"/>
          </w:tblCellMar>
        </w:tblPrEx>
        <w:tc>
          <w:tcPr>
            <w:tcW w:w="8848" w:type="dxa"/>
            <w:gridSpan w:val="14"/>
            <w:vAlign w:val="center"/>
          </w:tcPr>
          <w:p w14:paraId="02D2D9C1">
            <w:pPr>
              <w:jc w:val="center"/>
            </w:pPr>
            <w:r>
              <w:rPr>
                <w:rFonts w:ascii="宋体" w:hAnsi="宋体" w:eastAsia="宋体"/>
                <w:sz w:val="24"/>
              </w:rPr>
              <w:t>项目支出绩效自评表</w:t>
            </w:r>
          </w:p>
        </w:tc>
      </w:tr>
      <w:tr w14:paraId="516D7E77">
        <w:tblPrEx>
          <w:tblCellMar>
            <w:top w:w="0" w:type="dxa"/>
            <w:left w:w="108" w:type="dxa"/>
            <w:bottom w:w="0" w:type="dxa"/>
            <w:right w:w="108" w:type="dxa"/>
          </w:tblCellMar>
        </w:tblPrEx>
        <w:tc>
          <w:tcPr>
            <w:tcW w:w="8848" w:type="dxa"/>
            <w:gridSpan w:val="14"/>
            <w:vAlign w:val="center"/>
          </w:tcPr>
          <w:p w14:paraId="302A1E2D">
            <w:pPr>
              <w:jc w:val="center"/>
            </w:pPr>
            <w:r>
              <w:rPr>
                <w:rFonts w:ascii="宋体" w:hAnsi="宋体" w:eastAsia="宋体"/>
                <w:sz w:val="24"/>
              </w:rPr>
              <w:t>(2024年度)</w:t>
            </w:r>
          </w:p>
        </w:tc>
      </w:tr>
      <w:tr w14:paraId="708384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8C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F54C71">
            <w:pPr>
              <w:jc w:val="center"/>
            </w:pPr>
            <w:r>
              <w:rPr>
                <w:rFonts w:ascii="宋体" w:hAnsi="宋体" w:eastAsia="宋体"/>
                <w:sz w:val="16"/>
              </w:rPr>
              <w:t>2024年第一书记和为民办实事经费</w:t>
            </w:r>
          </w:p>
        </w:tc>
      </w:tr>
      <w:tr w14:paraId="0D645A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64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72596F">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4A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45695F">
            <w:pPr>
              <w:jc w:val="center"/>
            </w:pPr>
            <w:r>
              <w:rPr>
                <w:rFonts w:ascii="宋体" w:hAnsi="宋体" w:eastAsia="宋体"/>
                <w:sz w:val="16"/>
              </w:rPr>
              <w:t>新疆农业广播电视学校克孜勒苏柯尔克孜自治州分校</w:t>
            </w:r>
          </w:p>
        </w:tc>
      </w:tr>
      <w:tr w14:paraId="7A2A4F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48D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8D4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81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25C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65A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CAB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7ED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EC9B">
            <w:pPr>
              <w:jc w:val="center"/>
            </w:pPr>
            <w:r>
              <w:rPr>
                <w:rFonts w:ascii="宋体" w:hAnsi="宋体" w:eastAsia="宋体"/>
                <w:sz w:val="16"/>
              </w:rPr>
              <w:t>得分</w:t>
            </w:r>
          </w:p>
        </w:tc>
      </w:tr>
      <w:tr w14:paraId="151B5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219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2E2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13F8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2E09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345D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71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12D8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931F">
            <w:pPr>
              <w:jc w:val="center"/>
            </w:pPr>
            <w:r>
              <w:rPr>
                <w:rFonts w:ascii="宋体" w:hAnsi="宋体" w:eastAsia="宋体"/>
                <w:sz w:val="16"/>
              </w:rPr>
              <w:t>10.00分</w:t>
            </w:r>
          </w:p>
        </w:tc>
      </w:tr>
      <w:tr w14:paraId="2EA5F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332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FB7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B3CB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0927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C47F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82A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291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34B4">
            <w:pPr>
              <w:jc w:val="center"/>
            </w:pPr>
            <w:r>
              <w:rPr>
                <w:rFonts w:ascii="宋体" w:hAnsi="宋体" w:eastAsia="宋体"/>
                <w:sz w:val="16"/>
              </w:rPr>
              <w:t>—</w:t>
            </w:r>
          </w:p>
        </w:tc>
      </w:tr>
      <w:tr w14:paraId="426B2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8FF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3AA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F25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5D7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89A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F74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79B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D90E">
            <w:pPr>
              <w:jc w:val="center"/>
            </w:pPr>
            <w:r>
              <w:rPr>
                <w:rFonts w:ascii="宋体" w:hAnsi="宋体" w:eastAsia="宋体"/>
                <w:sz w:val="16"/>
              </w:rPr>
              <w:t>—</w:t>
            </w:r>
          </w:p>
        </w:tc>
      </w:tr>
      <w:tr w14:paraId="2AB7F6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3F7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B3C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18A2A3">
            <w:pPr>
              <w:jc w:val="center"/>
            </w:pPr>
            <w:r>
              <w:rPr>
                <w:rFonts w:ascii="宋体" w:hAnsi="宋体" w:eastAsia="宋体"/>
                <w:sz w:val="16"/>
              </w:rPr>
              <w:t>实际完成情况</w:t>
            </w:r>
          </w:p>
        </w:tc>
      </w:tr>
      <w:tr w14:paraId="53C57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C19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EA405">
            <w:pPr>
              <w:jc w:val="both"/>
            </w:pPr>
            <w:r>
              <w:rPr>
                <w:rFonts w:ascii="宋体" w:hAnsi="宋体" w:eastAsia="宋体"/>
                <w:sz w:val="16"/>
              </w:rPr>
              <w:t>该项目资金投入总额为12万元，其中财政资金12万元，其他资金0万元，主要用于第一书记开展各项工作，驻村点为民办实事，营造安定和谐稳定的社会局面，着力解决农民反映的热点、难点问题，确保第一书记的各项工作顺利开展，完成相关任务，开展各项文体活动、职业技能培训、节日慰问、帮助困难群众等，营造安定和谐稳定的社会局面，确保工作队各项</w:t>
            </w:r>
            <w:r>
              <w:rPr>
                <w:rFonts w:hint="eastAsia" w:ascii="宋体" w:hAnsi="宋体"/>
                <w:sz w:val="16"/>
                <w:lang w:eastAsia="zh-CN"/>
              </w:rPr>
              <w:t>工作</w:t>
            </w:r>
            <w:r>
              <w:rPr>
                <w:rFonts w:ascii="宋体" w:hAnsi="宋体" w:eastAsia="宋体"/>
                <w:sz w:val="16"/>
              </w:rPr>
              <w:t>顺利开展，完成相关任务。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36C605">
            <w:pPr>
              <w:jc w:val="both"/>
            </w:pPr>
            <w:r>
              <w:rPr>
                <w:rFonts w:ascii="宋体" w:hAnsi="宋体" w:eastAsia="宋体"/>
                <w:sz w:val="16"/>
              </w:rPr>
              <w:t>截至2024年12月31日，</w:t>
            </w:r>
            <w:r>
              <w:rPr>
                <w:rFonts w:hint="eastAsia" w:ascii="宋体" w:hAnsi="宋体"/>
                <w:sz w:val="16"/>
                <w:lang w:eastAsia="zh-CN"/>
              </w:rPr>
              <w:t>实际完成情况</w:t>
            </w:r>
            <w:r>
              <w:rPr>
                <w:rFonts w:ascii="宋体" w:hAnsi="宋体" w:eastAsia="宋体"/>
                <w:sz w:val="16"/>
              </w:rPr>
              <w:t>购买办公用品1次，购置苗木数量1630株，购买灯笼个数132个，清理淤塞道路或修复洪水冲毁道路村道路1条。通过该项目实施，营造安定和谐稳定的社会局面，确保工作队各项</w:t>
            </w:r>
            <w:r>
              <w:rPr>
                <w:rFonts w:hint="eastAsia" w:ascii="宋体" w:hAnsi="宋体"/>
                <w:sz w:val="16"/>
                <w:lang w:eastAsia="zh-CN"/>
              </w:rPr>
              <w:t>工作</w:t>
            </w:r>
            <w:r>
              <w:rPr>
                <w:rFonts w:ascii="宋体" w:hAnsi="宋体" w:eastAsia="宋体"/>
                <w:sz w:val="16"/>
              </w:rPr>
              <w:t>顺利开展，完成相关任务。</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7A7C6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413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82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58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E4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20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80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A8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F6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C9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80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B35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DE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8A571">
            <w:pPr>
              <w:jc w:val="center"/>
            </w:pPr>
            <w:r>
              <w:rPr>
                <w:rFonts w:ascii="宋体" w:hAnsi="宋体" w:eastAsia="宋体"/>
                <w:sz w:val="16"/>
              </w:rPr>
              <w:t>偏差原因分析及改进措施</w:t>
            </w:r>
          </w:p>
        </w:tc>
      </w:tr>
      <w:tr w14:paraId="1FCF09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2AB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94F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A26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3375">
            <w:pPr>
              <w:jc w:val="center"/>
            </w:pPr>
            <w:r>
              <w:rPr>
                <w:rFonts w:ascii="宋体" w:hAnsi="宋体" w:eastAsia="宋体"/>
                <w:sz w:val="16"/>
              </w:rPr>
              <w:t>节日活动（次）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1DF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9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6C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805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2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57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86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3E7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ADA44">
            <w:pPr>
              <w:jc w:val="center"/>
            </w:pPr>
          </w:p>
        </w:tc>
      </w:tr>
      <w:tr w14:paraId="1393A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63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7A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74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8CFC">
            <w:pPr>
              <w:jc w:val="center"/>
            </w:pPr>
            <w:r>
              <w:rPr>
                <w:rFonts w:ascii="宋体" w:hAnsi="宋体" w:eastAsia="宋体"/>
                <w:sz w:val="16"/>
              </w:rPr>
              <w:t>访贫问苦、送信息、送温暖、送温暖（次）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42F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E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D2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90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8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5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95B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7C7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3F6CD">
            <w:pPr>
              <w:jc w:val="center"/>
            </w:pPr>
          </w:p>
        </w:tc>
      </w:tr>
      <w:tr w14:paraId="40292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3D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7E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58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7ABE">
            <w:pPr>
              <w:jc w:val="center"/>
            </w:pPr>
            <w:r>
              <w:rPr>
                <w:rFonts w:ascii="宋体" w:hAnsi="宋体" w:eastAsia="宋体"/>
                <w:sz w:val="16"/>
              </w:rPr>
              <w:t>购买三格式化粪池（户）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FB99">
            <w:pPr>
              <w:jc w:val="center"/>
            </w:pPr>
            <w:r>
              <w:rPr>
                <w:rFonts w:ascii="宋体" w:hAnsi="宋体" w:eastAsia="宋体"/>
                <w:sz w:val="16"/>
              </w:rPr>
              <w:t>&gt;=10户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4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9F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A6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3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1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13FB">
            <w:pPr>
              <w:jc w:val="center"/>
            </w:pPr>
            <w:r>
              <w:rPr>
                <w:rFonts w:ascii="宋体" w:hAnsi="宋体" w:eastAsia="宋体"/>
                <w:sz w:val="16"/>
              </w:rPr>
              <w: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438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D8A01">
            <w:pPr>
              <w:jc w:val="center"/>
            </w:pPr>
          </w:p>
        </w:tc>
      </w:tr>
      <w:tr w14:paraId="56996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4D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88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F2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5768">
            <w:pPr>
              <w:jc w:val="center"/>
            </w:pPr>
            <w:r>
              <w:rPr>
                <w:rFonts w:ascii="宋体" w:hAnsi="宋体" w:eastAsia="宋体"/>
                <w:sz w:val="16"/>
              </w:rPr>
              <w:t>购买办公用品（次)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2E3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9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57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E0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B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8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29C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4A6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6F8D4">
            <w:pPr>
              <w:jc w:val="center"/>
            </w:pPr>
          </w:p>
        </w:tc>
      </w:tr>
      <w:tr w14:paraId="08DDE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20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57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66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2B2A">
            <w:pPr>
              <w:jc w:val="center"/>
            </w:pPr>
            <w:r>
              <w:rPr>
                <w:rFonts w:ascii="宋体" w:hAnsi="宋体" w:eastAsia="宋体"/>
                <w:sz w:val="16"/>
              </w:rPr>
              <w:t>购置苗木数量（株）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10E9">
            <w:pPr>
              <w:jc w:val="center"/>
            </w:pPr>
            <w:r>
              <w:rPr>
                <w:rFonts w:ascii="宋体" w:hAnsi="宋体" w:eastAsia="宋体"/>
                <w:sz w:val="16"/>
              </w:rPr>
              <w:t>&gt;=1630株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E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2A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98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87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2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9F3A">
            <w:pPr>
              <w:jc w:val="center"/>
            </w:pPr>
            <w:r>
              <w:rPr>
                <w:rFonts w:ascii="宋体" w:hAnsi="宋体" w:eastAsia="宋体"/>
                <w:sz w:val="16"/>
              </w:rPr>
              <w:t>=1630株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1C2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A4D1B">
            <w:pPr>
              <w:jc w:val="center"/>
            </w:pPr>
          </w:p>
        </w:tc>
      </w:tr>
      <w:tr w14:paraId="0A01F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93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45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04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1A8A">
            <w:pPr>
              <w:jc w:val="center"/>
            </w:pPr>
            <w:r>
              <w:rPr>
                <w:rFonts w:ascii="宋体" w:hAnsi="宋体" w:eastAsia="宋体"/>
                <w:sz w:val="16"/>
              </w:rPr>
              <w:t>购买灯笼个数（个）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D0E7">
            <w:pPr>
              <w:jc w:val="center"/>
            </w:pPr>
            <w:r>
              <w:rPr>
                <w:rFonts w:ascii="宋体" w:hAnsi="宋体" w:eastAsia="宋体"/>
                <w:sz w:val="16"/>
              </w:rPr>
              <w:t>&gt;=132个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9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F8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EE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6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4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6F59">
            <w:pPr>
              <w:jc w:val="center"/>
            </w:pPr>
            <w:r>
              <w:rPr>
                <w:rFonts w:ascii="宋体" w:hAnsi="宋体" w:eastAsia="宋体"/>
                <w:sz w:val="16"/>
              </w:rPr>
              <w:t>=132个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D51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C3217">
            <w:pPr>
              <w:jc w:val="center"/>
            </w:pPr>
          </w:p>
        </w:tc>
      </w:tr>
      <w:tr w14:paraId="11FA4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C1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7A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93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EA54">
            <w:pPr>
              <w:jc w:val="center"/>
            </w:pPr>
            <w:r>
              <w:rPr>
                <w:rFonts w:ascii="宋体" w:hAnsi="宋体" w:eastAsia="宋体"/>
                <w:sz w:val="16"/>
              </w:rPr>
              <w:t>清理淤塞道路或修复洪水冲毁道路村道路（条）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C425">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F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5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5E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8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0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73AC">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713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D3B91">
            <w:pPr>
              <w:jc w:val="center"/>
            </w:pPr>
          </w:p>
        </w:tc>
      </w:tr>
      <w:tr w14:paraId="4F1BA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BC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00C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534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E78D">
            <w:pPr>
              <w:jc w:val="center"/>
            </w:pPr>
            <w:r>
              <w:rPr>
                <w:rFonts w:ascii="宋体" w:hAnsi="宋体" w:eastAsia="宋体"/>
                <w:sz w:val="16"/>
              </w:rPr>
              <w:t>三格式化粪池验收合格率（%）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6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2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6E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36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5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4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1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ED1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473D6">
            <w:pPr>
              <w:jc w:val="center"/>
            </w:pPr>
          </w:p>
        </w:tc>
      </w:tr>
      <w:tr w14:paraId="73D9A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BA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41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A8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BFE7">
            <w:pPr>
              <w:jc w:val="center"/>
            </w:pPr>
            <w:r>
              <w:rPr>
                <w:rFonts w:ascii="宋体" w:hAnsi="宋体" w:eastAsia="宋体"/>
                <w:sz w:val="16"/>
              </w:rPr>
              <w:t>购买化粪池、苗木、灯笼质量验收合格率（%）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0B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5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10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BE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A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18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A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FF3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43FDF">
            <w:pPr>
              <w:jc w:val="center"/>
            </w:pPr>
          </w:p>
        </w:tc>
      </w:tr>
      <w:tr w14:paraId="61760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09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41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9CB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D61B">
            <w:pPr>
              <w:jc w:val="center"/>
            </w:pPr>
            <w:r>
              <w:rPr>
                <w:rFonts w:ascii="宋体" w:hAnsi="宋体" w:eastAsia="宋体"/>
                <w:sz w:val="16"/>
              </w:rPr>
              <w:t>群众参加活动及时率（%）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64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9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2F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21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B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F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5A8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D76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D5558">
            <w:pPr>
              <w:jc w:val="center"/>
            </w:pPr>
          </w:p>
        </w:tc>
      </w:tr>
      <w:tr w14:paraId="06B42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C8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39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C2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28F8">
            <w:pPr>
              <w:jc w:val="center"/>
            </w:pPr>
            <w:r>
              <w:rPr>
                <w:rFonts w:ascii="宋体" w:hAnsi="宋体" w:eastAsia="宋体"/>
                <w:sz w:val="16"/>
              </w:rPr>
              <w:t>走访慰问及时率（%）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4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A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23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04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E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E4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F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F83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353D5">
            <w:pPr>
              <w:jc w:val="center"/>
            </w:pPr>
          </w:p>
        </w:tc>
      </w:tr>
      <w:tr w14:paraId="2141D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78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6C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1C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A6A7">
            <w:pPr>
              <w:jc w:val="center"/>
            </w:pPr>
            <w:r>
              <w:rPr>
                <w:rFonts w:ascii="宋体" w:hAnsi="宋体" w:eastAsia="宋体"/>
                <w:sz w:val="16"/>
              </w:rPr>
              <w:t>清理淤塞道路或修复洪水冲毁道路村道路及时率（%）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4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9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B1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46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6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7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3F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59D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ADEC">
            <w:pPr>
              <w:jc w:val="center"/>
            </w:pPr>
          </w:p>
        </w:tc>
      </w:tr>
      <w:tr w14:paraId="2F18B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8E7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163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BC8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3E99">
            <w:pPr>
              <w:jc w:val="center"/>
            </w:pPr>
            <w:r>
              <w:rPr>
                <w:rFonts w:ascii="宋体" w:hAnsi="宋体" w:eastAsia="宋体"/>
                <w:sz w:val="16"/>
              </w:rPr>
              <w:t>购买化粪池材料费（万元）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E6F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DE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8C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8E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6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10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E04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9EF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85DF">
            <w:pPr>
              <w:jc w:val="center"/>
            </w:pPr>
          </w:p>
        </w:tc>
      </w:tr>
      <w:tr w14:paraId="3280A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C3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39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A9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9924">
            <w:pPr>
              <w:jc w:val="center"/>
            </w:pPr>
            <w:r>
              <w:rPr>
                <w:rFonts w:ascii="宋体" w:hAnsi="宋体" w:eastAsia="宋体"/>
                <w:sz w:val="16"/>
              </w:rPr>
              <w:t>办公费和印刷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477F">
            <w:pPr>
              <w:jc w:val="center"/>
            </w:pPr>
            <w:r>
              <w:rPr>
                <w:rFonts w:ascii="宋体" w:hAnsi="宋体" w:eastAsia="宋体"/>
                <w:sz w:val="16"/>
              </w:rPr>
              <w:t>&lt;=5.7万元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28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59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78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9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BA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3A0C">
            <w:pPr>
              <w:jc w:val="center"/>
            </w:pPr>
            <w:r>
              <w:rPr>
                <w:rFonts w:ascii="宋体" w:hAnsi="宋体" w:eastAsia="宋体"/>
                <w:sz w:val="16"/>
              </w:rPr>
              <w: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958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B726C">
            <w:pPr>
              <w:jc w:val="center"/>
            </w:pPr>
          </w:p>
        </w:tc>
      </w:tr>
      <w:tr w14:paraId="39B6C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85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9D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45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D54F">
            <w:pPr>
              <w:jc w:val="center"/>
            </w:pPr>
            <w:r>
              <w:rPr>
                <w:rFonts w:ascii="宋体" w:hAnsi="宋体" w:eastAsia="宋体"/>
                <w:sz w:val="16"/>
              </w:rPr>
              <w:t>清理淤塞道路或修复洪水冲毁道路村道路产生的劳务费（万元）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3E6D">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16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3E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DA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64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92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8EF7">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AAE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E4B9">
            <w:pPr>
              <w:jc w:val="center"/>
            </w:pPr>
          </w:p>
        </w:tc>
      </w:tr>
      <w:tr w14:paraId="46778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2B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08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8D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DFD1">
            <w:pPr>
              <w:jc w:val="center"/>
            </w:pPr>
            <w:r>
              <w:rPr>
                <w:rFonts w:ascii="宋体" w:hAnsi="宋体" w:eastAsia="宋体"/>
                <w:sz w:val="16"/>
              </w:rPr>
              <w:t>购买树苗（万元）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0415">
            <w:pPr>
              <w:jc w:val="center"/>
            </w:pPr>
            <w:r>
              <w:rPr>
                <w:rFonts w:ascii="宋体" w:hAnsi="宋体" w:eastAsia="宋体"/>
                <w:sz w:val="16"/>
              </w:rPr>
              <w:t>&lt;=2.18万元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FB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0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7D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B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76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8D73">
            <w:pPr>
              <w:jc w:val="center"/>
            </w:pPr>
            <w:r>
              <w:rPr>
                <w:rFonts w:ascii="宋体" w:hAnsi="宋体" w:eastAsia="宋体"/>
                <w:sz w:val="16"/>
              </w:rPr>
              <w:t>=2.18万元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3A5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DE5F">
            <w:pPr>
              <w:jc w:val="center"/>
            </w:pPr>
          </w:p>
        </w:tc>
      </w:tr>
      <w:tr w14:paraId="57421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33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2F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D8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03BF">
            <w:pPr>
              <w:jc w:val="center"/>
            </w:pPr>
            <w:r>
              <w:rPr>
                <w:rFonts w:ascii="宋体" w:hAnsi="宋体" w:eastAsia="宋体"/>
                <w:sz w:val="16"/>
              </w:rPr>
              <w:t>购买灯笼经费（万元）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1E8A">
            <w:pPr>
              <w:jc w:val="center"/>
            </w:pPr>
            <w:r>
              <w:rPr>
                <w:rFonts w:ascii="宋体" w:hAnsi="宋体" w:eastAsia="宋体"/>
                <w:sz w:val="16"/>
              </w:rPr>
              <w:t>&lt;=0.82万元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E8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03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DB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3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C5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0765">
            <w:pPr>
              <w:jc w:val="center"/>
            </w:pPr>
            <w:r>
              <w:rPr>
                <w:rFonts w:ascii="宋体" w:hAnsi="宋体" w:eastAsia="宋体"/>
                <w:sz w:val="16"/>
              </w:rPr>
              <w:t>=0.82万元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EEC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A66A">
            <w:pPr>
              <w:jc w:val="center"/>
            </w:pPr>
          </w:p>
        </w:tc>
      </w:tr>
      <w:tr w14:paraId="41413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BA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67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F1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B6E5">
            <w:pPr>
              <w:jc w:val="center"/>
            </w:pPr>
            <w:r>
              <w:rPr>
                <w:rFonts w:ascii="宋体" w:hAnsi="宋体" w:eastAsia="宋体"/>
                <w:sz w:val="16"/>
              </w:rPr>
              <w:t>提高生产生活质量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DC9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A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AD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C5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90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F6F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0AD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E6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09D6C">
            <w:pPr>
              <w:jc w:val="center"/>
            </w:pPr>
          </w:p>
        </w:tc>
      </w:tr>
      <w:tr w14:paraId="78FAE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6D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2D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8B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A092">
            <w:pPr>
              <w:jc w:val="center"/>
            </w:pPr>
            <w:r>
              <w:rPr>
                <w:rFonts w:ascii="宋体" w:hAnsi="宋体" w:eastAsia="宋体"/>
                <w:sz w:val="16"/>
              </w:rPr>
              <w:t>受益农牧满意度（%）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54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A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58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31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4F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F2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FE8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72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2970">
            <w:pPr>
              <w:jc w:val="center"/>
            </w:pPr>
          </w:p>
        </w:tc>
      </w:tr>
      <w:tr w14:paraId="646566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683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77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4BF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595A1F">
            <w:pPr>
              <w:jc w:val="center"/>
            </w:pPr>
            <w:r>
              <w:rPr>
                <w:rFonts w:ascii="宋体" w:hAnsi="宋体" w:eastAsia="宋体"/>
                <w:sz w:val="16"/>
              </w:rPr>
              <w:t>100分</w:t>
            </w:r>
          </w:p>
        </w:tc>
      </w:tr>
    </w:tbl>
    <w:p w14:paraId="3984958C">
      <w:r>
        <w:br w:type="page"/>
      </w:r>
    </w:p>
    <w:p w14:paraId="70A4427C">
      <w:pPr>
        <w:spacing w:line="640" w:lineRule="exact"/>
        <w:ind w:firstLine="640"/>
        <w:jc w:val="both"/>
        <w:outlineLvl w:val="2"/>
      </w:pPr>
      <w:r>
        <w:rPr>
          <w:rFonts w:ascii="黑体" w:hAnsi="黑体" w:eastAsia="黑体"/>
          <w:sz w:val="32"/>
        </w:rPr>
        <w:t>十二、其他需说明的事项</w:t>
      </w:r>
    </w:p>
    <w:p w14:paraId="4E90CB12">
      <w:pPr>
        <w:spacing w:line="580" w:lineRule="exact"/>
        <w:ind w:firstLine="640"/>
        <w:jc w:val="both"/>
      </w:pPr>
      <w:r>
        <w:rPr>
          <w:rFonts w:ascii="仿宋_GB2312" w:hAnsi="仿宋_GB2312" w:eastAsia="仿宋_GB2312"/>
          <w:b w:val="0"/>
          <w:sz w:val="32"/>
        </w:rPr>
        <w:t>本单位无其他需说明的事项。</w:t>
      </w:r>
    </w:p>
    <w:p w14:paraId="4475908E">
      <w:r>
        <w:br w:type="page"/>
      </w:r>
    </w:p>
    <w:p w14:paraId="0E009B52">
      <w:pPr>
        <w:spacing w:line="240" w:lineRule="auto"/>
        <w:jc w:val="center"/>
        <w:outlineLvl w:val="1"/>
      </w:pPr>
      <w:r>
        <w:rPr>
          <w:rFonts w:ascii="黑体" w:hAnsi="黑体" w:eastAsia="黑体"/>
          <w:sz w:val="32"/>
        </w:rPr>
        <w:t>第三部分 专业名词解释</w:t>
      </w:r>
    </w:p>
    <w:p w14:paraId="7134B55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8F459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C9F73C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DCC93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FAB533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6C9857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1DD530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635CCC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A7454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AE6B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47AAD3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7C7621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A1271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314DFC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16B3B53">
      <w:r>
        <w:br w:type="page"/>
      </w:r>
    </w:p>
    <w:p w14:paraId="4B59EBD7">
      <w:pPr>
        <w:spacing w:line="240" w:lineRule="auto"/>
        <w:jc w:val="center"/>
        <w:outlineLvl w:val="1"/>
      </w:pPr>
      <w:r>
        <w:rPr>
          <w:rFonts w:ascii="黑体" w:hAnsi="黑体" w:eastAsia="黑体"/>
          <w:sz w:val="32"/>
        </w:rPr>
        <w:t>第四部分 部门决算报表（见附表）</w:t>
      </w:r>
    </w:p>
    <w:p w14:paraId="68F89012">
      <w:pPr>
        <w:spacing w:line="240" w:lineRule="auto"/>
        <w:ind w:firstLine="640"/>
        <w:jc w:val="both"/>
      </w:pPr>
      <w:r>
        <w:rPr>
          <w:rFonts w:ascii="仿宋_GB2312" w:hAnsi="仿宋_GB2312" w:eastAsia="仿宋_GB2312"/>
          <w:b w:val="0"/>
          <w:sz w:val="32"/>
        </w:rPr>
        <w:t>一、《收入支出决算总表》</w:t>
      </w:r>
    </w:p>
    <w:p w14:paraId="53151608">
      <w:pPr>
        <w:spacing w:line="240" w:lineRule="auto"/>
        <w:ind w:firstLine="640"/>
        <w:jc w:val="both"/>
      </w:pPr>
      <w:r>
        <w:rPr>
          <w:rFonts w:ascii="仿宋_GB2312" w:hAnsi="仿宋_GB2312" w:eastAsia="仿宋_GB2312"/>
          <w:b w:val="0"/>
          <w:sz w:val="32"/>
        </w:rPr>
        <w:t>二、《收入决算表》</w:t>
      </w:r>
    </w:p>
    <w:p w14:paraId="50D17C0B">
      <w:pPr>
        <w:spacing w:line="240" w:lineRule="auto"/>
        <w:ind w:firstLine="640"/>
        <w:jc w:val="both"/>
      </w:pPr>
      <w:r>
        <w:rPr>
          <w:rFonts w:ascii="仿宋_GB2312" w:hAnsi="仿宋_GB2312" w:eastAsia="仿宋_GB2312"/>
          <w:b w:val="0"/>
          <w:sz w:val="32"/>
        </w:rPr>
        <w:t>三、《支出决算表》</w:t>
      </w:r>
    </w:p>
    <w:p w14:paraId="7C1F75EA">
      <w:pPr>
        <w:spacing w:line="240" w:lineRule="auto"/>
        <w:ind w:firstLine="640"/>
        <w:jc w:val="both"/>
      </w:pPr>
      <w:r>
        <w:rPr>
          <w:rFonts w:ascii="仿宋_GB2312" w:hAnsi="仿宋_GB2312" w:eastAsia="仿宋_GB2312"/>
          <w:b w:val="0"/>
          <w:sz w:val="32"/>
        </w:rPr>
        <w:t>四、《财政拨款收入支出决算总表》</w:t>
      </w:r>
    </w:p>
    <w:p w14:paraId="365CF1D1">
      <w:pPr>
        <w:spacing w:line="240" w:lineRule="auto"/>
        <w:ind w:firstLine="640"/>
        <w:jc w:val="both"/>
      </w:pPr>
      <w:r>
        <w:rPr>
          <w:rFonts w:ascii="仿宋_GB2312" w:hAnsi="仿宋_GB2312" w:eastAsia="仿宋_GB2312"/>
          <w:b w:val="0"/>
          <w:sz w:val="32"/>
        </w:rPr>
        <w:t>五、《一般公共预算财政拨款支出决算表》</w:t>
      </w:r>
    </w:p>
    <w:p w14:paraId="6B702131">
      <w:pPr>
        <w:spacing w:line="240" w:lineRule="auto"/>
        <w:ind w:firstLine="640"/>
        <w:jc w:val="both"/>
      </w:pPr>
      <w:r>
        <w:rPr>
          <w:rFonts w:ascii="仿宋_GB2312" w:hAnsi="仿宋_GB2312" w:eastAsia="仿宋_GB2312"/>
          <w:b w:val="0"/>
          <w:sz w:val="32"/>
        </w:rPr>
        <w:t>六、《一般公共预算财政拨款基本支出决算表》</w:t>
      </w:r>
    </w:p>
    <w:p w14:paraId="1B8461B0">
      <w:pPr>
        <w:spacing w:line="240" w:lineRule="auto"/>
        <w:ind w:firstLine="640"/>
        <w:jc w:val="both"/>
      </w:pPr>
      <w:r>
        <w:rPr>
          <w:rFonts w:ascii="仿宋_GB2312" w:hAnsi="仿宋_GB2312" w:eastAsia="仿宋_GB2312"/>
          <w:b w:val="0"/>
          <w:sz w:val="32"/>
        </w:rPr>
        <w:t>七、《政府性基金预算财政拨款收入支出决算表》</w:t>
      </w:r>
    </w:p>
    <w:p w14:paraId="776F23F9">
      <w:pPr>
        <w:spacing w:line="240" w:lineRule="auto"/>
        <w:ind w:firstLine="640"/>
        <w:jc w:val="both"/>
      </w:pPr>
      <w:r>
        <w:rPr>
          <w:rFonts w:ascii="仿宋_GB2312" w:hAnsi="仿宋_GB2312" w:eastAsia="仿宋_GB2312"/>
          <w:b w:val="0"/>
          <w:sz w:val="32"/>
        </w:rPr>
        <w:t>八、《国有资本经营预算财政拨款收入支出决算表》</w:t>
      </w:r>
    </w:p>
    <w:p w14:paraId="3F88A99A">
      <w:pPr>
        <w:spacing w:line="240" w:lineRule="auto"/>
        <w:ind w:firstLine="640"/>
        <w:jc w:val="both"/>
      </w:pPr>
      <w:r>
        <w:rPr>
          <w:rFonts w:ascii="仿宋_GB2312" w:hAnsi="仿宋_GB2312" w:eastAsia="仿宋_GB2312"/>
          <w:b w:val="0"/>
          <w:sz w:val="32"/>
        </w:rPr>
        <w:t>九、《财政拨款“三公”经费支出决算表》</w:t>
      </w:r>
    </w:p>
    <w:p w14:paraId="0CC6CF67">
      <w:pPr>
        <w:spacing w:line="240" w:lineRule="auto"/>
        <w:ind w:firstLine="640"/>
        <w:jc w:val="both"/>
      </w:pPr>
    </w:p>
    <w:p w14:paraId="34B00EDB">
      <w:pPr>
        <w:spacing w:line="240" w:lineRule="auto"/>
        <w:ind w:firstLine="640"/>
        <w:jc w:val="both"/>
      </w:pPr>
    </w:p>
    <w:p w14:paraId="07B8EDC0">
      <w:pPr>
        <w:spacing w:line="240" w:lineRule="auto"/>
        <w:ind w:firstLine="640"/>
        <w:jc w:val="both"/>
      </w:pPr>
    </w:p>
    <w:p w14:paraId="21D0117B">
      <w:pPr>
        <w:spacing w:line="240" w:lineRule="auto"/>
        <w:ind w:firstLine="640"/>
        <w:jc w:val="both"/>
      </w:pPr>
    </w:p>
    <w:p w14:paraId="7C17148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C47DE3-926D-406B-85A2-0A74DF7E85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31283F1-8E0D-4A55-839E-E3C869A43281}"/>
  </w:font>
  <w:font w:name="仿宋_GB2312">
    <w:panose1 w:val="02010609030101010101"/>
    <w:charset w:val="86"/>
    <w:family w:val="modern"/>
    <w:pitch w:val="default"/>
    <w:sig w:usb0="00000001" w:usb1="080E0000" w:usb2="00000000" w:usb3="00000000" w:csb0="00040000" w:csb1="00000000"/>
    <w:embedRegular r:id="rId3" w:fontKey="{98867B8F-7654-4B44-BCF5-9D4043B1A7C8}"/>
  </w:font>
  <w:font w:name="楷体_GB2312">
    <w:panose1 w:val="02010609030101010101"/>
    <w:charset w:val="86"/>
    <w:family w:val="auto"/>
    <w:pitch w:val="default"/>
    <w:sig w:usb0="00000001" w:usb1="080E0000" w:usb2="00000000" w:usb3="00000000" w:csb0="00040000" w:csb1="00000000"/>
    <w:embedRegular r:id="rId4" w:fontKey="{6E7DDC3A-FDB0-4B23-95BC-A0C379BAA151}"/>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4A2600"/>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C544B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121AAE"/>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7D93058"/>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5315</Words>
  <Characters>5970</Characters>
  <Lines>0</Lines>
  <Paragraphs>0</Paragraphs>
  <TotalTime>3</TotalTime>
  <ScaleCrop>false</ScaleCrop>
  <LinksUpToDate>false</LinksUpToDate>
  <CharactersWithSpaces>5978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2025-09-02T09:39:11Z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