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克孜勒苏柯尔克孜自治州人民政府国有资产监督管理委员会2024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40C7937">
      <w:r>
        <w:br w:type="page"/>
      </w:r>
    </w:p>
    <w:p w14:paraId="15751F50">
      <w:pPr>
        <w:spacing w:line="640" w:lineRule="exact"/>
        <w:jc w:val="center"/>
        <w:outlineLvl w:val="1"/>
      </w:pPr>
      <w:r>
        <w:rPr>
          <w:rFonts w:ascii="黑体" w:hAnsi="黑体" w:eastAsia="黑体"/>
          <w:sz w:val="32"/>
        </w:rPr>
        <w:t>第一部分 单位概况</w:t>
      </w:r>
    </w:p>
    <w:p w14:paraId="5B11213E">
      <w:pPr>
        <w:spacing w:line="640" w:lineRule="exact"/>
        <w:ind w:firstLine="640"/>
        <w:jc w:val="both"/>
        <w:outlineLvl w:val="2"/>
      </w:pPr>
      <w:r>
        <w:rPr>
          <w:rFonts w:ascii="黑体" w:hAnsi="黑体" w:eastAsia="黑体"/>
          <w:sz w:val="32"/>
        </w:rPr>
        <w:t>一、主要职能</w:t>
      </w:r>
    </w:p>
    <w:p w14:paraId="312EE636">
      <w:pPr>
        <w:spacing w:line="580" w:lineRule="exact"/>
        <w:ind w:firstLine="640"/>
        <w:jc w:val="both"/>
      </w:pPr>
      <w:r>
        <w:rPr>
          <w:rFonts w:ascii="仿宋_GB2312" w:hAnsi="仿宋_GB2312" w:eastAsia="仿宋_GB2312"/>
          <w:sz w:val="32"/>
        </w:rPr>
        <w:t>(一)根据自治州人民政府授权，依照《中华人民共和国公司法》《</w:t>
      </w:r>
      <w:r>
        <w:rPr>
          <w:rFonts w:hint="eastAsia" w:ascii="仿宋_GB2312" w:hAnsi="仿宋_GB2312" w:eastAsia="仿宋_GB2312"/>
          <w:sz w:val="32"/>
          <w:lang w:eastAsia="zh-CN"/>
        </w:rPr>
        <w:t>中华人民共和国企业国有资产法</w:t>
      </w:r>
      <w:r>
        <w:rPr>
          <w:rFonts w:ascii="仿宋_GB2312" w:hAnsi="仿宋_GB2312" w:eastAsia="仿宋_GB2312"/>
          <w:sz w:val="32"/>
        </w:rPr>
        <w:t>》等法律法规履行出资人职责，监管自治州州属企业的国有资产，加强国有资产管理，对各县(市)国有资产管理工作进行指导和监督。</w:t>
      </w:r>
    </w:p>
    <w:p w14:paraId="6B3A0E53">
      <w:pPr>
        <w:spacing w:line="580" w:lineRule="exact"/>
        <w:ind w:firstLine="640"/>
        <w:jc w:val="both"/>
      </w:pPr>
      <w:r>
        <w:rPr>
          <w:rFonts w:ascii="仿宋_GB2312" w:hAnsi="仿宋_GB2312" w:eastAsia="仿宋_GB2312"/>
          <w:sz w:val="32"/>
        </w:rPr>
        <w:t>(二)承担监督所监管企业国有资产保值增值的责任。建立和完善国有资产保值增值指标体系。</w:t>
      </w:r>
    </w:p>
    <w:p w14:paraId="126376D0">
      <w:pPr>
        <w:spacing w:line="580" w:lineRule="exact"/>
        <w:ind w:firstLine="640"/>
        <w:jc w:val="both"/>
      </w:pPr>
      <w:r>
        <w:rPr>
          <w:rFonts w:ascii="仿宋_GB2312" w:hAnsi="仿宋_GB2312" w:eastAsia="仿宋_GB2312"/>
          <w:sz w:val="32"/>
        </w:rPr>
        <w:t>拟订考核标准，通过统计、稽核等对监管企业国有资产保值增值情况进行监管；依法向自治州人民政府报告所监管企业国有资产监管运营情况。</w:t>
      </w:r>
    </w:p>
    <w:p w14:paraId="45259F80">
      <w:pPr>
        <w:spacing w:line="580" w:lineRule="exact"/>
        <w:ind w:firstLine="640"/>
        <w:jc w:val="both"/>
      </w:pPr>
      <w:r>
        <w:rPr>
          <w:rFonts w:ascii="仿宋_GB2312" w:hAnsi="仿宋_GB2312" w:eastAsia="仿宋_GB2312"/>
          <w:sz w:val="32"/>
        </w:rPr>
        <w:t>(三)坚持和加强党的领导，履行所监管企业党建工作的日常管理职责。指导监管企业做好党的建设和全面从严治党工作；会同有关部门做好所监管企业领导班子管理和人才队伍建设工作；通过法定程序，按照干部管理权限对所监管企业领导人员进行考核、任免并根据其经营业绩进行奖惩，建立适应中国特色现代国有企业制度要求和市场竞争需要的选人用人机制，完善经营者</w:t>
      </w:r>
      <w:r>
        <w:rPr>
          <w:rFonts w:hint="eastAsia" w:ascii="仿宋_GB2312" w:hAnsi="仿宋_GB2312" w:eastAsia="仿宋_GB2312"/>
          <w:sz w:val="32"/>
          <w:lang w:eastAsia="zh-CN"/>
        </w:rPr>
        <w:t>激励</w:t>
      </w:r>
      <w:r>
        <w:rPr>
          <w:rFonts w:ascii="仿宋_GB2312" w:hAnsi="仿宋_GB2312" w:eastAsia="仿宋_GB2312"/>
          <w:sz w:val="32"/>
        </w:rPr>
        <w:t>。</w:t>
      </w:r>
    </w:p>
    <w:p w14:paraId="7928E04E">
      <w:pPr>
        <w:spacing w:line="580" w:lineRule="exact"/>
        <w:ind w:firstLine="640"/>
        <w:jc w:val="both"/>
      </w:pPr>
      <w:r>
        <w:rPr>
          <w:rFonts w:ascii="仿宋_GB2312" w:hAnsi="仿宋_GB2312" w:eastAsia="仿宋_GB2312"/>
          <w:sz w:val="32"/>
        </w:rPr>
        <w:t>约束机制；协调指导所监管企业做好工青妇和信访等工作。</w:t>
      </w:r>
    </w:p>
    <w:p w14:paraId="7BA33884">
      <w:pPr>
        <w:spacing w:line="580" w:lineRule="exact"/>
        <w:ind w:firstLine="640"/>
        <w:jc w:val="both"/>
      </w:pPr>
      <w:r>
        <w:rPr>
          <w:rFonts w:ascii="仿宋_GB2312" w:hAnsi="仿宋_GB2312" w:eastAsia="仿宋_GB2312"/>
          <w:sz w:val="32"/>
        </w:rPr>
        <w:t>(四)指导推进国有企业改革和重组，推进国有企业的现代企业制度建设，完善公司治理结构；以管资本为主推动国有资本合理流动，加快</w:t>
      </w:r>
      <w:r>
        <w:rPr>
          <w:rFonts w:hint="eastAsia" w:ascii="仿宋_GB2312" w:hAnsi="仿宋_GB2312" w:eastAsia="仿宋_GB2312"/>
          <w:sz w:val="32"/>
          <w:lang w:eastAsia="zh-CN"/>
        </w:rPr>
        <w:t>国有经济布局优化和结构调整</w:t>
      </w:r>
      <w:r>
        <w:rPr>
          <w:rFonts w:ascii="仿宋_GB2312" w:hAnsi="仿宋_GB2312" w:eastAsia="仿宋_GB2312"/>
          <w:sz w:val="32"/>
        </w:rPr>
        <w:t>、战略性重组。</w:t>
      </w:r>
    </w:p>
    <w:p w14:paraId="74908607">
      <w:pPr>
        <w:spacing w:line="580" w:lineRule="exact"/>
        <w:ind w:firstLine="640"/>
        <w:jc w:val="both"/>
      </w:pPr>
      <w:r>
        <w:rPr>
          <w:rFonts w:ascii="仿宋_GB2312" w:hAnsi="仿宋_GB2312" w:eastAsia="仿宋_GB2312"/>
          <w:sz w:val="32"/>
        </w:rPr>
        <w:t>(五)负责所监管企业负责人经营业绩考核和薪酬管理，提出所监管企业负责人收入分配政策并组织实施和监督检查；进一步完善所监管企业经营业绩</w:t>
      </w:r>
      <w:r>
        <w:rPr>
          <w:rFonts w:hint="eastAsia" w:ascii="仿宋_GB2312" w:hAnsi="仿宋_GB2312" w:eastAsia="仿宋_GB2312"/>
          <w:sz w:val="32"/>
          <w:lang w:eastAsia="zh-CN"/>
        </w:rPr>
        <w:t>考核</w:t>
      </w:r>
      <w:r>
        <w:rPr>
          <w:rFonts w:ascii="仿宋_GB2312" w:hAnsi="仿宋_GB2312" w:eastAsia="仿宋_GB2312"/>
          <w:sz w:val="32"/>
        </w:rPr>
        <w:t>。</w:t>
      </w:r>
    </w:p>
    <w:p w14:paraId="2E737B3C">
      <w:pPr>
        <w:spacing w:line="580" w:lineRule="exact"/>
        <w:ind w:firstLine="640"/>
        <w:jc w:val="both"/>
      </w:pPr>
      <w:r>
        <w:rPr>
          <w:rFonts w:ascii="仿宋_GB2312" w:hAnsi="仿宋_GB2312" w:eastAsia="仿宋_GB2312"/>
          <w:sz w:val="32"/>
        </w:rPr>
        <w:t>核制度，促进企业履行经济责任、政治责任、稳定责任、社会责任。</w:t>
      </w:r>
    </w:p>
    <w:p w14:paraId="35EB6FFF">
      <w:pPr>
        <w:numPr>
          <w:numId w:val="0"/>
        </w:numPr>
        <w:spacing w:line="580" w:lineRule="exact"/>
        <w:ind w:firstLine="320" w:firstLineChars="100"/>
        <w:jc w:val="both"/>
        <w:rPr>
          <w:rFonts w:ascii="仿宋_GB2312" w:hAnsi="仿宋_GB2312" w:eastAsia="仿宋_GB2312"/>
          <w:sz w:val="32"/>
        </w:rPr>
      </w:pPr>
      <w:r>
        <w:rPr>
          <w:rFonts w:hint="eastAsia" w:ascii="仿宋_GB2312" w:hAnsi="仿宋_GB2312" w:eastAsia="仿宋_GB2312"/>
          <w:sz w:val="32"/>
          <w:lang w:eastAsia="zh-CN"/>
        </w:rPr>
        <w:t>（</w:t>
      </w:r>
      <w:r>
        <w:rPr>
          <w:rFonts w:hint="eastAsia" w:ascii="仿宋_GB2312" w:hAnsi="仿宋_GB2312" w:eastAsia="仿宋_GB2312"/>
          <w:sz w:val="32"/>
          <w:lang w:val="en-US" w:eastAsia="zh-CN"/>
        </w:rPr>
        <w:t>六</w:t>
      </w:r>
      <w:r>
        <w:rPr>
          <w:rFonts w:hint="eastAsia" w:ascii="仿宋_GB2312" w:hAnsi="仿宋_GB2312" w:eastAsia="仿宋_GB2312"/>
          <w:sz w:val="32"/>
          <w:lang w:eastAsia="zh-CN"/>
        </w:rPr>
        <w:t>）</w:t>
      </w:r>
      <w:r>
        <w:rPr>
          <w:rFonts w:ascii="仿宋_GB2312" w:hAnsi="仿宋_GB2312" w:eastAsia="仿宋_GB2312"/>
          <w:sz w:val="32"/>
        </w:rPr>
        <w:t>负责组织所监管企业上交国有资本收益，参与制定国有资本经营预算有关管理制度和办法，承办所监管企业国有资本经营预决算编制和执行等工作。组织实施改组(组建)国有资本投资、运营公司，指导企业开展国有资本运营；推进经营性国有资产集中统一监管。</w:t>
      </w:r>
    </w:p>
    <w:p w14:paraId="04B5104D">
      <w:pPr>
        <w:numPr>
          <w:numId w:val="0"/>
        </w:numPr>
        <w:spacing w:line="580" w:lineRule="exact"/>
        <w:ind w:firstLine="320" w:firstLineChars="100"/>
        <w:jc w:val="both"/>
      </w:pPr>
      <w:r>
        <w:rPr>
          <w:rFonts w:hint="eastAsia" w:ascii="仿宋_GB2312" w:hAnsi="仿宋_GB2312" w:eastAsia="仿宋_GB2312"/>
          <w:sz w:val="32"/>
          <w:lang w:eastAsia="zh-CN"/>
        </w:rPr>
        <w:t>（</w:t>
      </w:r>
      <w:r>
        <w:rPr>
          <w:rFonts w:hint="eastAsia" w:ascii="仿宋_GB2312" w:hAnsi="仿宋_GB2312" w:eastAsia="仿宋_GB2312"/>
          <w:sz w:val="32"/>
          <w:lang w:val="en-US" w:eastAsia="zh-CN"/>
        </w:rPr>
        <w:t>七</w:t>
      </w:r>
      <w:r>
        <w:rPr>
          <w:rFonts w:hint="eastAsia" w:ascii="仿宋_GB2312" w:hAnsi="仿宋_GB2312" w:eastAsia="仿宋_GB2312"/>
          <w:sz w:val="32"/>
          <w:lang w:eastAsia="zh-CN"/>
        </w:rPr>
        <w:t>）</w:t>
      </w:r>
      <w:r>
        <w:rPr>
          <w:rFonts w:ascii="仿宋_GB2312" w:hAnsi="仿宋_GB2312" w:eastAsia="仿宋_GB2312"/>
          <w:sz w:val="32"/>
        </w:rPr>
        <w:t>根据监管清单，审核所监管企业的发展战略和规划、重大项目投资、重大资产处置等事项；会同有关部门协调中央企业和援疆省(市)国有企业产业援疆工作；督促检查所监管企业贯彻落实国家安全生产、环境保护方针政策及有关法律法规、标准等工作。</w:t>
      </w:r>
    </w:p>
    <w:p w14:paraId="6CDC043C">
      <w:pPr>
        <w:spacing w:line="580" w:lineRule="exact"/>
        <w:ind w:firstLine="640"/>
        <w:jc w:val="both"/>
      </w:pPr>
      <w:r>
        <w:rPr>
          <w:rFonts w:ascii="仿宋_GB2312" w:hAnsi="仿宋_GB2312" w:eastAsia="仿宋_GB2312"/>
          <w:sz w:val="32"/>
        </w:rPr>
        <w:t>(八)起草国有资产管理的地方性法规和政府规章草案，制定有关制度；指导所监管企业法律顾问和法治国企建设工作；负责企业国有资产基础管理工作，规范国有产权转让及交易行为；负责所监管企业违规经营投资责任追究工作，强化国有资产监督，防止国有资产流失。</w:t>
      </w:r>
    </w:p>
    <w:p w14:paraId="7E247596">
      <w:pPr>
        <w:spacing w:line="580" w:lineRule="exact"/>
        <w:ind w:firstLine="640"/>
        <w:jc w:val="both"/>
      </w:pPr>
      <w:r>
        <w:rPr>
          <w:rFonts w:ascii="仿宋_GB2312" w:hAnsi="仿宋_GB2312" w:eastAsia="仿宋_GB2312"/>
          <w:sz w:val="32"/>
        </w:rPr>
        <w:t>(九)完成自治州党委、自治州人民政府交办的其他任务。</w:t>
      </w:r>
    </w:p>
    <w:p w14:paraId="452C94A4">
      <w:pPr>
        <w:spacing w:line="640" w:lineRule="exact"/>
        <w:ind w:firstLine="640"/>
        <w:jc w:val="both"/>
        <w:outlineLvl w:val="2"/>
      </w:pPr>
      <w:r>
        <w:rPr>
          <w:rFonts w:ascii="黑体" w:hAnsi="黑体" w:eastAsia="黑体"/>
          <w:sz w:val="32"/>
        </w:rPr>
        <w:t>二、机构设置及人员情况</w:t>
      </w:r>
    </w:p>
    <w:p w14:paraId="57D02BC6">
      <w:pPr>
        <w:spacing w:line="580" w:lineRule="exact"/>
        <w:ind w:firstLine="640"/>
        <w:jc w:val="both"/>
      </w:pPr>
      <w:r>
        <w:rPr>
          <w:rFonts w:ascii="仿宋_GB2312" w:hAnsi="仿宋_GB2312" w:eastAsia="仿宋_GB2312"/>
          <w:sz w:val="32"/>
        </w:rPr>
        <w:t>克孜勒苏柯尔克孜自治州人民政府国有资产监督管理委员会2024年度，实有人数15人，其中：在职人员15人，增加15人；离休人员0人，增加0人；退休人员0人,增加0人。</w:t>
      </w:r>
    </w:p>
    <w:p w14:paraId="787A6FDF">
      <w:pPr>
        <w:spacing w:line="580" w:lineRule="exact"/>
        <w:ind w:firstLine="640"/>
        <w:jc w:val="both"/>
      </w:pPr>
      <w:r>
        <w:rPr>
          <w:rFonts w:ascii="仿宋_GB2312" w:hAnsi="仿宋_GB2312" w:eastAsia="仿宋_GB2312"/>
          <w:sz w:val="32"/>
        </w:rPr>
        <w:t>克孜勒苏柯尔克孜自治州人民政府国有资产监督管理委员会无下属预算单位，下设4个科室，分别是：办公室、改革发展与考核管理科、综合监督与产权管理科、国有资产运营管理中心。</w:t>
      </w:r>
    </w:p>
    <w:p w14:paraId="2DE99875">
      <w:r>
        <w:br w:type="page"/>
      </w:r>
    </w:p>
    <w:p w14:paraId="33BBC80D">
      <w:pPr>
        <w:spacing w:line="240" w:lineRule="auto"/>
        <w:jc w:val="center"/>
        <w:outlineLvl w:val="1"/>
      </w:pPr>
      <w:r>
        <w:rPr>
          <w:rFonts w:ascii="黑体" w:hAnsi="黑体" w:eastAsia="黑体"/>
          <w:sz w:val="32"/>
        </w:rPr>
        <w:t>第二部分 部门决算情况说明</w:t>
      </w:r>
    </w:p>
    <w:p w14:paraId="4662581A">
      <w:pPr>
        <w:spacing w:line="640" w:lineRule="exact"/>
        <w:ind w:firstLine="640"/>
        <w:jc w:val="both"/>
        <w:outlineLvl w:val="2"/>
      </w:pPr>
      <w:r>
        <w:rPr>
          <w:rFonts w:ascii="黑体" w:hAnsi="黑体" w:eastAsia="黑体"/>
          <w:sz w:val="32"/>
        </w:rPr>
        <w:t>一、收入支出决算总体情况说明</w:t>
      </w:r>
    </w:p>
    <w:p w14:paraId="26B494D0">
      <w:pPr>
        <w:spacing w:line="580" w:lineRule="exact"/>
        <w:ind w:firstLine="640"/>
        <w:jc w:val="both"/>
      </w:pPr>
      <w:r>
        <w:rPr>
          <w:rFonts w:ascii="仿宋_GB2312" w:hAnsi="仿宋_GB2312" w:eastAsia="仿宋_GB2312"/>
          <w:b/>
          <w:sz w:val="32"/>
        </w:rPr>
        <w:t>2024年度收入总计26,003.01万元，</w:t>
      </w:r>
      <w:r>
        <w:rPr>
          <w:rFonts w:ascii="仿宋_GB2312" w:hAnsi="仿宋_GB2312" w:eastAsia="仿宋_GB2312"/>
          <w:b w:val="0"/>
          <w:sz w:val="32"/>
        </w:rPr>
        <w:t>其中：本年收入合计26,003.01万元，使用非财政拨款结余（含专用结余）0.00万元，年初结转和结余0.00万元。</w:t>
      </w:r>
    </w:p>
    <w:p w14:paraId="17CAB038">
      <w:pPr>
        <w:spacing w:line="580" w:lineRule="exact"/>
        <w:ind w:firstLine="640"/>
        <w:jc w:val="both"/>
      </w:pPr>
      <w:r>
        <w:rPr>
          <w:rFonts w:ascii="仿宋_GB2312" w:hAnsi="仿宋_GB2312" w:eastAsia="仿宋_GB2312"/>
          <w:b/>
          <w:sz w:val="32"/>
        </w:rPr>
        <w:t>2024年度支出总计26,003.01万元，</w:t>
      </w:r>
      <w:r>
        <w:rPr>
          <w:rFonts w:ascii="仿宋_GB2312" w:hAnsi="仿宋_GB2312" w:eastAsia="仿宋_GB2312"/>
          <w:b w:val="0"/>
          <w:sz w:val="32"/>
        </w:rPr>
        <w:t>其中：本年支出合计25,978.45万元，结余分配0.00万元，年末结转和结余24.56万元。</w:t>
      </w:r>
    </w:p>
    <w:p w14:paraId="30015974">
      <w:pPr>
        <w:spacing w:line="580" w:lineRule="exact"/>
        <w:ind w:firstLine="640"/>
        <w:jc w:val="both"/>
      </w:pPr>
      <w:r>
        <w:rPr>
          <w:rFonts w:ascii="仿宋_GB2312" w:hAnsi="仿宋_GB2312" w:eastAsia="仿宋_GB2312"/>
          <w:b w:val="0"/>
          <w:sz w:val="32"/>
        </w:rPr>
        <w:t>收入支出总体与上年相比，增加26,003.01万元，增长100.00%，主要原因是：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p>
    <w:p w14:paraId="32B22C9B">
      <w:pPr>
        <w:spacing w:line="640" w:lineRule="exact"/>
        <w:ind w:firstLine="640"/>
        <w:jc w:val="both"/>
        <w:outlineLvl w:val="2"/>
      </w:pPr>
      <w:r>
        <w:rPr>
          <w:rFonts w:ascii="黑体" w:hAnsi="黑体" w:eastAsia="黑体"/>
          <w:sz w:val="32"/>
        </w:rPr>
        <w:t>二、收入决算情况说明</w:t>
      </w:r>
    </w:p>
    <w:p w14:paraId="1A5006BE">
      <w:pPr>
        <w:spacing w:line="580" w:lineRule="exact"/>
        <w:ind w:firstLine="640"/>
        <w:jc w:val="both"/>
      </w:pPr>
      <w:r>
        <w:rPr>
          <w:rFonts w:ascii="仿宋_GB2312" w:hAnsi="仿宋_GB2312" w:eastAsia="仿宋_GB2312"/>
          <w:b/>
          <w:sz w:val="32"/>
        </w:rPr>
        <w:t>本年收入26,003.01万元，</w:t>
      </w:r>
      <w:r>
        <w:rPr>
          <w:rFonts w:ascii="仿宋_GB2312" w:hAnsi="仿宋_GB2312" w:eastAsia="仿宋_GB2312"/>
          <w:b w:val="0"/>
          <w:sz w:val="32"/>
        </w:rPr>
        <w:t>其中：财政拨款收入25,816.32万元，占99.28%；上级补助收入0.00万元，占0.00%；事业收入0.00万元，占0.00%；经营收入0.00万元，占0.00%；附属单位上缴收入0.00万元，占0.00%；其他收入186.69万元，占0.72%。</w:t>
      </w:r>
    </w:p>
    <w:p w14:paraId="2B7B76C5">
      <w:pPr>
        <w:spacing w:line="640" w:lineRule="exact"/>
        <w:ind w:firstLine="640"/>
        <w:jc w:val="both"/>
        <w:outlineLvl w:val="2"/>
      </w:pPr>
      <w:r>
        <w:rPr>
          <w:rFonts w:ascii="黑体" w:hAnsi="黑体" w:eastAsia="黑体"/>
          <w:sz w:val="32"/>
        </w:rPr>
        <w:t>三、支出决算情况说明</w:t>
      </w:r>
    </w:p>
    <w:p w14:paraId="380864FD">
      <w:pPr>
        <w:spacing w:line="580" w:lineRule="exact"/>
        <w:ind w:firstLine="640"/>
        <w:jc w:val="both"/>
      </w:pPr>
      <w:r>
        <w:rPr>
          <w:rFonts w:ascii="仿宋_GB2312" w:hAnsi="仿宋_GB2312" w:eastAsia="仿宋_GB2312"/>
          <w:b/>
          <w:sz w:val="32"/>
        </w:rPr>
        <w:t>本年支出25,978.45万元，</w:t>
      </w:r>
      <w:r>
        <w:rPr>
          <w:rFonts w:ascii="仿宋_GB2312" w:hAnsi="仿宋_GB2312" w:eastAsia="仿宋_GB2312"/>
          <w:b w:val="0"/>
          <w:sz w:val="32"/>
        </w:rPr>
        <w:t>其中：基本支出239.95万元，占0.92%；项目支出25,738.50万元，占99.08%；上缴上级支出0.00万元，占0.00%；经营支出0.00万元，占0.00%；对附属单位补助支出0.00万元，占0.00%。</w:t>
      </w:r>
    </w:p>
    <w:p w14:paraId="4F2ED20D">
      <w:pPr>
        <w:spacing w:line="640" w:lineRule="exact"/>
        <w:ind w:firstLine="640"/>
        <w:jc w:val="both"/>
        <w:outlineLvl w:val="2"/>
      </w:pPr>
      <w:r>
        <w:rPr>
          <w:rFonts w:ascii="黑体" w:hAnsi="黑体" w:eastAsia="黑体"/>
          <w:sz w:val="32"/>
        </w:rPr>
        <w:t>四、财政拨款收入支出决算总体情况说明</w:t>
      </w:r>
    </w:p>
    <w:p w14:paraId="0AEEAF24">
      <w:pPr>
        <w:spacing w:line="580" w:lineRule="exact"/>
        <w:ind w:firstLine="640"/>
        <w:jc w:val="both"/>
      </w:pPr>
      <w:r>
        <w:rPr>
          <w:rFonts w:ascii="仿宋_GB2312" w:hAnsi="仿宋_GB2312" w:eastAsia="仿宋_GB2312"/>
          <w:b/>
          <w:sz w:val="32"/>
        </w:rPr>
        <w:t>2024年度财政拨款收入总计25,816.32万元，</w:t>
      </w:r>
      <w:r>
        <w:rPr>
          <w:rFonts w:ascii="仿宋_GB2312" w:hAnsi="仿宋_GB2312" w:eastAsia="仿宋_GB2312"/>
          <w:b w:val="0"/>
          <w:sz w:val="32"/>
        </w:rPr>
        <w:t>其中：年初财政拨款结转和结余0.00万元，本年财政拨款收入25,816.32万元。</w:t>
      </w:r>
      <w:r>
        <w:rPr>
          <w:rFonts w:ascii="仿宋_GB2312" w:hAnsi="仿宋_GB2312" w:eastAsia="仿宋_GB2312"/>
          <w:b/>
          <w:sz w:val="32"/>
        </w:rPr>
        <w:t>财政拨款支出总计25,816.32万元，</w:t>
      </w:r>
      <w:r>
        <w:rPr>
          <w:rFonts w:ascii="仿宋_GB2312" w:hAnsi="仿宋_GB2312" w:eastAsia="仿宋_GB2312"/>
          <w:b w:val="0"/>
          <w:sz w:val="32"/>
        </w:rPr>
        <w:t>其中：年末财政拨款结转和结余0.00万元，本年财政拨款支出25,816.32万元。</w:t>
      </w:r>
    </w:p>
    <w:p w14:paraId="50E2639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增加25,816.32万元，增长100.00%，主要原因是：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年初预算数232.60万元，决算数25,816.32万元，预决算差异率10999.02%，主要原因是：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年中追加克州独立储能项目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6BCD82EC">
      <w:pPr>
        <w:spacing w:line="640" w:lineRule="exact"/>
        <w:ind w:firstLine="640"/>
        <w:jc w:val="both"/>
        <w:outlineLvl w:val="2"/>
      </w:pPr>
      <w:r>
        <w:rPr>
          <w:rFonts w:ascii="黑体" w:hAnsi="黑体" w:eastAsia="黑体"/>
          <w:sz w:val="32"/>
        </w:rPr>
        <w:t>五、一般公共预算财政拨款支出决算情况说明</w:t>
      </w:r>
    </w:p>
    <w:p w14:paraId="7D3AB0F9">
      <w:pPr>
        <w:spacing w:line="640" w:lineRule="exact"/>
        <w:ind w:firstLine="640"/>
        <w:jc w:val="both"/>
        <w:outlineLvl w:val="3"/>
      </w:pPr>
      <w:r>
        <w:rPr>
          <w:rFonts w:ascii="楷体_GB2312" w:hAnsi="楷体_GB2312" w:eastAsia="楷体_GB2312"/>
          <w:b/>
          <w:sz w:val="32"/>
        </w:rPr>
        <w:t>（一）一般公共预算财政拨款支出决算总体情况</w:t>
      </w:r>
    </w:p>
    <w:p w14:paraId="5CFE85FE">
      <w:pPr>
        <w:spacing w:line="580" w:lineRule="exact"/>
        <w:ind w:firstLine="640"/>
        <w:jc w:val="both"/>
      </w:pPr>
      <w:r>
        <w:rPr>
          <w:rFonts w:ascii="仿宋_GB2312" w:hAnsi="仿宋_GB2312" w:eastAsia="仿宋_GB2312"/>
          <w:b/>
          <w:sz w:val="32"/>
        </w:rPr>
        <w:t>2024年度一般公共预算财政拨款支出319.32万元，</w:t>
      </w:r>
      <w:r>
        <w:rPr>
          <w:rFonts w:ascii="仿宋_GB2312" w:hAnsi="仿宋_GB2312" w:eastAsia="仿宋_GB2312"/>
          <w:b w:val="0"/>
          <w:sz w:val="32"/>
        </w:rPr>
        <w:t>占本年支出合计的1.23%。</w:t>
      </w:r>
      <w:r>
        <w:rPr>
          <w:rFonts w:ascii="仿宋_GB2312" w:hAnsi="仿宋_GB2312" w:eastAsia="仿宋_GB2312"/>
          <w:b/>
          <w:sz w:val="32"/>
        </w:rPr>
        <w:t>与上年相比，</w:t>
      </w:r>
      <w:r>
        <w:rPr>
          <w:rFonts w:ascii="仿宋_GB2312" w:hAnsi="仿宋_GB2312" w:eastAsia="仿宋_GB2312"/>
          <w:b w:val="0"/>
          <w:sz w:val="32"/>
        </w:rPr>
        <w:t>增加319.32万元，增长100.00%，主要原因是：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年初预算数232.60万元，决算数319.32万元，预决算差异率37.28%，主要原因是：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年中追加人员类经费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29501637">
      <w:pPr>
        <w:spacing w:line="640" w:lineRule="exact"/>
        <w:ind w:firstLine="640"/>
        <w:jc w:val="both"/>
        <w:outlineLvl w:val="3"/>
      </w:pPr>
      <w:r>
        <w:rPr>
          <w:rFonts w:ascii="楷体_GB2312" w:hAnsi="楷体_GB2312" w:eastAsia="楷体_GB2312"/>
          <w:b/>
          <w:sz w:val="32"/>
        </w:rPr>
        <w:t>（二）一般公共预算财政拨款支出决算结构情况</w:t>
      </w:r>
    </w:p>
    <w:p w14:paraId="15A9489C">
      <w:pPr>
        <w:spacing w:line="580" w:lineRule="exact"/>
        <w:ind w:firstLine="640"/>
        <w:jc w:val="both"/>
      </w:pPr>
      <w:r>
        <w:rPr>
          <w:rFonts w:ascii="仿宋_GB2312" w:hAnsi="仿宋_GB2312" w:eastAsia="仿宋_GB2312"/>
          <w:b w:val="0"/>
          <w:sz w:val="32"/>
        </w:rPr>
        <w:t>1.社会保障和就业支出(类)23.01万元,占7.21%。</w:t>
      </w:r>
    </w:p>
    <w:p w14:paraId="7B2939C2">
      <w:pPr>
        <w:spacing w:line="580" w:lineRule="exact"/>
        <w:ind w:firstLine="640"/>
        <w:jc w:val="both"/>
      </w:pPr>
      <w:r>
        <w:rPr>
          <w:rFonts w:ascii="仿宋_GB2312" w:hAnsi="仿宋_GB2312" w:eastAsia="仿宋_GB2312"/>
          <w:b w:val="0"/>
          <w:sz w:val="32"/>
        </w:rPr>
        <w:t>2.资源勘探工业信息等支出(类)296.31万元,占92.79%。</w:t>
      </w:r>
    </w:p>
    <w:p w14:paraId="12A8E1B8">
      <w:pPr>
        <w:spacing w:line="640" w:lineRule="exact"/>
        <w:ind w:firstLine="640"/>
        <w:jc w:val="both"/>
        <w:outlineLvl w:val="3"/>
      </w:pPr>
      <w:r>
        <w:rPr>
          <w:rFonts w:ascii="楷体_GB2312" w:hAnsi="楷体_GB2312" w:eastAsia="楷体_GB2312"/>
          <w:b/>
          <w:sz w:val="32"/>
        </w:rPr>
        <w:t>（三）一般公共预算财政拨款支出决算具体情况</w:t>
      </w:r>
    </w:p>
    <w:p w14:paraId="3BC3A589">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1.社会保障和就业支出(类)行政事业单位养老支出(款)机关事业单位基本养老保险缴费支出(项):支出决算数为23.01万元，比上年决算增加23.01万元，增长100.00%,主要原因是：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p>
    <w:p w14:paraId="60F5FB1B">
      <w:pPr>
        <w:spacing w:line="580" w:lineRule="exact"/>
        <w:ind w:firstLine="640"/>
        <w:jc w:val="both"/>
      </w:pPr>
      <w:r>
        <w:rPr>
          <w:rFonts w:ascii="仿宋_GB2312" w:hAnsi="仿宋_GB2312" w:eastAsia="仿宋_GB2312"/>
          <w:b w:val="0"/>
          <w:sz w:val="32"/>
        </w:rPr>
        <w:t>2.资源勘探工业信息等支出(类)国有资产监管(款)行政运行(项):支出决算数为112.58万元，比上年决算增加112.58万元，增长100.00%,主要原因是：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p>
    <w:p w14:paraId="26AE48F3">
      <w:pPr>
        <w:spacing w:line="580" w:lineRule="exact"/>
        <w:ind w:firstLine="640"/>
        <w:jc w:val="both"/>
      </w:pPr>
      <w:r>
        <w:rPr>
          <w:rFonts w:ascii="仿宋_GB2312" w:hAnsi="仿宋_GB2312" w:eastAsia="仿宋_GB2312"/>
          <w:b w:val="0"/>
          <w:sz w:val="32"/>
        </w:rPr>
        <w:t>3.资源勘探工业信息等支出(类)国有资产监管(款)一般行政管理事务(项):支出决算数为91.50万元，比上年决算增加91.50万元，增长100.00%,主要原因是：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p>
    <w:p w14:paraId="139B2845">
      <w:pPr>
        <w:spacing w:line="580" w:lineRule="exact"/>
        <w:ind w:firstLine="640"/>
        <w:jc w:val="both"/>
      </w:pPr>
      <w:r>
        <w:rPr>
          <w:rFonts w:ascii="仿宋_GB2312" w:hAnsi="仿宋_GB2312" w:eastAsia="仿宋_GB2312"/>
          <w:b w:val="0"/>
          <w:sz w:val="32"/>
        </w:rPr>
        <w:t>4.资源勘探工业信息等支出(类)国有资产监管(款)其他国有资产监管支出(项):支出决算数为92.23万元，比上年决算增加92.23万元，增长100.00%,主要原因是：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p>
    <w:p w14:paraId="6BD82C55">
      <w:pPr>
        <w:spacing w:line="640" w:lineRule="exact"/>
        <w:ind w:firstLine="640"/>
        <w:jc w:val="both"/>
        <w:outlineLvl w:val="2"/>
      </w:pPr>
      <w:r>
        <w:rPr>
          <w:rFonts w:ascii="黑体" w:hAnsi="黑体" w:eastAsia="黑体"/>
          <w:sz w:val="32"/>
        </w:rPr>
        <w:t>六、一般公共预算财政拨款基本支出决算情况说明</w:t>
      </w:r>
    </w:p>
    <w:p w14:paraId="5C3D79DD">
      <w:pPr>
        <w:spacing w:line="580" w:lineRule="exact"/>
        <w:ind w:firstLine="640"/>
        <w:jc w:val="both"/>
      </w:pPr>
      <w:r>
        <w:rPr>
          <w:rFonts w:ascii="仿宋_GB2312" w:hAnsi="仿宋_GB2312" w:eastAsia="仿宋_GB2312"/>
          <w:b w:val="0"/>
          <w:sz w:val="32"/>
        </w:rPr>
        <w:t>2024年度一般公共预算财政拨款基本支出227.81万元，其中：</w:t>
      </w:r>
      <w:r>
        <w:rPr>
          <w:rFonts w:ascii="仿宋_GB2312" w:hAnsi="仿宋_GB2312" w:eastAsia="仿宋_GB2312"/>
          <w:b/>
          <w:sz w:val="32"/>
        </w:rPr>
        <w:t>人员经费219.39万元，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w:t>
      </w:r>
    </w:p>
    <w:p w14:paraId="26A5E0A3">
      <w:pPr>
        <w:spacing w:line="580" w:lineRule="exact"/>
        <w:ind w:firstLine="640"/>
        <w:jc w:val="both"/>
      </w:pPr>
      <w:r>
        <w:rPr>
          <w:rFonts w:ascii="仿宋_GB2312" w:hAnsi="仿宋_GB2312" w:eastAsia="仿宋_GB2312"/>
          <w:b/>
          <w:sz w:val="32"/>
        </w:rPr>
        <w:t>公用经费8.43万元，</w:t>
      </w:r>
      <w:r>
        <w:rPr>
          <w:rFonts w:ascii="仿宋_GB2312" w:hAnsi="仿宋_GB2312" w:eastAsia="仿宋_GB2312"/>
          <w:b w:val="0"/>
          <w:sz w:val="32"/>
        </w:rPr>
        <w:t>包括：电费、差旅费、公务接待费、工会经费、福利费、公务用车运行维护费、其他商品和服务支出。</w:t>
      </w:r>
    </w:p>
    <w:p w14:paraId="0B979D27">
      <w:pPr>
        <w:spacing w:line="640" w:lineRule="exact"/>
        <w:ind w:firstLine="640"/>
        <w:jc w:val="both"/>
        <w:outlineLvl w:val="2"/>
      </w:pPr>
      <w:r>
        <w:rPr>
          <w:rFonts w:ascii="黑体" w:hAnsi="黑体" w:eastAsia="黑体"/>
          <w:sz w:val="32"/>
        </w:rPr>
        <w:t>七、政府性基金预算财政拨款收入支出决算情况说明</w:t>
      </w:r>
    </w:p>
    <w:p w14:paraId="0AF10F41">
      <w:pPr>
        <w:spacing w:line="580" w:lineRule="exact"/>
        <w:ind w:firstLine="640"/>
        <w:jc w:val="both"/>
      </w:pPr>
      <w:r>
        <w:rPr>
          <w:rFonts w:ascii="仿宋_GB2312" w:hAnsi="仿宋_GB2312" w:eastAsia="仿宋_GB2312"/>
          <w:b/>
          <w:sz w:val="32"/>
        </w:rPr>
        <w:t>2024年度政府性基金预算财政拨款收入总计25,000.00万元，</w:t>
      </w:r>
      <w:r>
        <w:rPr>
          <w:rFonts w:ascii="仿宋_GB2312" w:hAnsi="仿宋_GB2312" w:eastAsia="仿宋_GB2312"/>
          <w:b w:val="0"/>
          <w:sz w:val="32"/>
        </w:rPr>
        <w:t>其中：年初结转和结余0.00万元，本年收入25,000.00万元。</w:t>
      </w:r>
      <w:r>
        <w:rPr>
          <w:rFonts w:ascii="仿宋_GB2312" w:hAnsi="仿宋_GB2312" w:eastAsia="仿宋_GB2312"/>
          <w:b/>
          <w:sz w:val="32"/>
        </w:rPr>
        <w:t>政府性基金预算财政拨款支出总计25,000.00万元，</w:t>
      </w:r>
      <w:r>
        <w:rPr>
          <w:rFonts w:ascii="仿宋_GB2312" w:hAnsi="仿宋_GB2312" w:eastAsia="仿宋_GB2312"/>
          <w:b w:val="0"/>
          <w:sz w:val="32"/>
        </w:rPr>
        <w:t>其中：年末结转和结余0.00万元，本年支出25,000.00万元。</w:t>
      </w:r>
    </w:p>
    <w:p w14:paraId="4F49271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增加25,000.00万元，增长100.00%，主要原因是：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年初预算数0.00万元，决算数25,000.00万元，预决算差异率100.00%，主要原因是：年中追加克州独立储能项目资金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63A5C506">
      <w:pPr>
        <w:spacing w:line="580" w:lineRule="exact"/>
        <w:ind w:firstLine="640"/>
        <w:jc w:val="both"/>
      </w:pPr>
      <w:r>
        <w:rPr>
          <w:rFonts w:ascii="仿宋_GB2312" w:hAnsi="仿宋_GB2312" w:eastAsia="仿宋_GB2312"/>
          <w:b w:val="0"/>
          <w:sz w:val="32"/>
        </w:rPr>
        <w:t>政府性基金预算财政拨款支出25,000.00万元。</w:t>
      </w:r>
    </w:p>
    <w:p w14:paraId="20D2BD34">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1.其他支出(类)其他政府性基金及对应专项债务收入安排的支出(款)其他地方自行试点项目收益专项债券收入安排的支出(项):支出决算数为25,000.00万元，比上年决算增加25,000.00万元，增长100.00%,主要原因是：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p>
    <w:p w14:paraId="6087D07C">
      <w:pPr>
        <w:spacing w:line="640" w:lineRule="exact"/>
        <w:ind w:firstLine="640"/>
        <w:jc w:val="both"/>
        <w:outlineLvl w:val="2"/>
      </w:pPr>
      <w:r>
        <w:rPr>
          <w:rFonts w:ascii="黑体" w:hAnsi="黑体" w:eastAsia="黑体"/>
          <w:sz w:val="32"/>
        </w:rPr>
        <w:t>八、国有资本经营预算财政拨款收入支出决算情况说明</w:t>
      </w:r>
    </w:p>
    <w:p w14:paraId="218C3072">
      <w:pPr>
        <w:spacing w:line="580" w:lineRule="exact"/>
        <w:ind w:firstLine="640"/>
        <w:jc w:val="both"/>
      </w:pPr>
      <w:r>
        <w:rPr>
          <w:rFonts w:ascii="仿宋_GB2312" w:hAnsi="仿宋_GB2312" w:eastAsia="仿宋_GB2312"/>
          <w:b/>
          <w:sz w:val="32"/>
        </w:rPr>
        <w:t>2024年度国有资本经营预算财政拨款收入总计497.00万元，</w:t>
      </w:r>
      <w:r>
        <w:rPr>
          <w:rFonts w:ascii="仿宋_GB2312" w:hAnsi="仿宋_GB2312" w:eastAsia="仿宋_GB2312"/>
          <w:b w:val="0"/>
          <w:sz w:val="32"/>
        </w:rPr>
        <w:t>其中：年初结转和结余0.00万元，本年收入497.00万元。</w:t>
      </w:r>
      <w:r>
        <w:rPr>
          <w:rFonts w:ascii="仿宋_GB2312" w:hAnsi="仿宋_GB2312" w:eastAsia="仿宋_GB2312"/>
          <w:b/>
          <w:sz w:val="32"/>
        </w:rPr>
        <w:t>国有资本经营预算财政拨款支出总计497.00万元，</w:t>
      </w:r>
      <w:r>
        <w:rPr>
          <w:rFonts w:ascii="仿宋_GB2312" w:hAnsi="仿宋_GB2312" w:eastAsia="仿宋_GB2312"/>
          <w:b w:val="0"/>
          <w:sz w:val="32"/>
        </w:rPr>
        <w:t>其中：年末结转和结余0.00万元，本年支出497.00万元。</w:t>
      </w:r>
    </w:p>
    <w:p w14:paraId="021E2379">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增加497.00万元，增长100.00%，主要原因是：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年初预算数0.00万元，决算数497.00万元，预决算差异率100.00%，主要原因是：年中追加国有资本注册资本金注入项目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465E5EBF">
      <w:pPr>
        <w:spacing w:line="580" w:lineRule="exact"/>
        <w:ind w:firstLine="640"/>
        <w:jc w:val="both"/>
      </w:pPr>
      <w:r>
        <w:rPr>
          <w:rFonts w:ascii="仿宋_GB2312" w:hAnsi="仿宋_GB2312" w:eastAsia="仿宋_GB2312"/>
          <w:sz w:val="32"/>
        </w:rPr>
        <w:t>国有资本经营预算财政拨款支出497.00万元。</w:t>
      </w:r>
    </w:p>
    <w:p w14:paraId="178C18F5">
      <w:pPr>
        <w:spacing w:line="580" w:lineRule="exact"/>
        <w:ind w:firstLine="640"/>
        <w:jc w:val="both"/>
      </w:pPr>
      <w:r>
        <w:rPr>
          <w:rFonts w:ascii="仿宋_GB2312" w:hAnsi="仿宋_GB2312" w:eastAsia="仿宋_GB2312"/>
          <w:b w:val="0"/>
          <w:sz w:val="32"/>
        </w:rPr>
        <w:t>1.国有资本经营预算支出(类)国有企业资本金注入(款)国有经济结构调整支出(项):支出决算数为35.00万元，比上年决算增加35.00万元，增长100.00%,主要原因是：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p>
    <w:p w14:paraId="081ECC1F">
      <w:pPr>
        <w:spacing w:line="580" w:lineRule="exact"/>
        <w:ind w:firstLine="640"/>
        <w:jc w:val="both"/>
      </w:pPr>
      <w:r>
        <w:rPr>
          <w:rFonts w:ascii="仿宋_GB2312" w:hAnsi="仿宋_GB2312" w:eastAsia="仿宋_GB2312"/>
          <w:b w:val="0"/>
          <w:sz w:val="32"/>
        </w:rPr>
        <w:t>2.国有资本经营预算支出(类)国有企业资本金注入(款)其他国有企业资本金注入(项):支出决算数为462.00万元，比上年决算增加462.00万元，增长100.00%,主要原因是：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p>
    <w:p w14:paraId="0EBCF4CD">
      <w:pPr>
        <w:spacing w:line="640" w:lineRule="exact"/>
        <w:ind w:firstLine="640"/>
        <w:jc w:val="both"/>
        <w:outlineLvl w:val="2"/>
      </w:pPr>
      <w:r>
        <w:rPr>
          <w:rFonts w:ascii="黑体" w:hAnsi="黑体" w:eastAsia="黑体"/>
          <w:sz w:val="32"/>
        </w:rPr>
        <w:t>九、财政拨款“三公”经费支出决算情况说明</w:t>
      </w:r>
    </w:p>
    <w:p w14:paraId="543F4450">
      <w:pPr>
        <w:spacing w:line="580" w:lineRule="exact"/>
        <w:ind w:firstLine="640"/>
        <w:jc w:val="both"/>
      </w:pPr>
      <w:r>
        <w:rPr>
          <w:rFonts w:ascii="仿宋_GB2312" w:hAnsi="仿宋_GB2312" w:eastAsia="仿宋_GB2312"/>
          <w:b/>
          <w:sz w:val="32"/>
        </w:rPr>
        <w:t>2024年度财政拨款“三公”经费支出4.93万元，</w:t>
      </w:r>
      <w:r>
        <w:rPr>
          <w:rFonts w:ascii="仿宋_GB2312" w:hAnsi="仿宋_GB2312" w:eastAsia="仿宋_GB2312"/>
          <w:b w:val="0"/>
          <w:sz w:val="32"/>
        </w:rPr>
        <w:t>比上年增加4.93万元，增长100.00%，主要原因是：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为2024年新增单位，无上年对比数据。其中：因公出国（境）费支出0.44万元，占8.92%，比上年增加0.44万元，增长100.00%，主要原因是：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为2024年新增单位，无上年对比数据。公务用车购置及运行维护费支出3.69万元，占74.85%，比上年增加3.69万元，增长100.00%，主要原因是：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为2024年新增单位，无上年对比数据。公务接待费支出0.80万元，占16.23%，比上年增加0.80万元，增长100.00%，主要原因是：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p>
    <w:p w14:paraId="16FE6BFD">
      <w:pPr>
        <w:spacing w:line="580" w:lineRule="exact"/>
        <w:ind w:firstLine="640"/>
        <w:jc w:val="both"/>
      </w:pPr>
      <w:r>
        <w:rPr>
          <w:rFonts w:ascii="仿宋_GB2312" w:hAnsi="仿宋_GB2312" w:eastAsia="仿宋_GB2312"/>
          <w:b/>
          <w:sz w:val="32"/>
        </w:rPr>
        <w:t>具体情况如下：</w:t>
      </w:r>
    </w:p>
    <w:p w14:paraId="20049358">
      <w:pPr>
        <w:spacing w:line="580" w:lineRule="exact"/>
        <w:ind w:firstLine="640"/>
        <w:jc w:val="both"/>
      </w:pPr>
      <w:r>
        <w:rPr>
          <w:rFonts w:ascii="仿宋_GB2312" w:hAnsi="仿宋_GB2312" w:eastAsia="仿宋_GB2312"/>
          <w:b w:val="0"/>
          <w:sz w:val="32"/>
        </w:rPr>
        <w:t>因公出国（境）费支出0.44万元，开支内容包括赴吉尔吉斯斯坦参加展会产生的住宿费，差旅费。单位全年安排的因公出国（境）团组1个，因公出国（境）1人次。</w:t>
      </w:r>
    </w:p>
    <w:p w14:paraId="0682246E">
      <w:pPr>
        <w:spacing w:line="580" w:lineRule="exact"/>
        <w:ind w:firstLine="640"/>
        <w:jc w:val="both"/>
      </w:pPr>
      <w:r>
        <w:rPr>
          <w:rFonts w:ascii="仿宋_GB2312" w:hAnsi="仿宋_GB2312" w:eastAsia="仿宋_GB2312"/>
          <w:b w:val="0"/>
          <w:sz w:val="32"/>
        </w:rPr>
        <w:t>公务用车购置及运行维护费3.69万元，其中：公务用车购置费0.00万元，公务用车运行维护费3.69万元。公务用车运行维护费开支内容包括车辆加油费、维修费、保险费、审车费、过路费等。公务用车购置数0辆，公务用车保有量1辆。国有资产占用情况中固定资产车辆0辆，与公务用车保有量差异原因是：借用其他单位车辆，车辆费用由本单位支付。</w:t>
      </w:r>
    </w:p>
    <w:p w14:paraId="53889109">
      <w:pPr>
        <w:spacing w:line="580" w:lineRule="exact"/>
        <w:ind w:firstLine="640"/>
        <w:jc w:val="both"/>
      </w:pPr>
      <w:r>
        <w:rPr>
          <w:rFonts w:ascii="仿宋_GB2312" w:hAnsi="仿宋_GB2312" w:eastAsia="仿宋_GB2312"/>
          <w:b w:val="0"/>
          <w:sz w:val="32"/>
        </w:rPr>
        <w:t>公务接待费0.80万元，开支内容包括接待上级领导检查产生的就餐费。单位全年安排的国内公务接待4批次，54人次。</w:t>
      </w:r>
    </w:p>
    <w:p w14:paraId="1DEF6A8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4.93万元，决算数4.93万元，预决算差异率0.00%，主要原因是：严格按照预算执行，预决算无差异。其中：因公出国（境）费全年预算数0.44万元，决算数0.44万元，预决算差异率0.00%，主要原因是：严格按照预算执行，预决算无差异。公务用车购置费全年预算数0.00万元，决算数0.00万元，预决算差异率0.00%，主要原因是：本单位无公务用车购置费。公务用车运行维护费全年预算数3.69万元，决算数3.69万元，预决算差异率0.00%，主要原因是：严格按照预算执行，预决算无差异。公务接待费全年预算数0.80万元，决算数0.80万元，预决算差异率0.00%，主要原因是：严格按照预算执行，预决算无差异。</w:t>
      </w:r>
    </w:p>
    <w:p w14:paraId="1A4C5ACB">
      <w:pPr>
        <w:spacing w:line="640" w:lineRule="exact"/>
        <w:ind w:firstLine="640"/>
        <w:jc w:val="both"/>
        <w:outlineLvl w:val="2"/>
      </w:pPr>
      <w:r>
        <w:rPr>
          <w:rFonts w:ascii="黑体" w:hAnsi="黑体" w:eastAsia="黑体"/>
          <w:sz w:val="32"/>
        </w:rPr>
        <w:t>十、其他重要事项的情况说明</w:t>
      </w:r>
    </w:p>
    <w:p w14:paraId="0C01C56C">
      <w:pPr>
        <w:spacing w:line="640" w:lineRule="exact"/>
        <w:ind w:firstLine="640"/>
        <w:jc w:val="both"/>
        <w:outlineLvl w:val="3"/>
      </w:pPr>
      <w:r>
        <w:rPr>
          <w:rFonts w:ascii="楷体_GB2312" w:hAnsi="楷体_GB2312" w:eastAsia="楷体_GB2312"/>
          <w:b/>
          <w:sz w:val="32"/>
        </w:rPr>
        <w:t>（一）机关运行经费及公用经费支出情况</w:t>
      </w:r>
    </w:p>
    <w:p w14:paraId="3AFC1FD2">
      <w:pPr>
        <w:spacing w:line="580" w:lineRule="exact"/>
        <w:ind w:firstLine="640"/>
        <w:jc w:val="both"/>
      </w:pPr>
      <w:r>
        <w:rPr>
          <w:rFonts w:ascii="仿宋_GB2312" w:hAnsi="仿宋_GB2312" w:eastAsia="仿宋_GB2312"/>
          <w:b w:val="0"/>
          <w:sz w:val="32"/>
        </w:rPr>
        <w:t>2024年度克孜勒苏柯尔克孜自治州人民政府国有资产监督管理委员会（行政单位和参照公务员法管理事业单位）机关运行经费支出8.43万元，比上年增加8.43万元，增长100.00%，主要原因是：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为2024年新增单位，无上年对比数据。</w:t>
      </w:r>
    </w:p>
    <w:p w14:paraId="72E40288">
      <w:pPr>
        <w:spacing w:line="640" w:lineRule="exact"/>
        <w:ind w:firstLine="640"/>
        <w:jc w:val="both"/>
        <w:outlineLvl w:val="3"/>
      </w:pPr>
      <w:r>
        <w:rPr>
          <w:rFonts w:ascii="楷体_GB2312" w:hAnsi="楷体_GB2312" w:eastAsia="楷体_GB2312"/>
          <w:b/>
          <w:sz w:val="32"/>
        </w:rPr>
        <w:t>（二）政府采购情况</w:t>
      </w:r>
    </w:p>
    <w:p w14:paraId="05B7948B">
      <w:pPr>
        <w:spacing w:line="580" w:lineRule="exact"/>
        <w:ind w:firstLine="640"/>
        <w:jc w:val="both"/>
      </w:pPr>
      <w:r>
        <w:rPr>
          <w:rFonts w:ascii="仿宋_GB2312" w:hAnsi="仿宋_GB2312" w:eastAsia="仿宋_GB2312"/>
          <w:b w:val="0"/>
          <w:sz w:val="32"/>
        </w:rPr>
        <w:t>2024年度政府采购支出总额13.81万元，其中：政府采购货物支出11.52万元、政府采购工程支出0.00万元、政府采购服务支出2.29万元。</w:t>
      </w:r>
    </w:p>
    <w:p w14:paraId="7C23A2CB">
      <w:pPr>
        <w:spacing w:line="580" w:lineRule="exact"/>
        <w:ind w:firstLine="640"/>
        <w:jc w:val="both"/>
      </w:pPr>
      <w:r>
        <w:rPr>
          <w:rFonts w:ascii="仿宋_GB2312" w:hAnsi="仿宋_GB2312" w:eastAsia="仿宋_GB2312"/>
          <w:b w:val="0"/>
          <w:sz w:val="32"/>
        </w:rPr>
        <w:t>授予中小企业合同金额13.04万元，占政府采购支出总额的94.42%，其中：授予小微企业合同金额13.04万元，占政府采购支出总额的94.42%。</w:t>
      </w:r>
    </w:p>
    <w:p w14:paraId="78CAF5D6">
      <w:pPr>
        <w:spacing w:line="640" w:lineRule="exact"/>
        <w:ind w:firstLine="640"/>
        <w:jc w:val="both"/>
        <w:outlineLvl w:val="3"/>
      </w:pPr>
      <w:r>
        <w:rPr>
          <w:rFonts w:ascii="楷体_GB2312" w:hAnsi="楷体_GB2312" w:eastAsia="楷体_GB2312"/>
          <w:b/>
          <w:sz w:val="32"/>
        </w:rPr>
        <w:t>（三）国有资产占用情况说明</w:t>
      </w:r>
    </w:p>
    <w:p w14:paraId="5035D6A0">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59239A2">
      <w:pPr>
        <w:spacing w:line="640" w:lineRule="exact"/>
        <w:ind w:firstLine="640"/>
        <w:jc w:val="both"/>
        <w:outlineLvl w:val="2"/>
      </w:pPr>
      <w:r>
        <w:rPr>
          <w:rFonts w:ascii="黑体" w:hAnsi="黑体" w:eastAsia="黑体"/>
          <w:sz w:val="32"/>
        </w:rPr>
        <w:t>十一、预算绩效的情况说明</w:t>
      </w:r>
    </w:p>
    <w:p w14:paraId="5BA7833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26,003.01万元，实际执行总额25,978.45万元；预算绩效评价项目9个，全年预算数769.00万元，全年执行数742.43万元。预算绩效管理取得的成效：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项目建设的程序进一步规范。项目前期做好工作计划，细化实施方案，严格执行资金管理办法和财政资金管理制度，严格按照项目工作计划及实施方案稳步推进工作，单位根据自己项目的特点进行总结。具体附整体支出绩效自评表，项目支出绩效自评表和评价报告。</w:t>
      </w:r>
    </w:p>
    <w:p w14:paraId="0B0B8FA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0A6CDCE">
        <w:tblPrEx>
          <w:tblCellMar>
            <w:top w:w="0" w:type="dxa"/>
            <w:left w:w="108" w:type="dxa"/>
            <w:bottom w:w="0" w:type="dxa"/>
            <w:right w:w="108" w:type="dxa"/>
          </w:tblCellMar>
        </w:tblPrEx>
        <w:tc>
          <w:tcPr>
            <w:tcW w:w="8840" w:type="dxa"/>
            <w:gridSpan w:val="8"/>
            <w:vAlign w:val="center"/>
          </w:tcPr>
          <w:p w14:paraId="14DD8C17">
            <w:pPr>
              <w:jc w:val="center"/>
            </w:pPr>
            <w:r>
              <w:rPr>
                <w:rFonts w:ascii="宋体" w:hAnsi="宋体" w:eastAsia="宋体"/>
                <w:sz w:val="24"/>
              </w:rPr>
              <w:t>单位整体支出绩效自评表</w:t>
            </w:r>
          </w:p>
        </w:tc>
      </w:tr>
      <w:tr w14:paraId="4286FEEC">
        <w:tblPrEx>
          <w:tblCellMar>
            <w:top w:w="0" w:type="dxa"/>
            <w:left w:w="108" w:type="dxa"/>
            <w:bottom w:w="0" w:type="dxa"/>
            <w:right w:w="108" w:type="dxa"/>
          </w:tblCellMar>
        </w:tblPrEx>
        <w:tc>
          <w:tcPr>
            <w:tcW w:w="8840" w:type="dxa"/>
            <w:gridSpan w:val="8"/>
            <w:vAlign w:val="center"/>
          </w:tcPr>
          <w:p w14:paraId="561F104B">
            <w:pPr>
              <w:jc w:val="center"/>
            </w:pPr>
            <w:r>
              <w:rPr>
                <w:rFonts w:ascii="宋体" w:hAnsi="宋体" w:eastAsia="宋体"/>
                <w:sz w:val="24"/>
              </w:rPr>
              <w:t>（2024年度）</w:t>
            </w:r>
          </w:p>
        </w:tc>
      </w:tr>
      <w:tr w14:paraId="66CE70A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DFD13B">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98542D">
            <w:pPr>
              <w:jc w:val="center"/>
            </w:pPr>
            <w:r>
              <w:rPr>
                <w:rFonts w:ascii="宋体" w:hAnsi="宋体" w:eastAsia="宋体"/>
                <w:sz w:val="16"/>
              </w:rPr>
              <w:t>克孜勒苏柯尔克孜自治州人民政府国有资产监督管理委员会</w:t>
            </w:r>
          </w:p>
        </w:tc>
      </w:tr>
      <w:tr w14:paraId="61C2C0B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4E693">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6595C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B2A0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2412C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F1404A">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D29C1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CB603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20ECA">
            <w:pPr>
              <w:jc w:val="center"/>
            </w:pPr>
            <w:r>
              <w:rPr>
                <w:rFonts w:ascii="宋体" w:hAnsi="宋体" w:eastAsia="宋体"/>
                <w:sz w:val="16"/>
              </w:rPr>
              <w:t>得分</w:t>
            </w:r>
          </w:p>
        </w:tc>
      </w:tr>
      <w:tr w14:paraId="0283130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4FB19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A80F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A3353">
            <w:pPr>
              <w:jc w:val="center"/>
            </w:pPr>
            <w:r>
              <w:rPr>
                <w:rFonts w:ascii="宋体" w:hAnsi="宋体" w:eastAsia="宋体"/>
                <w:sz w:val="16"/>
              </w:rPr>
              <w:t>252.60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196E1">
            <w:pPr>
              <w:jc w:val="center"/>
            </w:pPr>
            <w:r>
              <w:rPr>
                <w:rFonts w:ascii="宋体" w:hAnsi="宋体" w:eastAsia="宋体"/>
                <w:sz w:val="16"/>
              </w:rPr>
              <w:t>26,003.01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A6826C">
            <w:pPr>
              <w:jc w:val="center"/>
            </w:pPr>
            <w:r>
              <w:rPr>
                <w:rFonts w:ascii="宋体" w:hAnsi="宋体" w:eastAsia="宋体"/>
                <w:sz w:val="16"/>
              </w:rPr>
              <w:t>25,978.45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A5843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F6340">
            <w:pPr>
              <w:jc w:val="center"/>
            </w:pPr>
            <w:r>
              <w:rPr>
                <w:rFonts w:ascii="宋体" w:hAnsi="宋体" w:eastAsia="宋体"/>
                <w:sz w:val="16"/>
              </w:rPr>
              <w:t>99.91%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5235F4">
            <w:pPr>
              <w:jc w:val="center"/>
              <w:rPr>
                <w:rFonts w:hint="default" w:eastAsia="宋体"/>
                <w:lang w:val="en-US" w:eastAsia="zh-CN"/>
              </w:rPr>
            </w:pPr>
            <w:r>
              <w:rPr>
                <w:rFonts w:hint="eastAsia" w:ascii="宋体" w:hAnsi="宋体"/>
                <w:sz w:val="16"/>
                <w:lang w:val="en-US" w:eastAsia="zh-CN"/>
              </w:rPr>
              <w:t>10.00分</w:t>
            </w:r>
          </w:p>
        </w:tc>
      </w:tr>
      <w:tr w14:paraId="385DBDD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E79B5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ADAC4D">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37ED1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16CDEB">
            <w:pPr>
              <w:jc w:val="center"/>
            </w:pPr>
            <w:r>
              <w:rPr>
                <w:rFonts w:ascii="宋体" w:hAnsi="宋体" w:eastAsia="宋体"/>
                <w:sz w:val="16"/>
              </w:rPr>
              <w:t>25,000.00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5E128B">
            <w:pPr>
              <w:jc w:val="center"/>
            </w:pPr>
            <w:r>
              <w:rPr>
                <w:rFonts w:ascii="宋体" w:hAnsi="宋体" w:eastAsia="宋体"/>
                <w:sz w:val="16"/>
              </w:rPr>
              <w:t>25,000.00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A2816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9E867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87A63">
            <w:pPr>
              <w:jc w:val="center"/>
            </w:pPr>
            <w:r>
              <w:rPr>
                <w:rFonts w:ascii="宋体" w:hAnsi="宋体" w:eastAsia="宋体"/>
                <w:sz w:val="16"/>
              </w:rPr>
              <w:t>—</w:t>
            </w:r>
          </w:p>
        </w:tc>
      </w:tr>
      <w:tr w14:paraId="5E158C3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51CE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BCAE5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B11CE">
            <w:pPr>
              <w:jc w:val="center"/>
            </w:pPr>
            <w:r>
              <w:rPr>
                <w:rFonts w:ascii="宋体" w:hAnsi="宋体" w:eastAsia="宋体"/>
                <w:sz w:val="16"/>
              </w:rPr>
              <w:t>232.60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46C4C">
            <w:pPr>
              <w:jc w:val="center"/>
            </w:pPr>
            <w:r>
              <w:rPr>
                <w:rFonts w:ascii="宋体" w:hAnsi="宋体" w:eastAsia="宋体"/>
                <w:sz w:val="16"/>
              </w:rPr>
              <w:t>853.01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EA6A0">
            <w:pPr>
              <w:jc w:val="center"/>
            </w:pPr>
            <w:r>
              <w:rPr>
                <w:rFonts w:ascii="宋体" w:hAnsi="宋体" w:eastAsia="宋体"/>
                <w:sz w:val="16"/>
              </w:rPr>
              <w:t>828.45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8460C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23ABE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B2CCCA">
            <w:pPr>
              <w:jc w:val="center"/>
            </w:pPr>
            <w:r>
              <w:rPr>
                <w:rFonts w:ascii="宋体" w:hAnsi="宋体" w:eastAsia="宋体"/>
                <w:sz w:val="16"/>
              </w:rPr>
              <w:t>—</w:t>
            </w:r>
          </w:p>
        </w:tc>
      </w:tr>
      <w:tr w14:paraId="457DC2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F22CD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54A9B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F136E">
            <w:pPr>
              <w:jc w:val="center"/>
            </w:pPr>
            <w:r>
              <w:rPr>
                <w:rFonts w:ascii="宋体" w:hAnsi="宋体" w:eastAsia="宋体"/>
                <w:sz w:val="16"/>
              </w:rPr>
              <w:t>20.00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E30514">
            <w:pPr>
              <w:jc w:val="center"/>
            </w:pPr>
            <w:r>
              <w:rPr>
                <w:rFonts w:ascii="宋体" w:hAnsi="宋体" w:eastAsia="宋体"/>
                <w:sz w:val="16"/>
              </w:rPr>
              <w:t>150.00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A43E19">
            <w:pPr>
              <w:jc w:val="center"/>
            </w:pPr>
            <w:r>
              <w:rPr>
                <w:rFonts w:ascii="宋体" w:hAnsi="宋体" w:eastAsia="宋体"/>
                <w:sz w:val="16"/>
              </w:rPr>
              <w:t>150.00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4912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625BC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97609B">
            <w:pPr>
              <w:jc w:val="center"/>
            </w:pPr>
            <w:r>
              <w:rPr>
                <w:rFonts w:ascii="宋体" w:hAnsi="宋体" w:eastAsia="宋体"/>
                <w:sz w:val="16"/>
              </w:rPr>
              <w:t>—</w:t>
            </w:r>
          </w:p>
        </w:tc>
      </w:tr>
      <w:tr w14:paraId="28E6A34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A2E2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ED868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C26827">
            <w:pPr>
              <w:jc w:val="center"/>
            </w:pPr>
            <w:r>
              <w:rPr>
                <w:rFonts w:ascii="宋体" w:hAnsi="宋体" w:eastAsia="宋体"/>
                <w:sz w:val="16"/>
              </w:rPr>
              <w:t>实际完成情况</w:t>
            </w:r>
          </w:p>
        </w:tc>
      </w:tr>
      <w:tr w14:paraId="0E8EA7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1BB2B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DF34F6">
            <w:pPr>
              <w:jc w:val="both"/>
            </w:pPr>
            <w:r>
              <w:rPr>
                <w:rFonts w:ascii="宋体" w:hAnsi="宋体" w:eastAsia="宋体"/>
                <w:sz w:val="16"/>
              </w:rPr>
              <w:t>1.强化价值创造，有效提升国有经济的贡献度；</w:t>
            </w:r>
            <w:r>
              <w:rPr>
                <w:rFonts w:ascii="宋体" w:hAnsi="宋体" w:eastAsia="宋体"/>
                <w:sz w:val="16"/>
              </w:rPr>
              <w:br w:type="textWrapping"/>
            </w:r>
            <w:r>
              <w:rPr>
                <w:rFonts w:ascii="宋体" w:hAnsi="宋体" w:eastAsia="宋体"/>
                <w:sz w:val="16"/>
              </w:rPr>
              <w:t>2.强化功能作用，进一步优化自身功能；</w:t>
            </w:r>
            <w:r>
              <w:rPr>
                <w:rFonts w:ascii="宋体" w:hAnsi="宋体" w:eastAsia="宋体"/>
                <w:sz w:val="16"/>
              </w:rPr>
              <w:br w:type="textWrapping"/>
            </w:r>
            <w:r>
              <w:rPr>
                <w:rFonts w:ascii="宋体" w:hAnsi="宋体" w:eastAsia="宋体"/>
                <w:sz w:val="16"/>
              </w:rPr>
              <w:t>3.强化落地见效，深入实施国有企业改革深化提升行动；</w:t>
            </w:r>
            <w:r>
              <w:rPr>
                <w:rFonts w:ascii="宋体" w:hAnsi="宋体" w:eastAsia="宋体"/>
                <w:sz w:val="16"/>
              </w:rPr>
              <w:br w:type="textWrapping"/>
            </w:r>
            <w:r>
              <w:rPr>
                <w:rFonts w:ascii="宋体" w:hAnsi="宋体" w:eastAsia="宋体"/>
                <w:sz w:val="16"/>
              </w:rPr>
              <w:t>4.强化创新驱动，推动提升企业核心竞争力；</w:t>
            </w:r>
            <w:r>
              <w:rPr>
                <w:rFonts w:ascii="宋体" w:hAnsi="宋体" w:eastAsia="宋体"/>
                <w:sz w:val="16"/>
              </w:rPr>
              <w:br w:type="textWrapping"/>
            </w:r>
            <w:r>
              <w:rPr>
                <w:rFonts w:ascii="宋体" w:hAnsi="宋体" w:eastAsia="宋体"/>
                <w:sz w:val="16"/>
              </w:rPr>
              <w:t>5.强化国资监管，不断提升专业化、体系化、法治化、高效化监管水平；</w:t>
            </w:r>
            <w:r>
              <w:rPr>
                <w:rFonts w:ascii="宋体" w:hAnsi="宋体" w:eastAsia="宋体"/>
                <w:sz w:val="16"/>
              </w:rPr>
              <w:br w:type="textWrapping"/>
            </w:r>
            <w:r>
              <w:rPr>
                <w:rFonts w:ascii="宋体" w:hAnsi="宋体" w:eastAsia="宋体"/>
                <w:sz w:val="16"/>
              </w:rPr>
              <w:t>6.强化风险防控，坚决守住不发生系统性重大风险底线；</w:t>
            </w:r>
            <w:r>
              <w:rPr>
                <w:rFonts w:ascii="宋体" w:hAnsi="宋体" w:eastAsia="宋体"/>
                <w:sz w:val="16"/>
              </w:rPr>
              <w:br w:type="textWrapping"/>
            </w:r>
            <w:r>
              <w:rPr>
                <w:rFonts w:ascii="宋体" w:hAnsi="宋体" w:eastAsia="宋体"/>
                <w:sz w:val="16"/>
              </w:rPr>
              <w:t>7.强化党建赋能，全面加强党的领</w:t>
            </w:r>
            <w:r>
              <w:rPr>
                <w:rFonts w:hint="eastAsia" w:ascii="宋体" w:hAnsi="宋体"/>
                <w:sz w:val="16"/>
                <w:lang w:eastAsia="zh-CN"/>
              </w:rPr>
              <w:t>导和</w:t>
            </w:r>
            <w:r>
              <w:rPr>
                <w:rFonts w:ascii="宋体" w:hAnsi="宋体" w:eastAsia="宋体"/>
                <w:sz w:val="16"/>
              </w:rPr>
              <w:t>党的建设。</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819A9C">
            <w:pPr>
              <w:jc w:val="both"/>
            </w:pPr>
            <w:r>
              <w:rPr>
                <w:rFonts w:hint="eastAsia" w:ascii="宋体" w:hAnsi="宋体"/>
                <w:sz w:val="16"/>
                <w:lang w:eastAsia="zh-CN"/>
              </w:rPr>
              <w:t>截至</w:t>
            </w:r>
            <w:r>
              <w:rPr>
                <w:rFonts w:ascii="宋体" w:hAnsi="宋体" w:eastAsia="宋体"/>
                <w:sz w:val="16"/>
              </w:rPr>
              <w:t>2024年12月31日，已完成：改革任务完成率74.19%；监管企业国有资本保值增值率1%；监督监管企业完成固定资产投资项目数量5个；对监管企业开展安全生产大排查次数4次；对监管企业开展工作指导次数11次。保障了</w:t>
            </w:r>
            <w:r>
              <w:rPr>
                <w:rFonts w:hint="eastAsia" w:ascii="宋体" w:hAnsi="宋体"/>
                <w:sz w:val="16"/>
                <w:lang w:eastAsia="zh-CN"/>
              </w:rPr>
              <w:t>本单位</w:t>
            </w:r>
            <w:r>
              <w:rPr>
                <w:rFonts w:ascii="宋体" w:hAnsi="宋体" w:eastAsia="宋体"/>
                <w:sz w:val="16"/>
              </w:rPr>
              <w:t>有效提升国有经济的贡献度，进一步优化自身功能，深入实施国有企业改革深化提升行动，推动提升企业核心竞争力，不断提升专业化、体系化、法治化、高效化监管水平，坚决守住不发生系统性重大风险底线，保障单位各项工作的正常运转，确保机构运转正常</w:t>
            </w:r>
          </w:p>
        </w:tc>
      </w:tr>
      <w:tr w14:paraId="608176E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2E0EC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B8207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D259B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4E671">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78A8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2116B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D4B85">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B21CB1">
            <w:pPr>
              <w:jc w:val="center"/>
            </w:pPr>
            <w:r>
              <w:rPr>
                <w:rFonts w:ascii="宋体" w:hAnsi="宋体" w:eastAsia="宋体"/>
                <w:sz w:val="16"/>
              </w:rPr>
              <w:t>得分</w:t>
            </w:r>
          </w:p>
        </w:tc>
      </w:tr>
      <w:tr w14:paraId="3EE6BDC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C9FC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FAA95">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B8407">
            <w:pPr>
              <w:jc w:val="center"/>
            </w:pPr>
            <w:r>
              <w:rPr>
                <w:rFonts w:ascii="宋体" w:hAnsi="宋体" w:eastAsia="宋体"/>
                <w:sz w:val="16"/>
              </w:rPr>
              <w:t>改革任务完成率（%）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4E633">
            <w:pPr>
              <w:jc w:val="center"/>
            </w:pPr>
            <w:r>
              <w:rPr>
                <w:rFonts w:ascii="宋体" w:hAnsi="宋体" w:eastAsia="宋体"/>
                <w:sz w:val="16"/>
              </w:rPr>
              <w:t>&gt;=70%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033D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F11FF0">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DE63FB">
            <w:pPr>
              <w:jc w:val="center"/>
            </w:pPr>
            <w:r>
              <w:rPr>
                <w:rFonts w:ascii="宋体" w:hAnsi="宋体" w:eastAsia="宋体"/>
                <w:sz w:val="16"/>
              </w:rPr>
              <w:t>74.19%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A31EC">
            <w:pPr>
              <w:jc w:val="center"/>
            </w:pPr>
            <w:r>
              <w:rPr>
                <w:rFonts w:ascii="宋体" w:hAnsi="宋体" w:eastAsia="宋体"/>
                <w:sz w:val="16"/>
              </w:rPr>
              <w:t>18</w:t>
            </w:r>
          </w:p>
        </w:tc>
      </w:tr>
      <w:tr w14:paraId="37B25A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4E01F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E95E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D91047">
            <w:pPr>
              <w:jc w:val="center"/>
            </w:pPr>
            <w:r>
              <w:rPr>
                <w:rFonts w:ascii="宋体" w:hAnsi="宋体" w:eastAsia="宋体"/>
                <w:sz w:val="16"/>
              </w:rPr>
              <w:t>监管企业国有资本保值增值率（%）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83B9C">
            <w:pPr>
              <w:jc w:val="center"/>
            </w:pPr>
            <w:r>
              <w:rPr>
                <w:rFonts w:ascii="宋体" w:hAnsi="宋体" w:eastAsia="宋体"/>
                <w:sz w:val="16"/>
              </w:rPr>
              <w:t>&gt;=1%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0EFA6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62253">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9C0464">
            <w:pPr>
              <w:jc w:val="center"/>
            </w:pPr>
            <w:r>
              <w:rPr>
                <w:rFonts w:ascii="宋体" w:hAnsi="宋体" w:eastAsia="宋体"/>
                <w:sz w:val="16"/>
              </w:rPr>
              <w:t>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8134B">
            <w:pPr>
              <w:jc w:val="center"/>
            </w:pPr>
            <w:r>
              <w:rPr>
                <w:rFonts w:ascii="宋体" w:hAnsi="宋体" w:eastAsia="宋体"/>
                <w:sz w:val="16"/>
              </w:rPr>
              <w:t>18</w:t>
            </w:r>
          </w:p>
        </w:tc>
      </w:tr>
      <w:tr w14:paraId="25CF89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B2BE1D"/>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B15E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9891C">
            <w:pPr>
              <w:jc w:val="center"/>
            </w:pPr>
            <w:r>
              <w:rPr>
                <w:rFonts w:ascii="宋体" w:hAnsi="宋体" w:eastAsia="宋体"/>
                <w:sz w:val="16"/>
              </w:rPr>
              <w:t>对监管企业开展安全生产大排查次数（次）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BF63A1">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6F27C5">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886BE3">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44FEC">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2429D">
            <w:pPr>
              <w:jc w:val="center"/>
            </w:pPr>
            <w:r>
              <w:rPr>
                <w:rFonts w:ascii="宋体" w:hAnsi="宋体" w:eastAsia="宋体"/>
                <w:sz w:val="16"/>
              </w:rPr>
              <w:t>18</w:t>
            </w:r>
          </w:p>
        </w:tc>
      </w:tr>
      <w:tr w14:paraId="5FC9E8E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66EBE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9FD51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448F8">
            <w:pPr>
              <w:jc w:val="center"/>
            </w:pPr>
            <w:r>
              <w:rPr>
                <w:rFonts w:ascii="宋体" w:hAnsi="宋体" w:eastAsia="宋体"/>
                <w:sz w:val="16"/>
              </w:rPr>
              <w:t>监督监管企业完成固定资产投资项目数量表（个）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22BF1">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C373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8DB8D5">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DCE9EE">
            <w:pPr>
              <w:jc w:val="center"/>
            </w:pPr>
            <w:r>
              <w:rPr>
                <w:rFonts w:ascii="宋体" w:hAnsi="宋体" w:eastAsia="宋体"/>
                <w:sz w:val="16"/>
              </w:rPr>
              <w: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BF9317">
            <w:pPr>
              <w:jc w:val="center"/>
            </w:pPr>
            <w:r>
              <w:rPr>
                <w:rFonts w:ascii="宋体" w:hAnsi="宋体" w:eastAsia="宋体"/>
                <w:sz w:val="16"/>
              </w:rPr>
              <w:t>18</w:t>
            </w:r>
          </w:p>
        </w:tc>
      </w:tr>
      <w:tr w14:paraId="532554B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34FE5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C2A92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38C735">
            <w:pPr>
              <w:jc w:val="center"/>
            </w:pPr>
            <w:r>
              <w:rPr>
                <w:rFonts w:ascii="宋体" w:hAnsi="宋体" w:eastAsia="宋体"/>
                <w:sz w:val="16"/>
              </w:rPr>
              <w:t>对监管企业开展工作指导次数（次））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1F544">
            <w:pPr>
              <w:jc w:val="center"/>
            </w:pPr>
            <w:r>
              <w:rPr>
                <w:rFonts w:ascii="宋体" w:hAnsi="宋体" w:eastAsia="宋体"/>
                <w:sz w:val="16"/>
              </w:rPr>
              <w:t>&gt;=11次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EADE1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60B57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6917E7">
            <w:pPr>
              <w:jc w:val="center"/>
            </w:pPr>
            <w:r>
              <w:rPr>
                <w:rFonts w:ascii="宋体" w:hAnsi="宋体" w:eastAsia="宋体"/>
                <w:sz w:val="16"/>
              </w:rPr>
              <w:t>11次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36763">
            <w:pPr>
              <w:jc w:val="center"/>
            </w:pPr>
            <w:r>
              <w:rPr>
                <w:rFonts w:ascii="宋体" w:hAnsi="宋体" w:eastAsia="宋体"/>
                <w:sz w:val="16"/>
              </w:rPr>
              <w:t>18</w:t>
            </w:r>
          </w:p>
        </w:tc>
      </w:tr>
    </w:tbl>
    <w:p w14:paraId="36328AE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958A22B">
        <w:tc>
          <w:tcPr>
            <w:tcW w:w="8848" w:type="dxa"/>
            <w:gridSpan w:val="14"/>
            <w:vAlign w:val="center"/>
          </w:tcPr>
          <w:p w14:paraId="68BB7557">
            <w:pPr>
              <w:jc w:val="center"/>
            </w:pPr>
            <w:r>
              <w:rPr>
                <w:rFonts w:ascii="宋体" w:hAnsi="宋体" w:eastAsia="宋体"/>
                <w:sz w:val="24"/>
              </w:rPr>
              <w:t>项目支出绩效自评表</w:t>
            </w:r>
          </w:p>
        </w:tc>
      </w:tr>
      <w:tr w14:paraId="23CF12AF">
        <w:tblPrEx>
          <w:tblCellMar>
            <w:top w:w="0" w:type="dxa"/>
            <w:left w:w="108" w:type="dxa"/>
            <w:bottom w:w="0" w:type="dxa"/>
            <w:right w:w="108" w:type="dxa"/>
          </w:tblCellMar>
        </w:tblPrEx>
        <w:tc>
          <w:tcPr>
            <w:tcW w:w="8848" w:type="dxa"/>
            <w:gridSpan w:val="14"/>
            <w:vAlign w:val="center"/>
          </w:tcPr>
          <w:p w14:paraId="37F7E39B">
            <w:pPr>
              <w:jc w:val="center"/>
            </w:pPr>
            <w:r>
              <w:rPr>
                <w:rFonts w:ascii="宋体" w:hAnsi="宋体" w:eastAsia="宋体"/>
                <w:sz w:val="24"/>
              </w:rPr>
              <w:t>(2024年度)</w:t>
            </w:r>
          </w:p>
        </w:tc>
      </w:tr>
      <w:tr w14:paraId="0F9728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30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B27D85">
            <w:pPr>
              <w:jc w:val="center"/>
            </w:pPr>
            <w:r>
              <w:rPr>
                <w:rFonts w:ascii="宋体" w:hAnsi="宋体" w:eastAsia="宋体"/>
                <w:sz w:val="16"/>
              </w:rPr>
              <w:t>2023年州属国有企业审计费</w:t>
            </w:r>
          </w:p>
        </w:tc>
      </w:tr>
      <w:tr w14:paraId="36A095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AF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803B58">
            <w:pPr>
              <w:jc w:val="center"/>
            </w:pPr>
            <w:r>
              <w:rPr>
                <w:rFonts w:ascii="宋体" w:hAnsi="宋体" w:eastAsia="宋体"/>
                <w:sz w:val="16"/>
              </w:rPr>
              <w:t>克孜勒苏柯尔克孜自治州人民政府国有资产监督管理委员会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EC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F003A6">
            <w:pPr>
              <w:jc w:val="center"/>
            </w:pPr>
            <w:r>
              <w:rPr>
                <w:rFonts w:ascii="宋体" w:hAnsi="宋体" w:eastAsia="宋体"/>
                <w:sz w:val="16"/>
              </w:rPr>
              <w:t>克孜勒苏柯尔克孜自治州人民政府国有资产监督管理委员会</w:t>
            </w:r>
          </w:p>
        </w:tc>
      </w:tr>
      <w:tr w14:paraId="1A59F0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226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4CB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7DC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9A8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86E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75E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649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94BF">
            <w:pPr>
              <w:jc w:val="center"/>
            </w:pPr>
            <w:r>
              <w:rPr>
                <w:rFonts w:ascii="宋体" w:hAnsi="宋体" w:eastAsia="宋体"/>
                <w:sz w:val="16"/>
              </w:rPr>
              <w:t>得分</w:t>
            </w:r>
          </w:p>
        </w:tc>
      </w:tr>
      <w:tr w14:paraId="34B22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6EE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87C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A544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0E2F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388F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2E6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C72C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2A66">
            <w:pPr>
              <w:jc w:val="center"/>
            </w:pPr>
            <w:r>
              <w:rPr>
                <w:rFonts w:ascii="宋体" w:hAnsi="宋体" w:eastAsia="宋体"/>
                <w:sz w:val="16"/>
              </w:rPr>
              <w:t>10.00分</w:t>
            </w:r>
          </w:p>
        </w:tc>
      </w:tr>
      <w:tr w14:paraId="17055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432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C26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15D2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E03C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C651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463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4B6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0B67">
            <w:pPr>
              <w:jc w:val="center"/>
            </w:pPr>
            <w:r>
              <w:rPr>
                <w:rFonts w:ascii="宋体" w:hAnsi="宋体" w:eastAsia="宋体"/>
                <w:sz w:val="16"/>
              </w:rPr>
              <w:t>—</w:t>
            </w:r>
          </w:p>
        </w:tc>
      </w:tr>
      <w:tr w14:paraId="1109E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352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D59F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AC5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65C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67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37D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62A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D077">
            <w:pPr>
              <w:jc w:val="center"/>
            </w:pPr>
            <w:r>
              <w:rPr>
                <w:rFonts w:ascii="宋体" w:hAnsi="宋体" w:eastAsia="宋体"/>
                <w:sz w:val="16"/>
              </w:rPr>
              <w:t>—</w:t>
            </w:r>
          </w:p>
        </w:tc>
      </w:tr>
      <w:tr w14:paraId="4CDB72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0DB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D526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8F29F2">
            <w:pPr>
              <w:jc w:val="center"/>
            </w:pPr>
            <w:r>
              <w:rPr>
                <w:rFonts w:ascii="宋体" w:hAnsi="宋体" w:eastAsia="宋体"/>
                <w:sz w:val="16"/>
              </w:rPr>
              <w:t>实际完成情况</w:t>
            </w:r>
          </w:p>
        </w:tc>
      </w:tr>
      <w:tr w14:paraId="7282F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3E9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D77EF">
            <w:pPr>
              <w:jc w:val="both"/>
            </w:pPr>
            <w:r>
              <w:rPr>
                <w:rFonts w:ascii="宋体" w:hAnsi="宋体" w:eastAsia="宋体"/>
                <w:sz w:val="16"/>
              </w:rPr>
              <w:t>该项目资金共有20万元，主要用于支付第三方审计公司对我州州属11家国有企业财务情况进行审计服务费用。</w:t>
            </w:r>
            <w:r>
              <w:rPr>
                <w:rFonts w:ascii="宋体" w:hAnsi="宋体" w:eastAsia="宋体"/>
                <w:sz w:val="16"/>
              </w:rPr>
              <w:br w:type="textWrapping"/>
            </w:r>
            <w:r>
              <w:rPr>
                <w:rFonts w:ascii="宋体" w:hAnsi="宋体" w:eastAsia="宋体"/>
                <w:sz w:val="16"/>
              </w:rPr>
              <w:t>1.对监管的11家州属国有企业按照企业会计准则编制的2023年财务报表进行审计；</w:t>
            </w:r>
            <w:r>
              <w:rPr>
                <w:rFonts w:ascii="宋体" w:hAnsi="宋体" w:eastAsia="宋体"/>
                <w:sz w:val="16"/>
              </w:rPr>
              <w:br w:type="textWrapping"/>
            </w:r>
            <w:r>
              <w:rPr>
                <w:rFonts w:ascii="宋体" w:hAnsi="宋体" w:eastAsia="宋体"/>
                <w:sz w:val="16"/>
              </w:rPr>
              <w:t>2.根据审计意见提高企业财务管理水平；</w:t>
            </w:r>
            <w:r>
              <w:rPr>
                <w:rFonts w:ascii="宋体" w:hAnsi="宋体" w:eastAsia="宋体"/>
                <w:sz w:val="16"/>
              </w:rPr>
              <w:br w:type="textWrapping"/>
            </w:r>
            <w:r>
              <w:rPr>
                <w:rFonts w:ascii="宋体" w:hAnsi="宋体" w:eastAsia="宋体"/>
                <w:sz w:val="16"/>
              </w:rPr>
              <w:t>3.提高州属企业财务管理水平。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4BFC46">
            <w:pPr>
              <w:jc w:val="both"/>
            </w:pPr>
            <w:r>
              <w:rPr>
                <w:rFonts w:ascii="宋体" w:hAnsi="宋体" w:eastAsia="宋体"/>
                <w:sz w:val="16"/>
              </w:rPr>
              <w:t>截至2024年12月31日，已完成：州属11家一级企业及8家二级企业年度财务审计，通过审计达到提高州属企业财务管理水平。</w:t>
            </w:r>
          </w:p>
        </w:tc>
      </w:tr>
      <w:tr w14:paraId="5DA1A9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5627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92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B8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35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86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87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4B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32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EC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D4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D7F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B5C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09AA3">
            <w:pPr>
              <w:jc w:val="center"/>
            </w:pPr>
            <w:r>
              <w:rPr>
                <w:rFonts w:ascii="宋体" w:hAnsi="宋体" w:eastAsia="宋体"/>
                <w:sz w:val="16"/>
              </w:rPr>
              <w:t>偏差原因分析及改进措施</w:t>
            </w:r>
          </w:p>
        </w:tc>
      </w:tr>
      <w:tr w14:paraId="3E868B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DA2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746F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C3E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D088">
            <w:pPr>
              <w:jc w:val="center"/>
            </w:pPr>
            <w:r>
              <w:rPr>
                <w:rFonts w:ascii="宋体" w:hAnsi="宋体" w:eastAsia="宋体"/>
                <w:sz w:val="16"/>
              </w:rPr>
              <w:t>需要做审计的一级企业（家）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4CD8">
            <w:pPr>
              <w:jc w:val="center"/>
            </w:pPr>
            <w:r>
              <w:rPr>
                <w:rFonts w:ascii="宋体" w:hAnsi="宋体" w:eastAsia="宋体"/>
                <w:sz w:val="16"/>
              </w:rPr>
              <w:t>=11家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E5B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D8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05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C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07F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3A01">
            <w:pPr>
              <w:jc w:val="center"/>
            </w:pPr>
            <w:r>
              <w:rPr>
                <w:rFonts w:ascii="宋体" w:hAnsi="宋体" w:eastAsia="宋体"/>
                <w:sz w:val="16"/>
              </w:rPr>
              <w:t>=11家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2C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B879B">
            <w:pPr>
              <w:jc w:val="center"/>
            </w:pPr>
          </w:p>
        </w:tc>
      </w:tr>
      <w:tr w14:paraId="463A5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60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1D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A29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274E">
            <w:pPr>
              <w:jc w:val="center"/>
            </w:pPr>
            <w:r>
              <w:rPr>
                <w:rFonts w:ascii="宋体" w:hAnsi="宋体" w:eastAsia="宋体"/>
                <w:sz w:val="16"/>
              </w:rPr>
              <w:t>需要做审计的二级企业（家）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F814">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541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BC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54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F7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C2F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F96D">
            <w:pPr>
              <w:jc w:val="center"/>
            </w:pPr>
            <w:r>
              <w:rPr>
                <w:rFonts w:ascii="宋体" w:hAnsi="宋体" w:eastAsia="宋体"/>
                <w:sz w:val="16"/>
              </w:rPr>
              <w:t>=8家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77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E242D">
            <w:pPr>
              <w:jc w:val="center"/>
            </w:pPr>
          </w:p>
        </w:tc>
      </w:tr>
      <w:tr w14:paraId="4CB70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A8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AD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7A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B72F">
            <w:pPr>
              <w:jc w:val="center"/>
            </w:pPr>
            <w:r>
              <w:rPr>
                <w:rFonts w:ascii="宋体" w:hAnsi="宋体" w:eastAsia="宋体"/>
                <w:sz w:val="16"/>
              </w:rPr>
              <w:t>确保审计真实性、合法性（%）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F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3DD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0C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26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68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B3C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98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F9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1316D">
            <w:pPr>
              <w:jc w:val="center"/>
            </w:pPr>
          </w:p>
        </w:tc>
      </w:tr>
      <w:tr w14:paraId="0ACE2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F1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413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5E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EFC6">
            <w:pPr>
              <w:jc w:val="center"/>
            </w:pPr>
            <w:r>
              <w:rPr>
                <w:rFonts w:ascii="宋体" w:hAnsi="宋体" w:eastAsia="宋体"/>
                <w:sz w:val="16"/>
              </w:rPr>
              <w:t>完成审计时间（时间）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6CAE">
            <w:pPr>
              <w:jc w:val="center"/>
            </w:pPr>
            <w:r>
              <w:rPr>
                <w:rFonts w:ascii="宋体" w:hAnsi="宋体" w:eastAsia="宋体"/>
                <w:sz w:val="16"/>
              </w:rPr>
              <w:t>2024年3月31日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636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6C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30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02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706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FCA7">
            <w:pPr>
              <w:jc w:val="center"/>
            </w:pPr>
            <w:r>
              <w:rPr>
                <w:rFonts w:ascii="宋体" w:hAnsi="宋体" w:eastAsia="宋体"/>
                <w:sz w:val="16"/>
              </w:rPr>
              <w:t>=2024年3月31日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2F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DF201">
            <w:pPr>
              <w:jc w:val="center"/>
            </w:pPr>
          </w:p>
        </w:tc>
      </w:tr>
      <w:tr w14:paraId="4327C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44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F12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6E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1743">
            <w:pPr>
              <w:jc w:val="center"/>
            </w:pPr>
            <w:r>
              <w:rPr>
                <w:rFonts w:ascii="宋体" w:hAnsi="宋体" w:eastAsia="宋体"/>
                <w:sz w:val="16"/>
              </w:rPr>
              <w:t>所需费用（万元）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AA93">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6D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0C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27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EC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C1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6356">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3D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0D50C">
            <w:pPr>
              <w:jc w:val="center"/>
            </w:pPr>
          </w:p>
        </w:tc>
      </w:tr>
      <w:tr w14:paraId="0EC13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79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0B1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EF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F91F">
            <w:pPr>
              <w:jc w:val="center"/>
            </w:pPr>
            <w:r>
              <w:rPr>
                <w:rFonts w:ascii="宋体" w:hAnsi="宋体" w:eastAsia="宋体"/>
                <w:sz w:val="16"/>
              </w:rPr>
              <w:t>确保国有资产保值增值（%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EE7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DB6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2C5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E8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4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243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34A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29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65387">
            <w:pPr>
              <w:jc w:val="center"/>
            </w:pPr>
          </w:p>
        </w:tc>
      </w:tr>
      <w:tr w14:paraId="7CBBC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37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67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64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C64C">
            <w:pPr>
              <w:jc w:val="center"/>
            </w:pPr>
            <w:r>
              <w:rPr>
                <w:rFonts w:ascii="宋体" w:hAnsi="宋体" w:eastAsia="宋体"/>
                <w:sz w:val="16"/>
              </w:rPr>
              <w:t>企业对审计机构工作满意度（%）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FF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D54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C8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7B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C53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A9A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41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AF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1D9B7">
            <w:pPr>
              <w:jc w:val="center"/>
            </w:pPr>
          </w:p>
        </w:tc>
      </w:tr>
      <w:tr w14:paraId="67EDCA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C58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24B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048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3CB966">
            <w:pPr>
              <w:jc w:val="center"/>
            </w:pPr>
            <w:r>
              <w:rPr>
                <w:rFonts w:ascii="宋体" w:hAnsi="宋体" w:eastAsia="宋体"/>
                <w:sz w:val="16"/>
              </w:rPr>
              <w:t>100分</w:t>
            </w:r>
          </w:p>
        </w:tc>
      </w:tr>
    </w:tbl>
    <w:p w14:paraId="17F2C8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EE7069">
        <w:tblPrEx>
          <w:tblCellMar>
            <w:top w:w="0" w:type="dxa"/>
            <w:left w:w="108" w:type="dxa"/>
            <w:bottom w:w="0" w:type="dxa"/>
            <w:right w:w="108" w:type="dxa"/>
          </w:tblCellMar>
        </w:tblPrEx>
        <w:tc>
          <w:tcPr>
            <w:tcW w:w="8848" w:type="dxa"/>
            <w:gridSpan w:val="14"/>
            <w:vAlign w:val="center"/>
          </w:tcPr>
          <w:p w14:paraId="46AEF838">
            <w:pPr>
              <w:jc w:val="center"/>
            </w:pPr>
            <w:r>
              <w:rPr>
                <w:rFonts w:ascii="宋体" w:hAnsi="宋体" w:eastAsia="宋体"/>
                <w:sz w:val="24"/>
              </w:rPr>
              <w:t>项目支出绩效自评表</w:t>
            </w:r>
          </w:p>
        </w:tc>
      </w:tr>
      <w:tr w14:paraId="79F30587">
        <w:tblPrEx>
          <w:tblCellMar>
            <w:top w:w="0" w:type="dxa"/>
            <w:left w:w="108" w:type="dxa"/>
            <w:bottom w:w="0" w:type="dxa"/>
            <w:right w:w="108" w:type="dxa"/>
          </w:tblCellMar>
        </w:tblPrEx>
        <w:tc>
          <w:tcPr>
            <w:tcW w:w="8848" w:type="dxa"/>
            <w:gridSpan w:val="14"/>
            <w:vAlign w:val="center"/>
          </w:tcPr>
          <w:p w14:paraId="210B65FE">
            <w:pPr>
              <w:jc w:val="center"/>
            </w:pPr>
            <w:r>
              <w:rPr>
                <w:rFonts w:ascii="宋体" w:hAnsi="宋体" w:eastAsia="宋体"/>
                <w:sz w:val="24"/>
              </w:rPr>
              <w:t>(2024年度)</w:t>
            </w:r>
          </w:p>
        </w:tc>
      </w:tr>
      <w:tr w14:paraId="07B054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A9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CF8F2E">
            <w:pPr>
              <w:jc w:val="center"/>
            </w:pPr>
            <w:r>
              <w:rPr>
                <w:rFonts w:ascii="宋体" w:hAnsi="宋体" w:eastAsia="宋体"/>
                <w:sz w:val="16"/>
              </w:rPr>
              <w:t>2023年自治州“五个好”党支部表彰经费</w:t>
            </w:r>
          </w:p>
        </w:tc>
      </w:tr>
      <w:tr w14:paraId="7F94EA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79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844D35">
            <w:pPr>
              <w:jc w:val="center"/>
            </w:pPr>
            <w:r>
              <w:rPr>
                <w:rFonts w:ascii="宋体" w:hAnsi="宋体" w:eastAsia="宋体"/>
                <w:sz w:val="16"/>
              </w:rPr>
              <w:t>克孜勒苏柯尔克孜自治州人民政府国有资产监督管理委员会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26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4006D8">
            <w:pPr>
              <w:jc w:val="center"/>
            </w:pPr>
            <w:r>
              <w:rPr>
                <w:rFonts w:ascii="宋体" w:hAnsi="宋体" w:eastAsia="宋体"/>
                <w:sz w:val="16"/>
              </w:rPr>
              <w:t>克孜勒苏柯尔克孜自治州人民政府国有资产监督管理委员会</w:t>
            </w:r>
          </w:p>
        </w:tc>
      </w:tr>
      <w:tr w14:paraId="67E0DC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5F3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3E2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9C0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C9CB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57B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DA11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E58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9643">
            <w:pPr>
              <w:jc w:val="center"/>
            </w:pPr>
            <w:r>
              <w:rPr>
                <w:rFonts w:ascii="宋体" w:hAnsi="宋体" w:eastAsia="宋体"/>
                <w:sz w:val="16"/>
              </w:rPr>
              <w:t>得分</w:t>
            </w:r>
          </w:p>
        </w:tc>
      </w:tr>
      <w:tr w14:paraId="62D0CA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455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8D5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7382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2314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ABAF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16B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F681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956E">
            <w:pPr>
              <w:jc w:val="center"/>
            </w:pPr>
            <w:r>
              <w:rPr>
                <w:rFonts w:ascii="宋体" w:hAnsi="宋体" w:eastAsia="宋体"/>
                <w:sz w:val="16"/>
              </w:rPr>
              <w:t>10.00分</w:t>
            </w:r>
          </w:p>
        </w:tc>
      </w:tr>
      <w:tr w14:paraId="052EF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60B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AAB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2F9B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B927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A41B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2C1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019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913B">
            <w:pPr>
              <w:jc w:val="center"/>
            </w:pPr>
            <w:r>
              <w:rPr>
                <w:rFonts w:ascii="宋体" w:hAnsi="宋体" w:eastAsia="宋体"/>
                <w:sz w:val="16"/>
              </w:rPr>
              <w:t>—</w:t>
            </w:r>
          </w:p>
        </w:tc>
      </w:tr>
      <w:tr w14:paraId="3D782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73C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854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BD8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2CD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D9D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7E8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E7C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AA271">
            <w:pPr>
              <w:jc w:val="center"/>
            </w:pPr>
            <w:r>
              <w:rPr>
                <w:rFonts w:ascii="宋体" w:hAnsi="宋体" w:eastAsia="宋体"/>
                <w:sz w:val="16"/>
              </w:rPr>
              <w:t>—</w:t>
            </w:r>
          </w:p>
        </w:tc>
      </w:tr>
      <w:tr w14:paraId="1A6497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A178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2D603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EE3F55">
            <w:pPr>
              <w:jc w:val="center"/>
            </w:pPr>
            <w:r>
              <w:rPr>
                <w:rFonts w:ascii="宋体" w:hAnsi="宋体" w:eastAsia="宋体"/>
                <w:sz w:val="16"/>
              </w:rPr>
              <w:t>实际完成情况</w:t>
            </w:r>
          </w:p>
        </w:tc>
      </w:tr>
      <w:tr w14:paraId="53ADE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C87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034D1">
            <w:pPr>
              <w:jc w:val="both"/>
            </w:pPr>
            <w:r>
              <w:rPr>
                <w:rFonts w:ascii="宋体" w:hAnsi="宋体" w:eastAsia="宋体"/>
                <w:sz w:val="16"/>
              </w:rPr>
              <w:t>根据《关于下拨2023年自治州“五个好”党支部表彰经费的通知》（克财行（2024）39号）文件精神表彰“五个好”标准化规范化基层党支部1个，该党支部始终坚持把</w:t>
            </w:r>
            <w:r>
              <w:rPr>
                <w:rFonts w:hint="eastAsia" w:ascii="宋体" w:hAnsi="宋体"/>
                <w:sz w:val="16"/>
                <w:lang w:eastAsia="zh-CN"/>
              </w:rPr>
              <w:t>政治</w:t>
            </w:r>
            <w:r>
              <w:rPr>
                <w:rFonts w:ascii="宋体" w:hAnsi="宋体" w:eastAsia="宋体"/>
                <w:sz w:val="16"/>
              </w:rPr>
              <w:t>建设摆在首位，组织党员深入学习贯彻习近平新时代中国特色社会主义思想，政治立场坚定，党员政治素养高。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860773">
            <w:pPr>
              <w:jc w:val="both"/>
            </w:pPr>
            <w:r>
              <w:rPr>
                <w:rFonts w:ascii="宋体" w:hAnsi="宋体" w:eastAsia="宋体"/>
                <w:sz w:val="16"/>
              </w:rPr>
              <w:t>截至2024年12月31日，已完成：表彰“五个好”标准化规范化基层党支部1个，该党支部始终坚持把</w:t>
            </w:r>
            <w:r>
              <w:rPr>
                <w:rFonts w:hint="eastAsia" w:ascii="宋体" w:hAnsi="宋体"/>
                <w:sz w:val="16"/>
                <w:lang w:eastAsia="zh-CN"/>
              </w:rPr>
              <w:t>政治</w:t>
            </w:r>
            <w:r>
              <w:rPr>
                <w:rFonts w:ascii="宋体" w:hAnsi="宋体" w:eastAsia="宋体"/>
                <w:sz w:val="16"/>
              </w:rPr>
              <w:t>建设摆在首位，组织党员深入学习贯彻习近平新时代中国特色社会主义思想，政治立场坚定，党员政治素养高。</w:t>
            </w:r>
          </w:p>
        </w:tc>
      </w:tr>
      <w:tr w14:paraId="1BAAFE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5D5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FC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65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C5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46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FD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42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65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F9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85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581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134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1D4B0">
            <w:pPr>
              <w:jc w:val="center"/>
            </w:pPr>
            <w:r>
              <w:rPr>
                <w:rFonts w:ascii="宋体" w:hAnsi="宋体" w:eastAsia="宋体"/>
                <w:sz w:val="16"/>
              </w:rPr>
              <w:t>偏差原因分析及改进措施</w:t>
            </w:r>
          </w:p>
        </w:tc>
      </w:tr>
      <w:tr w14:paraId="3AD52D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A36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C5F7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9F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194D">
            <w:pPr>
              <w:jc w:val="center"/>
            </w:pPr>
            <w:r>
              <w:rPr>
                <w:rFonts w:ascii="宋体" w:hAnsi="宋体" w:eastAsia="宋体"/>
                <w:sz w:val="16"/>
              </w:rPr>
              <w:t>表彰“五个好”党支部数量（个）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65F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1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81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08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72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DF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1CE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84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56D2C">
            <w:pPr>
              <w:jc w:val="center"/>
            </w:pPr>
          </w:p>
        </w:tc>
      </w:tr>
      <w:tr w14:paraId="2935E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364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7B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AE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F6EF">
            <w:pPr>
              <w:jc w:val="center"/>
            </w:pPr>
            <w:r>
              <w:rPr>
                <w:rFonts w:ascii="宋体" w:hAnsi="宋体" w:eastAsia="宋体"/>
                <w:sz w:val="16"/>
              </w:rPr>
              <w:t>受到表彰的企业党建工作质量提高率（%）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D3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C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79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92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3D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86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5EC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62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AFDAE">
            <w:pPr>
              <w:jc w:val="center"/>
            </w:pPr>
          </w:p>
        </w:tc>
      </w:tr>
      <w:tr w14:paraId="5213D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92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15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AE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C655">
            <w:pPr>
              <w:jc w:val="center"/>
            </w:pPr>
            <w:r>
              <w:rPr>
                <w:rFonts w:ascii="宋体" w:hAnsi="宋体" w:eastAsia="宋体"/>
                <w:sz w:val="16"/>
              </w:rPr>
              <w:t>表彰经费拨付及时率（%）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7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6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9B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D9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DC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AE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2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94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03FBF">
            <w:pPr>
              <w:jc w:val="center"/>
            </w:pPr>
          </w:p>
        </w:tc>
      </w:tr>
      <w:tr w14:paraId="4B07B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0FE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711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153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AB813">
            <w:pPr>
              <w:jc w:val="center"/>
            </w:pPr>
            <w:r>
              <w:rPr>
                <w:rFonts w:ascii="宋体" w:hAnsi="宋体" w:eastAsia="宋体"/>
                <w:sz w:val="16"/>
              </w:rPr>
              <w:t>表彰经费（万元）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0223">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B3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9D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29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83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D0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CC71">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61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B65CD">
            <w:pPr>
              <w:jc w:val="center"/>
            </w:pPr>
          </w:p>
        </w:tc>
      </w:tr>
      <w:tr w14:paraId="33858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03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64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C3B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6B6F">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B98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08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65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77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0C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33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FD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65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B1AA7">
            <w:pPr>
              <w:jc w:val="center"/>
            </w:pPr>
          </w:p>
        </w:tc>
      </w:tr>
      <w:tr w14:paraId="37819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E01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23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D8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56D9">
            <w:pPr>
              <w:jc w:val="center"/>
            </w:pPr>
            <w:r>
              <w:rPr>
                <w:rFonts w:ascii="宋体" w:hAnsi="宋体" w:eastAsia="宋体"/>
                <w:sz w:val="16"/>
              </w:rPr>
              <w:t>为企业高质量发展提供了坚强的党组织保障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B67D">
            <w:pPr>
              <w:jc w:val="center"/>
            </w:pPr>
            <w:r>
              <w:rPr>
                <w:rFonts w:ascii="宋体" w:hAnsi="宋体" w:eastAsia="宋体"/>
                <w:sz w:val="16"/>
              </w:rPr>
              <w:t>作用发挥明显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1D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4A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B2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F0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44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0E34">
            <w:pPr>
              <w:jc w:val="center"/>
            </w:pPr>
            <w:r>
              <w:rPr>
                <w:rFonts w:ascii="宋体" w:hAnsi="宋体" w:eastAsia="宋体"/>
                <w:sz w:val="16"/>
              </w:rPr>
              <w:t>作用发挥明显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2D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4B1E6">
            <w:pPr>
              <w:jc w:val="center"/>
            </w:pPr>
          </w:p>
        </w:tc>
      </w:tr>
      <w:tr w14:paraId="7A493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2C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FB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E6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8A1F">
            <w:pPr>
              <w:jc w:val="center"/>
            </w:pPr>
            <w:r>
              <w:rPr>
                <w:rFonts w:ascii="宋体" w:hAnsi="宋体" w:eastAsia="宋体"/>
                <w:sz w:val="16"/>
              </w:rPr>
              <w:t>受表彰企业满意度（%）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C5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6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54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09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6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F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B5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99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5A810">
            <w:pPr>
              <w:jc w:val="center"/>
            </w:pPr>
          </w:p>
        </w:tc>
      </w:tr>
      <w:tr w14:paraId="539C55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F90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781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9F3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E0D7F7">
            <w:pPr>
              <w:jc w:val="center"/>
            </w:pPr>
            <w:r>
              <w:rPr>
                <w:rFonts w:ascii="宋体" w:hAnsi="宋体" w:eastAsia="宋体"/>
                <w:sz w:val="16"/>
              </w:rPr>
              <w:t>100分</w:t>
            </w:r>
          </w:p>
        </w:tc>
      </w:tr>
    </w:tbl>
    <w:p w14:paraId="6A6692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513E119">
        <w:tc>
          <w:tcPr>
            <w:tcW w:w="8848" w:type="dxa"/>
            <w:gridSpan w:val="14"/>
            <w:vAlign w:val="center"/>
          </w:tcPr>
          <w:p w14:paraId="34C58436">
            <w:pPr>
              <w:jc w:val="center"/>
            </w:pPr>
            <w:r>
              <w:rPr>
                <w:rFonts w:ascii="宋体" w:hAnsi="宋体" w:eastAsia="宋体"/>
                <w:sz w:val="24"/>
              </w:rPr>
              <w:t>项目支出绩效自评表</w:t>
            </w:r>
          </w:p>
        </w:tc>
      </w:tr>
      <w:tr w14:paraId="4917D13A">
        <w:tblPrEx>
          <w:tblCellMar>
            <w:top w:w="0" w:type="dxa"/>
            <w:left w:w="108" w:type="dxa"/>
            <w:bottom w:w="0" w:type="dxa"/>
            <w:right w:w="108" w:type="dxa"/>
          </w:tblCellMar>
        </w:tblPrEx>
        <w:tc>
          <w:tcPr>
            <w:tcW w:w="8848" w:type="dxa"/>
            <w:gridSpan w:val="14"/>
            <w:vAlign w:val="center"/>
          </w:tcPr>
          <w:p w14:paraId="53BED520">
            <w:pPr>
              <w:jc w:val="center"/>
            </w:pPr>
            <w:r>
              <w:rPr>
                <w:rFonts w:ascii="宋体" w:hAnsi="宋体" w:eastAsia="宋体"/>
                <w:sz w:val="24"/>
              </w:rPr>
              <w:t>(2024年度)</w:t>
            </w:r>
          </w:p>
        </w:tc>
      </w:tr>
      <w:tr w14:paraId="4D8329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60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F392A1">
            <w:pPr>
              <w:jc w:val="center"/>
            </w:pPr>
            <w:r>
              <w:rPr>
                <w:rFonts w:ascii="宋体" w:hAnsi="宋体" w:eastAsia="宋体"/>
                <w:sz w:val="16"/>
              </w:rPr>
              <w:t>2024年度国有资产监督管理业务经费项目</w:t>
            </w:r>
          </w:p>
        </w:tc>
      </w:tr>
      <w:tr w14:paraId="76967C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E6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F1D8B">
            <w:pPr>
              <w:jc w:val="center"/>
            </w:pPr>
            <w:r>
              <w:rPr>
                <w:rFonts w:ascii="宋体" w:hAnsi="宋体" w:eastAsia="宋体"/>
                <w:sz w:val="16"/>
              </w:rPr>
              <w:t>克孜勒苏柯尔克孜自治州人民政府国有资产监督管理委员会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63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A67D0D">
            <w:pPr>
              <w:jc w:val="center"/>
            </w:pPr>
            <w:r>
              <w:rPr>
                <w:rFonts w:ascii="宋体" w:hAnsi="宋体" w:eastAsia="宋体"/>
                <w:sz w:val="16"/>
              </w:rPr>
              <w:t>克孜勒苏柯尔克孜自治州人民政府国有资产监督管理委员会</w:t>
            </w:r>
          </w:p>
        </w:tc>
      </w:tr>
      <w:tr w14:paraId="3F4DDA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6A9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F18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CD3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756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785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715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E4F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9C87">
            <w:pPr>
              <w:jc w:val="center"/>
            </w:pPr>
            <w:r>
              <w:rPr>
                <w:rFonts w:ascii="宋体" w:hAnsi="宋体" w:eastAsia="宋体"/>
                <w:sz w:val="16"/>
              </w:rPr>
              <w:t>得分</w:t>
            </w:r>
          </w:p>
        </w:tc>
      </w:tr>
      <w:tr w14:paraId="7F022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5DD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2BB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1F66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D4C4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DFB53">
            <w:pPr>
              <w:jc w:val="center"/>
            </w:pPr>
            <w:r>
              <w:rPr>
                <w:rFonts w:ascii="宋体" w:hAnsi="宋体" w:eastAsia="宋体"/>
                <w:sz w:val="16"/>
              </w:rPr>
              <w:t>18.72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451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438A5">
            <w:pPr>
              <w:jc w:val="center"/>
            </w:pPr>
            <w:r>
              <w:rPr>
                <w:rFonts w:ascii="宋体" w:hAnsi="宋体" w:eastAsia="宋体"/>
                <w:sz w:val="16"/>
              </w:rPr>
              <w:t>93.6%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E7D3">
            <w:pPr>
              <w:jc w:val="center"/>
            </w:pPr>
            <w:r>
              <w:rPr>
                <w:rFonts w:ascii="宋体" w:hAnsi="宋体" w:eastAsia="宋体"/>
                <w:sz w:val="16"/>
              </w:rPr>
              <w:t>8.40分</w:t>
            </w:r>
          </w:p>
        </w:tc>
      </w:tr>
      <w:tr w14:paraId="5BB23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DAE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EC2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5C44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C302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9A1DA">
            <w:pPr>
              <w:jc w:val="center"/>
            </w:pPr>
            <w:r>
              <w:rPr>
                <w:rFonts w:ascii="宋体" w:hAnsi="宋体" w:eastAsia="宋体"/>
                <w:sz w:val="16"/>
              </w:rPr>
              <w:t>18.72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EA5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5CF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BB37">
            <w:pPr>
              <w:jc w:val="center"/>
            </w:pPr>
            <w:r>
              <w:rPr>
                <w:rFonts w:ascii="宋体" w:hAnsi="宋体" w:eastAsia="宋体"/>
                <w:sz w:val="16"/>
              </w:rPr>
              <w:t>—</w:t>
            </w:r>
          </w:p>
        </w:tc>
      </w:tr>
      <w:tr w14:paraId="2C0B1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8EF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CA1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502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680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2FE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BAA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73D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1B2E">
            <w:pPr>
              <w:jc w:val="center"/>
            </w:pPr>
            <w:r>
              <w:rPr>
                <w:rFonts w:ascii="宋体" w:hAnsi="宋体" w:eastAsia="宋体"/>
                <w:sz w:val="16"/>
              </w:rPr>
              <w:t>—</w:t>
            </w:r>
          </w:p>
        </w:tc>
      </w:tr>
      <w:tr w14:paraId="194CFA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2D9F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F586A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9AFE99">
            <w:pPr>
              <w:jc w:val="center"/>
            </w:pPr>
            <w:r>
              <w:rPr>
                <w:rFonts w:ascii="宋体" w:hAnsi="宋体" w:eastAsia="宋体"/>
                <w:sz w:val="16"/>
              </w:rPr>
              <w:t>实际完成情况</w:t>
            </w:r>
          </w:p>
        </w:tc>
      </w:tr>
      <w:tr w14:paraId="5B69F0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8A1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91B7D3">
            <w:pPr>
              <w:jc w:val="both"/>
            </w:pPr>
            <w:r>
              <w:rPr>
                <w:rFonts w:ascii="宋体" w:hAnsi="宋体" w:eastAsia="宋体"/>
                <w:sz w:val="16"/>
              </w:rPr>
              <w:t>该项目总投资20万元，其中：财政资金20万元，其他资金0万元，主要用于单位日常开支和国资国企监管工作，有利于国资国企监管工作顺利开展，通过该项目实施达到国资国企监管效果。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4C5E2B">
            <w:pPr>
              <w:jc w:val="both"/>
            </w:pPr>
            <w:r>
              <w:rPr>
                <w:rFonts w:ascii="宋体" w:hAnsi="宋体" w:eastAsia="宋体"/>
                <w:sz w:val="16"/>
              </w:rPr>
              <w:t>截至2024年12月31日，已完成：对监管企业开展各项调研检查4次，收集监管企业投资计划22次，指导和监督县（市）国有资产管理工作4次，收集、整理监管企业财务快报、决算报表、预算报表、国有资产统计表数量44项，有利于国资国企监管工作顺利开展，通过该项目实施达到国资国企监管效果。</w:t>
            </w:r>
          </w:p>
        </w:tc>
      </w:tr>
      <w:tr w14:paraId="3AE337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5B3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8E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C5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4F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27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C1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54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70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5D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2B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A25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FF1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FA994">
            <w:pPr>
              <w:jc w:val="center"/>
            </w:pPr>
            <w:r>
              <w:rPr>
                <w:rFonts w:ascii="宋体" w:hAnsi="宋体" w:eastAsia="宋体"/>
                <w:sz w:val="16"/>
              </w:rPr>
              <w:t>偏差原因分析及改进措施</w:t>
            </w:r>
          </w:p>
        </w:tc>
      </w:tr>
      <w:tr w14:paraId="5F6A61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934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81E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702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915A">
            <w:pPr>
              <w:jc w:val="center"/>
            </w:pPr>
            <w:r>
              <w:rPr>
                <w:rFonts w:ascii="宋体" w:hAnsi="宋体" w:eastAsia="宋体"/>
                <w:sz w:val="16"/>
              </w:rPr>
              <w:t>对监管企业开展各项调研检查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95A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8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8D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4B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AE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32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866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CB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95288">
            <w:pPr>
              <w:jc w:val="center"/>
            </w:pPr>
          </w:p>
        </w:tc>
      </w:tr>
      <w:tr w14:paraId="0FA9E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54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A4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BAC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8D69">
            <w:pPr>
              <w:jc w:val="center"/>
            </w:pPr>
            <w:r>
              <w:rPr>
                <w:rFonts w:ascii="宋体" w:hAnsi="宋体" w:eastAsia="宋体"/>
                <w:sz w:val="16"/>
              </w:rPr>
              <w:t>收集监管企业投资计划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DDAD">
            <w:pPr>
              <w:jc w:val="center"/>
            </w:pPr>
            <w:r>
              <w:rPr>
                <w:rFonts w:ascii="宋体" w:hAnsi="宋体" w:eastAsia="宋体"/>
                <w:sz w:val="16"/>
              </w:rPr>
              <w:t>&gt;=11次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C3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DC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FD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B2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A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EAA8">
            <w:pPr>
              <w:jc w:val="center"/>
            </w:pPr>
            <w:r>
              <w:rPr>
                <w:rFonts w:ascii="宋体" w:hAnsi="宋体" w:eastAsia="宋体"/>
                <w:sz w:val="16"/>
              </w:rPr>
              <w:t>=22次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B2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B2042">
            <w:pPr>
              <w:jc w:val="center"/>
            </w:pPr>
          </w:p>
        </w:tc>
      </w:tr>
      <w:tr w14:paraId="65B17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20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1A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C11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CF14">
            <w:pPr>
              <w:jc w:val="center"/>
            </w:pPr>
            <w:r>
              <w:rPr>
                <w:rFonts w:ascii="宋体" w:hAnsi="宋体" w:eastAsia="宋体"/>
                <w:sz w:val="16"/>
              </w:rPr>
              <w:t>指导和监督县（市）国有资产管理工作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E15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11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F6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12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52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0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9DD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8E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81678">
            <w:pPr>
              <w:jc w:val="center"/>
            </w:pPr>
          </w:p>
        </w:tc>
      </w:tr>
      <w:tr w14:paraId="0FDFA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12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9C8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6F1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3BD2">
            <w:pPr>
              <w:jc w:val="center"/>
            </w:pPr>
            <w:r>
              <w:rPr>
                <w:rFonts w:ascii="宋体" w:hAnsi="宋体" w:eastAsia="宋体"/>
                <w:sz w:val="16"/>
              </w:rPr>
              <w:t>收集、整理监管企业财务快报、决算报表、预算报表、国有资产统计表数量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83F9">
            <w:pPr>
              <w:jc w:val="center"/>
            </w:pPr>
            <w:r>
              <w:rPr>
                <w:rFonts w:ascii="宋体" w:hAnsi="宋体" w:eastAsia="宋体"/>
                <w:sz w:val="16"/>
              </w:rPr>
              <w:t>&gt;=44项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B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9D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7E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EE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EE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95D3">
            <w:pPr>
              <w:jc w:val="center"/>
            </w:pPr>
            <w:r>
              <w:rPr>
                <w:rFonts w:ascii="宋体" w:hAnsi="宋体" w:eastAsia="宋体"/>
                <w:sz w:val="16"/>
              </w:rPr>
              <w:t>=44项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9A5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5FBE4">
            <w:pPr>
              <w:jc w:val="center"/>
            </w:pPr>
          </w:p>
        </w:tc>
      </w:tr>
      <w:tr w14:paraId="23A0C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51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764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FD6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1CB4">
            <w:pPr>
              <w:jc w:val="center"/>
            </w:pPr>
            <w:r>
              <w:rPr>
                <w:rFonts w:ascii="宋体" w:hAnsi="宋体" w:eastAsia="宋体"/>
                <w:sz w:val="16"/>
              </w:rPr>
              <w:t>对监管企业检查抽检覆盖率（%）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C85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F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A6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D7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0C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3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3BC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B8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1886F">
            <w:pPr>
              <w:jc w:val="center"/>
            </w:pPr>
          </w:p>
        </w:tc>
      </w:tr>
      <w:tr w14:paraId="50356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465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F2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32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61FF">
            <w:pPr>
              <w:jc w:val="center"/>
            </w:pPr>
            <w:r>
              <w:rPr>
                <w:rFonts w:ascii="宋体" w:hAnsi="宋体" w:eastAsia="宋体"/>
                <w:sz w:val="16"/>
              </w:rPr>
              <w:t>对监管企业财务报表进行财务审计率（%）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94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CE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72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407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DE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3D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69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C2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CEA36">
            <w:pPr>
              <w:jc w:val="center"/>
            </w:pPr>
          </w:p>
        </w:tc>
      </w:tr>
      <w:tr w14:paraId="2EEE9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E1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03A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60D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284A">
            <w:pPr>
              <w:jc w:val="center"/>
            </w:pPr>
            <w:r>
              <w:rPr>
                <w:rFonts w:ascii="宋体" w:hAnsi="宋体" w:eastAsia="宋体"/>
                <w:sz w:val="16"/>
              </w:rPr>
              <w:t>各类统计报表收集、整理按期完成率（%）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77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0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B2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B6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D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55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03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6B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0D40D">
            <w:pPr>
              <w:jc w:val="center"/>
            </w:pPr>
          </w:p>
        </w:tc>
      </w:tr>
      <w:tr w14:paraId="62935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F5F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FE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30D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D767">
            <w:pPr>
              <w:jc w:val="center"/>
            </w:pPr>
            <w:r>
              <w:rPr>
                <w:rFonts w:ascii="宋体" w:hAnsi="宋体" w:eastAsia="宋体"/>
                <w:sz w:val="16"/>
              </w:rPr>
              <w:t>各类督导检查项按期完成率（%）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D96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8C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E9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06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92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23B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9D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5D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FEFE3">
            <w:pPr>
              <w:jc w:val="center"/>
            </w:pPr>
          </w:p>
        </w:tc>
      </w:tr>
      <w:tr w14:paraId="1C4AE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8CD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709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87C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E08B">
            <w:pPr>
              <w:jc w:val="center"/>
            </w:pPr>
            <w:r>
              <w:rPr>
                <w:rFonts w:ascii="宋体" w:hAnsi="宋体" w:eastAsia="宋体"/>
                <w:sz w:val="16"/>
              </w:rPr>
              <w:t>监督检查监管企业经费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72F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A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7C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57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01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64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5727">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26D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D2A32">
            <w:pPr>
              <w:jc w:val="center"/>
            </w:pPr>
          </w:p>
        </w:tc>
      </w:tr>
      <w:tr w14:paraId="53622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B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45C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9F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F159">
            <w:pPr>
              <w:jc w:val="center"/>
            </w:pPr>
            <w:r>
              <w:rPr>
                <w:rFonts w:ascii="宋体" w:hAnsi="宋体" w:eastAsia="宋体"/>
                <w:sz w:val="16"/>
              </w:rPr>
              <w:t>审核所监管企业的发展战略和规划、重大项目投资、重大资产处置等事项经费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C2C0">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DE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92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C3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1C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A1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19C2">
            <w:pPr>
              <w:jc w:val="center"/>
            </w:pPr>
            <w:r>
              <w:rPr>
                <w:rFonts w:ascii="宋体" w:hAnsi="宋体" w:eastAsia="宋体"/>
                <w:sz w:val="16"/>
              </w:rPr>
              <w:t>=6.72万元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AE2F">
            <w:pPr>
              <w:jc w:val="center"/>
            </w:pPr>
            <w:r>
              <w:rPr>
                <w:rFonts w:ascii="宋体" w:hAnsi="宋体" w:eastAsia="宋体"/>
                <w:sz w:val="16"/>
              </w:rPr>
              <w:t>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469FC">
            <w:pPr>
              <w:jc w:val="center"/>
            </w:pPr>
            <w:r>
              <w:rPr>
                <w:rFonts w:ascii="宋体" w:hAnsi="宋体" w:eastAsia="宋体"/>
                <w:sz w:val="16"/>
              </w:rPr>
              <w:t>偏差原因：因本项目执行过程中金额有变动，与预算金额有差别。改进措施：改善预算支出，严格按照预算金额执行。</w:t>
            </w:r>
          </w:p>
        </w:tc>
      </w:tr>
      <w:tr w14:paraId="664E9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35A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AF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1B7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B71E">
            <w:pPr>
              <w:jc w:val="center"/>
            </w:pPr>
            <w:r>
              <w:rPr>
                <w:rFonts w:ascii="宋体" w:hAnsi="宋体" w:eastAsia="宋体"/>
                <w:sz w:val="16"/>
              </w:rPr>
              <w:t>起草国有资产管理的地方性法规和政府规章草案、指定有关制度经费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6573">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FE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15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B3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B0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3B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7769">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65B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78C3C">
            <w:pPr>
              <w:jc w:val="center"/>
            </w:pPr>
          </w:p>
        </w:tc>
      </w:tr>
      <w:tr w14:paraId="1455A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A5A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7D6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AC6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36BA">
            <w:pPr>
              <w:jc w:val="center"/>
            </w:pPr>
            <w:r>
              <w:rPr>
                <w:rFonts w:ascii="宋体" w:hAnsi="宋体" w:eastAsia="宋体"/>
                <w:sz w:val="16"/>
              </w:rPr>
              <w:t>监管企业国有资本保值增值率（%）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B40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B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B9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1B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3E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C8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76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5B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7736A">
            <w:pPr>
              <w:jc w:val="center"/>
            </w:pPr>
          </w:p>
        </w:tc>
      </w:tr>
      <w:tr w14:paraId="0AE59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0A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8A9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23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1DDD">
            <w:pPr>
              <w:jc w:val="center"/>
            </w:pPr>
            <w:r>
              <w:rPr>
                <w:rFonts w:ascii="宋体" w:hAnsi="宋体" w:eastAsia="宋体"/>
                <w:sz w:val="16"/>
              </w:rPr>
              <w:t>监督检查问题整改落实率（%）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45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8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1F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99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A0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95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176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31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0138C">
            <w:pPr>
              <w:jc w:val="center"/>
            </w:pPr>
          </w:p>
        </w:tc>
      </w:tr>
      <w:tr w14:paraId="01DB5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555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18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B9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6824">
            <w:pPr>
              <w:jc w:val="center"/>
            </w:pPr>
            <w:r>
              <w:rPr>
                <w:rFonts w:ascii="宋体" w:hAnsi="宋体" w:eastAsia="宋体"/>
                <w:sz w:val="16"/>
              </w:rPr>
              <w:t>监管企业满意度(%)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C3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F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25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DF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DA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9A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A6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17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5F44A">
            <w:pPr>
              <w:jc w:val="center"/>
            </w:pPr>
          </w:p>
        </w:tc>
      </w:tr>
      <w:tr w14:paraId="2031BA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325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40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45D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47AC87">
            <w:pPr>
              <w:jc w:val="center"/>
            </w:pPr>
            <w:r>
              <w:rPr>
                <w:rFonts w:ascii="宋体" w:hAnsi="宋体" w:eastAsia="宋体"/>
                <w:sz w:val="16"/>
              </w:rPr>
              <w:t>96分</w:t>
            </w:r>
          </w:p>
        </w:tc>
      </w:tr>
    </w:tbl>
    <w:p w14:paraId="3D1E2F4F">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646D2BF9">
        <w:tblPrEx>
          <w:tblCellMar>
            <w:top w:w="0" w:type="dxa"/>
            <w:left w:w="108" w:type="dxa"/>
            <w:bottom w:w="0" w:type="dxa"/>
            <w:right w:w="108" w:type="dxa"/>
          </w:tblCellMar>
        </w:tblPrEx>
        <w:tc>
          <w:tcPr>
            <w:tcW w:w="8848" w:type="dxa"/>
            <w:gridSpan w:val="14"/>
            <w:vAlign w:val="center"/>
          </w:tcPr>
          <w:p w14:paraId="338232E6">
            <w:pPr>
              <w:jc w:val="center"/>
            </w:pPr>
            <w:r>
              <w:rPr>
                <w:rFonts w:ascii="宋体" w:hAnsi="宋体" w:eastAsia="宋体"/>
                <w:sz w:val="24"/>
              </w:rPr>
              <w:t>项目支出绩效自评表</w:t>
            </w:r>
          </w:p>
        </w:tc>
      </w:tr>
      <w:tr w14:paraId="14C0D59E">
        <w:tblPrEx>
          <w:tblCellMar>
            <w:top w:w="0" w:type="dxa"/>
            <w:left w:w="108" w:type="dxa"/>
            <w:bottom w:w="0" w:type="dxa"/>
            <w:right w:w="108" w:type="dxa"/>
          </w:tblCellMar>
        </w:tblPrEx>
        <w:tc>
          <w:tcPr>
            <w:tcW w:w="8848" w:type="dxa"/>
            <w:gridSpan w:val="14"/>
            <w:vAlign w:val="center"/>
          </w:tcPr>
          <w:p w14:paraId="2B464C25">
            <w:pPr>
              <w:jc w:val="center"/>
            </w:pPr>
            <w:r>
              <w:rPr>
                <w:rFonts w:ascii="宋体" w:hAnsi="宋体" w:eastAsia="宋体"/>
                <w:sz w:val="24"/>
              </w:rPr>
              <w:t>(2024年度)</w:t>
            </w:r>
          </w:p>
        </w:tc>
      </w:tr>
      <w:tr w14:paraId="75062F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8D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E28D89">
            <w:pPr>
              <w:jc w:val="center"/>
            </w:pPr>
            <w:r>
              <w:rPr>
                <w:rFonts w:ascii="宋体" w:hAnsi="宋体" w:eastAsia="宋体"/>
                <w:sz w:val="16"/>
              </w:rPr>
              <w:t>2024年度国资监管专网建设</w:t>
            </w:r>
          </w:p>
        </w:tc>
      </w:tr>
      <w:tr w14:paraId="66DCBD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B2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7EE89">
            <w:pPr>
              <w:jc w:val="center"/>
            </w:pPr>
            <w:r>
              <w:rPr>
                <w:rFonts w:ascii="宋体" w:hAnsi="宋体" w:eastAsia="宋体"/>
                <w:sz w:val="16"/>
              </w:rPr>
              <w:t>克孜勒苏柯尔克孜自治州人民政府国有资产监督管理委员会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16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C61FF0">
            <w:pPr>
              <w:jc w:val="center"/>
            </w:pPr>
            <w:r>
              <w:rPr>
                <w:rFonts w:ascii="宋体" w:hAnsi="宋体" w:eastAsia="宋体"/>
                <w:sz w:val="16"/>
              </w:rPr>
              <w:t>克孜勒苏柯尔克孜自治州人民政府国有资产监督管理委员会</w:t>
            </w:r>
          </w:p>
        </w:tc>
      </w:tr>
      <w:tr w14:paraId="234563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101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04C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BC9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A6D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D70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CC2E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270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0998">
            <w:pPr>
              <w:jc w:val="center"/>
            </w:pPr>
            <w:r>
              <w:rPr>
                <w:rFonts w:ascii="宋体" w:hAnsi="宋体" w:eastAsia="宋体"/>
                <w:sz w:val="16"/>
              </w:rPr>
              <w:t>得分</w:t>
            </w:r>
          </w:p>
        </w:tc>
      </w:tr>
      <w:tr w14:paraId="1AC35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676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17F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32F22">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08D77">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DE3A7">
            <w:pPr>
              <w:jc w:val="center"/>
            </w:pPr>
            <w:r>
              <w:rPr>
                <w:rFonts w:ascii="宋体" w:hAnsi="宋体" w:eastAsia="宋体"/>
                <w:sz w:val="16"/>
              </w:rPr>
              <w:t>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ED4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5F4B6">
            <w:pPr>
              <w:jc w:val="center"/>
            </w:pPr>
            <w:r>
              <w:rPr>
                <w:rFonts w:ascii="宋体" w:hAnsi="宋体" w:eastAsia="宋体"/>
                <w:sz w:val="16"/>
              </w:rPr>
              <w:t>99.0%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F898">
            <w:pPr>
              <w:jc w:val="center"/>
            </w:pPr>
            <w:r>
              <w:rPr>
                <w:rFonts w:ascii="宋体" w:hAnsi="宋体" w:eastAsia="宋体"/>
                <w:sz w:val="16"/>
              </w:rPr>
              <w:t>9.76分</w:t>
            </w:r>
          </w:p>
        </w:tc>
      </w:tr>
      <w:tr w14:paraId="7F7FE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D70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1BB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3036A">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3652A">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01937">
            <w:pPr>
              <w:jc w:val="center"/>
            </w:pPr>
            <w:r>
              <w:rPr>
                <w:rFonts w:ascii="宋体" w:hAnsi="宋体" w:eastAsia="宋体"/>
                <w:sz w:val="16"/>
              </w:rPr>
              <w:t>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8BE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D1B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4222">
            <w:pPr>
              <w:jc w:val="center"/>
            </w:pPr>
            <w:r>
              <w:rPr>
                <w:rFonts w:ascii="宋体" w:hAnsi="宋体" w:eastAsia="宋体"/>
                <w:sz w:val="16"/>
              </w:rPr>
              <w:t>—</w:t>
            </w:r>
          </w:p>
        </w:tc>
      </w:tr>
      <w:tr w14:paraId="6DE88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361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B80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199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2DC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C1B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41C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0E2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BA35">
            <w:pPr>
              <w:jc w:val="center"/>
            </w:pPr>
            <w:r>
              <w:rPr>
                <w:rFonts w:ascii="宋体" w:hAnsi="宋体" w:eastAsia="宋体"/>
                <w:sz w:val="16"/>
              </w:rPr>
              <w:t>—</w:t>
            </w:r>
          </w:p>
        </w:tc>
      </w:tr>
      <w:tr w14:paraId="4CF26A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DA6A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8539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6C202C">
            <w:pPr>
              <w:jc w:val="center"/>
            </w:pPr>
            <w:r>
              <w:rPr>
                <w:rFonts w:ascii="宋体" w:hAnsi="宋体" w:eastAsia="宋体"/>
                <w:sz w:val="16"/>
              </w:rPr>
              <w:t>实际完成情况</w:t>
            </w:r>
          </w:p>
        </w:tc>
      </w:tr>
      <w:tr w14:paraId="07B8A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91F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C1D7D">
            <w:pPr>
              <w:jc w:val="both"/>
            </w:pPr>
            <w:r>
              <w:rPr>
                <w:rFonts w:ascii="宋体" w:hAnsi="宋体" w:eastAsia="宋体"/>
                <w:sz w:val="16"/>
              </w:rPr>
              <w:t>该项目总投资24万元，其中：财政资金24万元，其他资金0万元，主要用于单位日常开支和国资国企监管工作和视频终端，有利于国资国企监管工作顺利开展，通过该项目实施达到国资国企监管效果。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129888">
            <w:pPr>
              <w:jc w:val="both"/>
            </w:pPr>
            <w:r>
              <w:rPr>
                <w:rFonts w:ascii="宋体" w:hAnsi="宋体" w:eastAsia="宋体"/>
                <w:sz w:val="16"/>
              </w:rPr>
              <w:t>截至2024年12月31日，已完成：新建国资监管</w:t>
            </w:r>
            <w:r>
              <w:rPr>
                <w:rFonts w:hint="eastAsia" w:ascii="宋体" w:hAnsi="宋体"/>
                <w:sz w:val="16"/>
                <w:lang w:eastAsia="zh-CN"/>
              </w:rPr>
              <w:t>信息化系</w:t>
            </w:r>
            <w:r>
              <w:rPr>
                <w:rFonts w:ascii="宋体" w:hAnsi="宋体" w:eastAsia="宋体"/>
                <w:sz w:val="16"/>
              </w:rPr>
              <w:t>1套，开展现场指导培训1次，实现监管工作覆盖率为100%，建设专网后有效保障了2024年度监管工作顺利开展，通过该项目实施达到国资国企监管效果。</w:t>
            </w:r>
          </w:p>
        </w:tc>
      </w:tr>
      <w:tr w14:paraId="282A21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F07C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F7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C6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D3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E0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61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DF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BA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FF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38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5A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65C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30B2E">
            <w:pPr>
              <w:jc w:val="center"/>
            </w:pPr>
            <w:r>
              <w:rPr>
                <w:rFonts w:ascii="宋体" w:hAnsi="宋体" w:eastAsia="宋体"/>
                <w:sz w:val="16"/>
              </w:rPr>
              <w:t>偏差原因分析及改进措施</w:t>
            </w:r>
          </w:p>
        </w:tc>
      </w:tr>
      <w:tr w14:paraId="38EED3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D48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76F0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372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8CFB">
            <w:pPr>
              <w:jc w:val="center"/>
            </w:pPr>
            <w:r>
              <w:rPr>
                <w:rFonts w:ascii="宋体" w:hAnsi="宋体" w:eastAsia="宋体"/>
                <w:sz w:val="16"/>
              </w:rPr>
              <w:t>新建国资监管</w:t>
            </w:r>
            <w:bookmarkStart w:id="0" w:name="_GoBack"/>
            <w:r>
              <w:rPr>
                <w:rFonts w:hint="eastAsia" w:ascii="宋体" w:hAnsi="宋体"/>
                <w:sz w:val="16"/>
                <w:lang w:eastAsia="zh-CN"/>
              </w:rPr>
              <w:t>信息化</w:t>
            </w:r>
            <w:bookmarkEnd w:id="0"/>
            <w:r>
              <w:rPr>
                <w:rFonts w:hint="eastAsia" w:ascii="宋体" w:hAnsi="宋体"/>
                <w:sz w:val="16"/>
                <w:lang w:eastAsia="zh-CN"/>
              </w:rPr>
              <w:t>系</w:t>
            </w:r>
            <w:r>
              <w:rPr>
                <w:rFonts w:ascii="宋体" w:hAnsi="宋体" w:eastAsia="宋体"/>
                <w:sz w:val="16"/>
              </w:rPr>
              <w:t>统（套）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EB9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8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D4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FC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22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37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9A9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747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EA9CF">
            <w:pPr>
              <w:jc w:val="center"/>
            </w:pPr>
          </w:p>
        </w:tc>
      </w:tr>
      <w:tr w14:paraId="74FA1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F8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61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423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992A">
            <w:pPr>
              <w:jc w:val="center"/>
            </w:pPr>
            <w:r>
              <w:rPr>
                <w:rFonts w:ascii="宋体" w:hAnsi="宋体" w:eastAsia="宋体"/>
                <w:sz w:val="16"/>
              </w:rPr>
              <w:t>现场指导培训（场）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79F0">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9F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7E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4E5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46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0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7A0F">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B03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23FE4">
            <w:pPr>
              <w:jc w:val="center"/>
            </w:pPr>
          </w:p>
        </w:tc>
      </w:tr>
      <w:tr w14:paraId="4BC34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20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A96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6AD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B825">
            <w:pPr>
              <w:jc w:val="center"/>
            </w:pPr>
            <w:r>
              <w:rPr>
                <w:rFonts w:ascii="宋体" w:hAnsi="宋体" w:eastAsia="宋体"/>
                <w:sz w:val="16"/>
              </w:rPr>
              <w:t>监管工作覆盖率（%）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3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E3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5D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70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E0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31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7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D54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E1732">
            <w:pPr>
              <w:jc w:val="center"/>
            </w:pPr>
          </w:p>
        </w:tc>
      </w:tr>
      <w:tr w14:paraId="6391D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675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D1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0A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4188">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74D8">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64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36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0A6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3C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CA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7D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BCD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1039F">
            <w:pPr>
              <w:jc w:val="center"/>
            </w:pPr>
          </w:p>
        </w:tc>
      </w:tr>
      <w:tr w14:paraId="30BBB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41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07D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1A6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3076">
            <w:pPr>
              <w:jc w:val="center"/>
            </w:pPr>
            <w:r>
              <w:rPr>
                <w:rFonts w:ascii="宋体" w:hAnsi="宋体" w:eastAsia="宋体"/>
                <w:sz w:val="16"/>
              </w:rPr>
              <w:t>维修故障处理时限（小时）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894A">
            <w:pPr>
              <w:jc w:val="center"/>
            </w:pPr>
            <w:r>
              <w:rPr>
                <w:rFonts w:ascii="宋体" w:hAnsi="宋体" w:eastAsia="宋体"/>
                <w:sz w:val="16"/>
              </w:rPr>
              <w:t>&lt;=72小时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E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D6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E8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D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DE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5F72">
            <w:pPr>
              <w:jc w:val="center"/>
            </w:pPr>
            <w:r>
              <w:rPr>
                <w:rFonts w:ascii="宋体" w:hAnsi="宋体" w:eastAsia="宋体"/>
                <w:sz w:val="16"/>
              </w:rPr>
              <w:t>=72小时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825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987DC">
            <w:pPr>
              <w:jc w:val="center"/>
            </w:pPr>
          </w:p>
        </w:tc>
      </w:tr>
      <w:tr w14:paraId="5E1BD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37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83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D1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8CDB">
            <w:pPr>
              <w:jc w:val="center"/>
            </w:pPr>
            <w:r>
              <w:rPr>
                <w:rFonts w:ascii="宋体" w:hAnsi="宋体" w:eastAsia="宋体"/>
                <w:sz w:val="16"/>
              </w:rPr>
              <w:t>系统维护时限（年）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6B4F">
            <w:pPr>
              <w:jc w:val="center"/>
            </w:pPr>
            <w:r>
              <w:rPr>
                <w:rFonts w:ascii="宋体" w:hAnsi="宋体" w:eastAsia="宋体"/>
                <w:sz w:val="16"/>
              </w:rPr>
              <w:t>=5年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99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10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18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52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C3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0598">
            <w:pPr>
              <w:jc w:val="center"/>
            </w:pPr>
            <w:r>
              <w:rPr>
                <w:rFonts w:ascii="宋体" w:hAnsi="宋体" w:eastAsia="宋体"/>
                <w:sz w:val="16"/>
              </w:rPr>
              <w:t>=5年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4EF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62FAC">
            <w:pPr>
              <w:jc w:val="center"/>
            </w:pPr>
          </w:p>
        </w:tc>
      </w:tr>
      <w:tr w14:paraId="6303A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C53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759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FD4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2E9B">
            <w:pPr>
              <w:jc w:val="center"/>
            </w:pPr>
            <w:r>
              <w:rPr>
                <w:rFonts w:ascii="宋体" w:hAnsi="宋体" w:eastAsia="宋体"/>
                <w:sz w:val="16"/>
              </w:rPr>
              <w:t>国资监管专网建设经费（万元）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AF63">
            <w:pPr>
              <w:jc w:val="center"/>
            </w:pPr>
            <w:r>
              <w:rPr>
                <w:rFonts w:ascii="宋体" w:hAnsi="宋体" w:eastAsia="宋体"/>
                <w:sz w:val="16"/>
              </w:rPr>
              <w:t>&lt;=15.41万元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8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8B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2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5E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3F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964D">
            <w:pPr>
              <w:jc w:val="center"/>
            </w:pPr>
            <w:r>
              <w:rPr>
                <w:rFonts w:ascii="宋体" w:hAnsi="宋体" w:eastAsia="宋体"/>
                <w:sz w:val="16"/>
              </w:rPr>
              <w:t>=15.41万元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84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4FD47">
            <w:pPr>
              <w:jc w:val="center"/>
            </w:pPr>
          </w:p>
        </w:tc>
      </w:tr>
      <w:tr w14:paraId="0B33B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78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9FB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C08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A8FF">
            <w:pPr>
              <w:jc w:val="center"/>
            </w:pPr>
            <w:r>
              <w:rPr>
                <w:rFonts w:ascii="宋体" w:hAnsi="宋体" w:eastAsia="宋体"/>
                <w:sz w:val="16"/>
              </w:rPr>
              <w:t>专网建设相关配套设备（万元）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E712">
            <w:pPr>
              <w:jc w:val="center"/>
            </w:pPr>
            <w:r>
              <w:rPr>
                <w:rFonts w:ascii="宋体" w:hAnsi="宋体" w:eastAsia="宋体"/>
                <w:sz w:val="16"/>
              </w:rPr>
              <w:t>&lt;=8.59万元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A3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73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44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E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DB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FB6D">
            <w:pPr>
              <w:jc w:val="center"/>
            </w:pPr>
            <w:r>
              <w:rPr>
                <w:rFonts w:ascii="宋体" w:hAnsi="宋体" w:eastAsia="宋体"/>
                <w:sz w:val="16"/>
              </w:rPr>
              <w:t>=8.36万元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201C">
            <w:pPr>
              <w:jc w:val="center"/>
            </w:pPr>
            <w:r>
              <w:rPr>
                <w:rFonts w:ascii="宋体" w:hAnsi="宋体" w:eastAsia="宋体"/>
                <w:sz w:val="16"/>
              </w:rPr>
              <w:t>9.33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3AD6F">
            <w:pPr>
              <w:jc w:val="center"/>
            </w:pPr>
            <w:r>
              <w:rPr>
                <w:rFonts w:ascii="宋体" w:hAnsi="宋体" w:eastAsia="宋体"/>
                <w:sz w:val="16"/>
              </w:rPr>
              <w:t>偏差原因：因项目基本完成，达到预期目标，按照无纸化办公需求，部分资金无需支出，与预算金额有差别。改进措施：改善预算支出，严格按照预算金额执行。</w:t>
            </w:r>
          </w:p>
        </w:tc>
      </w:tr>
      <w:tr w14:paraId="277BE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B04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26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61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703C">
            <w:pPr>
              <w:jc w:val="center"/>
            </w:pPr>
            <w:r>
              <w:rPr>
                <w:rFonts w:ascii="宋体" w:hAnsi="宋体" w:eastAsia="宋体"/>
                <w:sz w:val="16"/>
              </w:rPr>
              <w:t>确保工作顺利开展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9B9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0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CB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59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37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CEA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55C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8C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704E4">
            <w:pPr>
              <w:jc w:val="center"/>
            </w:pPr>
          </w:p>
        </w:tc>
      </w:tr>
      <w:tr w14:paraId="1F0BC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5B2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E63E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136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00E8">
            <w:pPr>
              <w:jc w:val="center"/>
            </w:pPr>
            <w:r>
              <w:rPr>
                <w:rFonts w:ascii="宋体" w:hAnsi="宋体" w:eastAsia="宋体"/>
                <w:sz w:val="16"/>
              </w:rPr>
              <w:t>监管企业满意度（%）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5B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8C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B4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6C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BD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1D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FB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AA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0C3D3">
            <w:pPr>
              <w:jc w:val="center"/>
            </w:pPr>
          </w:p>
        </w:tc>
      </w:tr>
      <w:tr w14:paraId="3BDE9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830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3B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188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D8C3">
            <w:pPr>
              <w:jc w:val="center"/>
            </w:pPr>
            <w:r>
              <w:rPr>
                <w:rFonts w:ascii="宋体" w:hAnsi="宋体" w:eastAsia="宋体"/>
                <w:sz w:val="16"/>
              </w:rPr>
              <w:t>单位职工满意度（%）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38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A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87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BC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97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8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F7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A1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BD76B">
            <w:pPr>
              <w:jc w:val="center"/>
            </w:pPr>
          </w:p>
        </w:tc>
      </w:tr>
      <w:tr w14:paraId="4635A3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281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5FB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DB1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175D1B">
            <w:pPr>
              <w:jc w:val="center"/>
            </w:pPr>
            <w:r>
              <w:rPr>
                <w:rFonts w:ascii="宋体" w:hAnsi="宋体" w:eastAsia="宋体"/>
                <w:sz w:val="16"/>
              </w:rPr>
              <w:t>99.09分</w:t>
            </w:r>
          </w:p>
        </w:tc>
      </w:tr>
    </w:tbl>
    <w:p w14:paraId="472576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55B703BD">
        <w:tblPrEx>
          <w:tblCellMar>
            <w:top w:w="0" w:type="dxa"/>
            <w:left w:w="108" w:type="dxa"/>
            <w:bottom w:w="0" w:type="dxa"/>
            <w:right w:w="108" w:type="dxa"/>
          </w:tblCellMar>
        </w:tblPrEx>
        <w:tc>
          <w:tcPr>
            <w:tcW w:w="8848" w:type="dxa"/>
            <w:gridSpan w:val="14"/>
            <w:vAlign w:val="center"/>
          </w:tcPr>
          <w:p w14:paraId="5B8B0B83">
            <w:pPr>
              <w:jc w:val="center"/>
            </w:pPr>
            <w:r>
              <w:rPr>
                <w:rFonts w:ascii="宋体" w:hAnsi="宋体" w:eastAsia="宋体"/>
                <w:sz w:val="24"/>
              </w:rPr>
              <w:t>项目支出绩效自评表</w:t>
            </w:r>
          </w:p>
        </w:tc>
      </w:tr>
      <w:tr w14:paraId="26B09ED4">
        <w:tblPrEx>
          <w:tblCellMar>
            <w:top w:w="0" w:type="dxa"/>
            <w:left w:w="108" w:type="dxa"/>
            <w:bottom w:w="0" w:type="dxa"/>
            <w:right w:w="108" w:type="dxa"/>
          </w:tblCellMar>
        </w:tblPrEx>
        <w:tc>
          <w:tcPr>
            <w:tcW w:w="8848" w:type="dxa"/>
            <w:gridSpan w:val="14"/>
            <w:vAlign w:val="center"/>
          </w:tcPr>
          <w:p w14:paraId="37607CD2">
            <w:pPr>
              <w:jc w:val="center"/>
            </w:pPr>
            <w:r>
              <w:rPr>
                <w:rFonts w:ascii="宋体" w:hAnsi="宋体" w:eastAsia="宋体"/>
                <w:sz w:val="24"/>
              </w:rPr>
              <w:t>(2024年度)</w:t>
            </w:r>
          </w:p>
        </w:tc>
      </w:tr>
      <w:tr w14:paraId="108D03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EC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E2DB3A">
            <w:pPr>
              <w:jc w:val="center"/>
            </w:pPr>
            <w:r>
              <w:rPr>
                <w:rFonts w:ascii="宋体" w:hAnsi="宋体" w:eastAsia="宋体"/>
                <w:sz w:val="16"/>
              </w:rPr>
              <w:t>2024年度新建保密室和视频会议室经费</w:t>
            </w:r>
          </w:p>
        </w:tc>
      </w:tr>
      <w:tr w14:paraId="5577A0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8D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40585">
            <w:pPr>
              <w:jc w:val="center"/>
            </w:pPr>
            <w:r>
              <w:rPr>
                <w:rFonts w:ascii="宋体" w:hAnsi="宋体" w:eastAsia="宋体"/>
                <w:sz w:val="16"/>
              </w:rPr>
              <w:t>克孜勒苏柯尔克孜自治州人民政府国有资产监督管理委员会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00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EB61EB">
            <w:pPr>
              <w:jc w:val="center"/>
            </w:pPr>
            <w:r>
              <w:rPr>
                <w:rFonts w:ascii="宋体" w:hAnsi="宋体" w:eastAsia="宋体"/>
                <w:sz w:val="16"/>
              </w:rPr>
              <w:t>克孜勒苏柯尔克孜自治州人民政府国有资产监督管理委员会</w:t>
            </w:r>
          </w:p>
        </w:tc>
      </w:tr>
      <w:tr w14:paraId="2048EC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602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106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934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5F7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12B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3B0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0A0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1E43">
            <w:pPr>
              <w:jc w:val="center"/>
            </w:pPr>
            <w:r>
              <w:rPr>
                <w:rFonts w:ascii="宋体" w:hAnsi="宋体" w:eastAsia="宋体"/>
                <w:sz w:val="16"/>
              </w:rPr>
              <w:t>得分</w:t>
            </w:r>
          </w:p>
        </w:tc>
      </w:tr>
      <w:tr w14:paraId="5FED0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5E5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AF3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BA49A">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B4809">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B602A">
            <w:pPr>
              <w:jc w:val="center"/>
            </w:pPr>
            <w:r>
              <w:rPr>
                <w:rFonts w:ascii="宋体" w:hAnsi="宋体" w:eastAsia="宋体"/>
                <w:sz w:val="16"/>
              </w:rPr>
              <w:t>20.62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07C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CFB64">
            <w:pPr>
              <w:jc w:val="center"/>
            </w:pPr>
            <w:r>
              <w:rPr>
                <w:rFonts w:ascii="宋体" w:hAnsi="宋体" w:eastAsia="宋体"/>
                <w:sz w:val="16"/>
              </w:rPr>
              <w:t>82.5%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3061">
            <w:pPr>
              <w:jc w:val="center"/>
            </w:pPr>
            <w:r>
              <w:rPr>
                <w:rFonts w:ascii="宋体" w:hAnsi="宋体" w:eastAsia="宋体"/>
                <w:sz w:val="16"/>
              </w:rPr>
              <w:t>5.62分</w:t>
            </w:r>
          </w:p>
        </w:tc>
      </w:tr>
      <w:tr w14:paraId="3178A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1BE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325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CA9EF">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95AB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6D44C">
            <w:pPr>
              <w:jc w:val="center"/>
            </w:pPr>
            <w:r>
              <w:rPr>
                <w:rFonts w:ascii="宋体" w:hAnsi="宋体" w:eastAsia="宋体"/>
                <w:sz w:val="16"/>
              </w:rPr>
              <w:t>20.62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DC7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B9F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6232">
            <w:pPr>
              <w:jc w:val="center"/>
            </w:pPr>
            <w:r>
              <w:rPr>
                <w:rFonts w:ascii="宋体" w:hAnsi="宋体" w:eastAsia="宋体"/>
                <w:sz w:val="16"/>
              </w:rPr>
              <w:t>—</w:t>
            </w:r>
          </w:p>
        </w:tc>
      </w:tr>
      <w:tr w14:paraId="66AA7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0FA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179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52F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5F8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F30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F93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A20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1AF2">
            <w:pPr>
              <w:jc w:val="center"/>
            </w:pPr>
            <w:r>
              <w:rPr>
                <w:rFonts w:ascii="宋体" w:hAnsi="宋体" w:eastAsia="宋体"/>
                <w:sz w:val="16"/>
              </w:rPr>
              <w:t>—</w:t>
            </w:r>
          </w:p>
        </w:tc>
      </w:tr>
      <w:tr w14:paraId="4C81DB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3E54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311F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DF99B9">
            <w:pPr>
              <w:jc w:val="center"/>
            </w:pPr>
            <w:r>
              <w:rPr>
                <w:rFonts w:ascii="宋体" w:hAnsi="宋体" w:eastAsia="宋体"/>
                <w:sz w:val="16"/>
              </w:rPr>
              <w:t>实际完成情况</w:t>
            </w:r>
          </w:p>
        </w:tc>
      </w:tr>
      <w:tr w14:paraId="00A0F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AAC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CEBC73">
            <w:pPr>
              <w:jc w:val="both"/>
            </w:pPr>
            <w:r>
              <w:rPr>
                <w:rFonts w:ascii="宋体" w:hAnsi="宋体" w:eastAsia="宋体"/>
                <w:sz w:val="16"/>
              </w:rPr>
              <w:t>该项目总投资25万元，其中：财政资金25万元，其他资金0万元，主要</w:t>
            </w:r>
            <w:r>
              <w:rPr>
                <w:rFonts w:hint="eastAsia" w:ascii="宋体" w:hAnsi="宋体"/>
                <w:sz w:val="16"/>
                <w:lang w:eastAsia="zh-CN"/>
              </w:rPr>
              <w:t>用于</w:t>
            </w:r>
            <w:r>
              <w:rPr>
                <w:rFonts w:ascii="宋体" w:hAnsi="宋体" w:eastAsia="宋体"/>
                <w:sz w:val="16"/>
              </w:rPr>
              <w:t>新建28平方米保密室一间和新建60平方米视频会议室一间，及相关配套设备，有利于日常保密工作有效开展和国资国企监管工作顺利开展，通过该项目实施达到日常保密工作和国资国企监管效果。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FAC8D1">
            <w:pPr>
              <w:jc w:val="both"/>
            </w:pPr>
            <w:r>
              <w:rPr>
                <w:rFonts w:ascii="宋体" w:hAnsi="宋体" w:eastAsia="宋体"/>
                <w:sz w:val="16"/>
              </w:rPr>
              <w:t>截至2024年12月31日，已完成：新建28平方米保密室一间和新建60平方米视频会议室一间，及相关配套设备，有利于日常保密工作有效开展和国资国企监管工作顺利开展，通过该项目实施达到日常保密工作和国资国企监管效果。</w:t>
            </w:r>
          </w:p>
        </w:tc>
      </w:tr>
      <w:tr w14:paraId="46A8ED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2D2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02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00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7C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705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2F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3E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B7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70A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7AE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FD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6F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0BAE3">
            <w:pPr>
              <w:jc w:val="center"/>
            </w:pPr>
            <w:r>
              <w:rPr>
                <w:rFonts w:ascii="宋体" w:hAnsi="宋体" w:eastAsia="宋体"/>
                <w:sz w:val="16"/>
              </w:rPr>
              <w:t>偏差原因分析及改进措施</w:t>
            </w:r>
          </w:p>
        </w:tc>
      </w:tr>
      <w:tr w14:paraId="09F442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13F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032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8AC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62AC">
            <w:pPr>
              <w:jc w:val="center"/>
            </w:pPr>
            <w:r>
              <w:rPr>
                <w:rFonts w:ascii="宋体" w:hAnsi="宋体" w:eastAsia="宋体"/>
                <w:sz w:val="16"/>
              </w:rPr>
              <w:t>新建保密室一间（平方米）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5EF9">
            <w:pPr>
              <w:jc w:val="center"/>
            </w:pPr>
            <w:r>
              <w:rPr>
                <w:rFonts w:ascii="宋体" w:hAnsi="宋体" w:eastAsia="宋体"/>
                <w:sz w:val="16"/>
              </w:rPr>
              <w:t>&gt;=28平方米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4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AC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55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DD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2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A4B3">
            <w:pPr>
              <w:jc w:val="center"/>
            </w:pPr>
            <w:r>
              <w:rPr>
                <w:rFonts w:ascii="宋体" w:hAnsi="宋体" w:eastAsia="宋体"/>
                <w:sz w:val="16"/>
              </w:rPr>
              <w:t>=28平方米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61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0B129">
            <w:pPr>
              <w:jc w:val="center"/>
            </w:pPr>
          </w:p>
        </w:tc>
      </w:tr>
      <w:tr w14:paraId="47D0BD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F9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9B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382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DFD1">
            <w:pPr>
              <w:jc w:val="center"/>
            </w:pPr>
            <w:r>
              <w:rPr>
                <w:rFonts w:ascii="宋体" w:hAnsi="宋体" w:eastAsia="宋体"/>
                <w:sz w:val="16"/>
              </w:rPr>
              <w:t>新建视频会议室一间（平方米）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AAE8">
            <w:pPr>
              <w:jc w:val="center"/>
            </w:pPr>
            <w:r>
              <w:rPr>
                <w:rFonts w:ascii="宋体" w:hAnsi="宋体" w:eastAsia="宋体"/>
                <w:sz w:val="16"/>
              </w:rPr>
              <w:t>&gt;=60平方米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99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D1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47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B1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1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7278">
            <w:pPr>
              <w:jc w:val="center"/>
            </w:pPr>
            <w:r>
              <w:rPr>
                <w:rFonts w:ascii="宋体" w:hAnsi="宋体" w:eastAsia="宋体"/>
                <w:sz w:val="16"/>
              </w:rPr>
              <w:t>=60平方米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06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7F9E6">
            <w:pPr>
              <w:jc w:val="center"/>
            </w:pPr>
          </w:p>
        </w:tc>
      </w:tr>
      <w:tr w14:paraId="511E8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F7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48A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20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E3BE">
            <w:pPr>
              <w:jc w:val="center"/>
            </w:pPr>
            <w:r>
              <w:rPr>
                <w:rFonts w:ascii="宋体" w:hAnsi="宋体" w:eastAsia="宋体"/>
                <w:sz w:val="16"/>
              </w:rPr>
              <w:t>对BM文件安全保管处理率（%）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0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1A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AE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00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ED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D6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1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CF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907C3">
            <w:pPr>
              <w:jc w:val="center"/>
            </w:pPr>
          </w:p>
        </w:tc>
      </w:tr>
      <w:tr w14:paraId="53BAA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53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0E7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6E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8733">
            <w:pPr>
              <w:jc w:val="center"/>
            </w:pPr>
            <w:r>
              <w:rPr>
                <w:rFonts w:ascii="宋体" w:hAnsi="宋体" w:eastAsia="宋体"/>
                <w:sz w:val="16"/>
              </w:rPr>
              <w:t>及时接通上级单位视频会议率（%）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7D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2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FC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AD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70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3C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D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EC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22D5C">
            <w:pPr>
              <w:jc w:val="center"/>
            </w:pPr>
          </w:p>
        </w:tc>
      </w:tr>
      <w:tr w14:paraId="0DF27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C4F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E4C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32B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6F2C">
            <w:pPr>
              <w:jc w:val="center"/>
            </w:pPr>
            <w:r>
              <w:rPr>
                <w:rFonts w:ascii="宋体" w:hAnsi="宋体" w:eastAsia="宋体"/>
                <w:sz w:val="16"/>
              </w:rPr>
              <w:t>BM文件安全保管处理配备经费(万元）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29E8">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F1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2C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2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0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53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007C">
            <w:pPr>
              <w:jc w:val="center"/>
            </w:pPr>
            <w:r>
              <w:rPr>
                <w:rFonts w:ascii="宋体" w:hAnsi="宋体" w:eastAsia="宋体"/>
                <w:sz w:val="16"/>
              </w:rPr>
              <w:t>=11.49万元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0195">
            <w:pPr>
              <w:jc w:val="center"/>
            </w:pPr>
            <w:r>
              <w:rPr>
                <w:rFonts w:ascii="宋体" w:hAnsi="宋体" w:eastAsia="宋体"/>
                <w:sz w:val="16"/>
              </w:rPr>
              <w:t>5.52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655BF">
            <w:pPr>
              <w:jc w:val="center"/>
            </w:pPr>
            <w:r>
              <w:rPr>
                <w:rFonts w:ascii="宋体" w:hAnsi="宋体" w:eastAsia="宋体"/>
                <w:sz w:val="16"/>
              </w:rPr>
              <w:t>偏差原因：因本项目在执行过程中计划有变动，与预算金额有差别。改进措施：改善预算支出，严格按照预算金额执行。</w:t>
            </w:r>
          </w:p>
        </w:tc>
      </w:tr>
      <w:tr w14:paraId="12891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64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C5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25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8262">
            <w:pPr>
              <w:jc w:val="center"/>
            </w:pPr>
            <w:r>
              <w:rPr>
                <w:rFonts w:ascii="宋体" w:hAnsi="宋体" w:eastAsia="宋体"/>
                <w:sz w:val="16"/>
              </w:rPr>
              <w:t>视频会议正常进行经费（万元）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A5BF">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7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49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2A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0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39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5FBF">
            <w:pPr>
              <w:jc w:val="center"/>
            </w:pPr>
            <w:r>
              <w:rPr>
                <w:rFonts w:ascii="宋体" w:hAnsi="宋体" w:eastAsia="宋体"/>
                <w:sz w:val="16"/>
              </w:rPr>
              <w:t>=9.13万元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5533">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AD9A9">
            <w:pPr>
              <w:jc w:val="center"/>
            </w:pPr>
            <w:r>
              <w:rPr>
                <w:rFonts w:ascii="宋体" w:hAnsi="宋体" w:eastAsia="宋体"/>
                <w:sz w:val="16"/>
              </w:rPr>
              <w:t>偏差原因：因本项目在执行过程中计划有变动，与预算金额有差别。改进措施：改善预算支出，严格按照预算金额执行。</w:t>
            </w:r>
          </w:p>
        </w:tc>
      </w:tr>
      <w:tr w14:paraId="2F0C6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4D0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86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C3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D2FE">
            <w:pPr>
              <w:jc w:val="center"/>
            </w:pPr>
            <w:r>
              <w:rPr>
                <w:rFonts w:ascii="宋体" w:hAnsi="宋体" w:eastAsia="宋体"/>
                <w:sz w:val="16"/>
              </w:rPr>
              <w:t>监管企业业务知晓率（%）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05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3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C2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E4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70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48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39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CEF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B2B38">
            <w:pPr>
              <w:jc w:val="center"/>
            </w:pPr>
          </w:p>
        </w:tc>
      </w:tr>
      <w:tr w14:paraId="14B46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CC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5A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5E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724A">
            <w:pPr>
              <w:jc w:val="center"/>
            </w:pPr>
            <w:r>
              <w:rPr>
                <w:rFonts w:ascii="宋体" w:hAnsi="宋体" w:eastAsia="宋体"/>
                <w:sz w:val="16"/>
              </w:rPr>
              <w:t>监管企业和县（市）满意度（%）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73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AA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4D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BDC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CC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33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E97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9F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4468E">
            <w:pPr>
              <w:jc w:val="center"/>
            </w:pPr>
          </w:p>
        </w:tc>
      </w:tr>
      <w:tr w14:paraId="6210D4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2A2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25D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8C3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0DBB6C">
            <w:pPr>
              <w:jc w:val="center"/>
            </w:pPr>
            <w:r>
              <w:rPr>
                <w:rFonts w:ascii="宋体" w:hAnsi="宋体" w:eastAsia="宋体"/>
                <w:sz w:val="16"/>
              </w:rPr>
              <w:t>88.39分</w:t>
            </w:r>
          </w:p>
        </w:tc>
      </w:tr>
    </w:tbl>
    <w:p w14:paraId="69811C43">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0"/>
        <w:gridCol w:w="619"/>
        <w:gridCol w:w="631"/>
      </w:tblGrid>
      <w:tr w14:paraId="59E31F54">
        <w:tblPrEx>
          <w:tblCellMar>
            <w:top w:w="0" w:type="dxa"/>
            <w:left w:w="108" w:type="dxa"/>
            <w:bottom w:w="0" w:type="dxa"/>
            <w:right w:w="108" w:type="dxa"/>
          </w:tblCellMar>
        </w:tblPrEx>
        <w:tc>
          <w:tcPr>
            <w:tcW w:w="8848" w:type="dxa"/>
            <w:gridSpan w:val="14"/>
            <w:vAlign w:val="center"/>
          </w:tcPr>
          <w:p w14:paraId="39F9855C">
            <w:pPr>
              <w:jc w:val="center"/>
            </w:pPr>
            <w:r>
              <w:rPr>
                <w:rFonts w:ascii="宋体" w:hAnsi="宋体" w:eastAsia="宋体"/>
                <w:sz w:val="24"/>
              </w:rPr>
              <w:t>项目支出绩效自评表</w:t>
            </w:r>
          </w:p>
        </w:tc>
      </w:tr>
      <w:tr w14:paraId="47848599">
        <w:tblPrEx>
          <w:tblCellMar>
            <w:top w:w="0" w:type="dxa"/>
            <w:left w:w="108" w:type="dxa"/>
            <w:bottom w:w="0" w:type="dxa"/>
            <w:right w:w="108" w:type="dxa"/>
          </w:tblCellMar>
        </w:tblPrEx>
        <w:tc>
          <w:tcPr>
            <w:tcW w:w="8848" w:type="dxa"/>
            <w:gridSpan w:val="14"/>
            <w:vAlign w:val="center"/>
          </w:tcPr>
          <w:p w14:paraId="22D13738">
            <w:pPr>
              <w:jc w:val="center"/>
            </w:pPr>
            <w:r>
              <w:rPr>
                <w:rFonts w:ascii="宋体" w:hAnsi="宋体" w:eastAsia="宋体"/>
                <w:sz w:val="24"/>
              </w:rPr>
              <w:t>(2024年度)</w:t>
            </w:r>
          </w:p>
        </w:tc>
      </w:tr>
      <w:tr w14:paraId="685208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40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0951F6">
            <w:pPr>
              <w:jc w:val="center"/>
            </w:pPr>
            <w:r>
              <w:rPr>
                <w:rFonts w:ascii="宋体" w:hAnsi="宋体" w:eastAsia="宋体"/>
                <w:sz w:val="16"/>
              </w:rPr>
              <w:t>交叉审计调查工作业务经费</w:t>
            </w:r>
          </w:p>
        </w:tc>
      </w:tr>
      <w:tr w14:paraId="0152FD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E8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9CB2E7">
            <w:pPr>
              <w:jc w:val="center"/>
            </w:pPr>
            <w:r>
              <w:rPr>
                <w:rFonts w:ascii="宋体" w:hAnsi="宋体" w:eastAsia="宋体"/>
                <w:sz w:val="16"/>
              </w:rPr>
              <w:t>克孜勒苏柯尔克孜自治州人民政府国有资产监督管理委员会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6B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EE1DB5">
            <w:pPr>
              <w:jc w:val="center"/>
            </w:pPr>
            <w:r>
              <w:rPr>
                <w:rFonts w:ascii="宋体" w:hAnsi="宋体" w:eastAsia="宋体"/>
                <w:sz w:val="16"/>
              </w:rPr>
              <w:t>克孜勒苏柯尔克孜自治州人民政府国有资产监督管理委员会</w:t>
            </w:r>
          </w:p>
        </w:tc>
      </w:tr>
      <w:tr w14:paraId="3FEE05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824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083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AD7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211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B28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D15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F11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9550">
            <w:pPr>
              <w:jc w:val="center"/>
            </w:pPr>
            <w:r>
              <w:rPr>
                <w:rFonts w:ascii="宋体" w:hAnsi="宋体" w:eastAsia="宋体"/>
                <w:sz w:val="16"/>
              </w:rPr>
              <w:t>得分</w:t>
            </w:r>
          </w:p>
        </w:tc>
      </w:tr>
      <w:tr w14:paraId="21E07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C73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B69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8E41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1BE7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0CCCA">
            <w:pPr>
              <w:jc w:val="center"/>
            </w:pPr>
            <w:r>
              <w:rPr>
                <w:rFonts w:ascii="宋体" w:hAnsi="宋体" w:eastAsia="宋体"/>
                <w:sz w:val="16"/>
              </w:rPr>
              <w:t>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5D8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4790A">
            <w:pPr>
              <w:jc w:val="center"/>
            </w:pPr>
            <w:r>
              <w:rPr>
                <w:rFonts w:ascii="宋体" w:hAnsi="宋体" w:eastAsia="宋体"/>
                <w:sz w:val="16"/>
              </w:rPr>
              <w:t>53.9%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19B1">
            <w:pPr>
              <w:jc w:val="center"/>
            </w:pPr>
            <w:r>
              <w:rPr>
                <w:rFonts w:ascii="宋体" w:hAnsi="宋体" w:eastAsia="宋体"/>
                <w:sz w:val="16"/>
              </w:rPr>
              <w:t>0.00分</w:t>
            </w:r>
          </w:p>
        </w:tc>
      </w:tr>
      <w:tr w14:paraId="16D10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C9F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0F7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9997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1E9D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BC306">
            <w:pPr>
              <w:jc w:val="center"/>
            </w:pPr>
            <w:r>
              <w:rPr>
                <w:rFonts w:ascii="宋体" w:hAnsi="宋体" w:eastAsia="宋体"/>
                <w:sz w:val="16"/>
              </w:rPr>
              <w:t>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E05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8FB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1356">
            <w:pPr>
              <w:jc w:val="center"/>
            </w:pPr>
            <w:r>
              <w:rPr>
                <w:rFonts w:ascii="宋体" w:hAnsi="宋体" w:eastAsia="宋体"/>
                <w:sz w:val="16"/>
              </w:rPr>
              <w:t>—</w:t>
            </w:r>
          </w:p>
        </w:tc>
      </w:tr>
      <w:tr w14:paraId="6AC9F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0CD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40E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1A9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744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503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C75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82C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A207">
            <w:pPr>
              <w:jc w:val="center"/>
            </w:pPr>
            <w:r>
              <w:rPr>
                <w:rFonts w:ascii="宋体" w:hAnsi="宋体" w:eastAsia="宋体"/>
                <w:sz w:val="16"/>
              </w:rPr>
              <w:t>—</w:t>
            </w:r>
          </w:p>
        </w:tc>
      </w:tr>
      <w:tr w14:paraId="3FAE09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FDE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05F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330D46">
            <w:pPr>
              <w:jc w:val="center"/>
            </w:pPr>
            <w:r>
              <w:rPr>
                <w:rFonts w:ascii="宋体" w:hAnsi="宋体" w:eastAsia="宋体"/>
                <w:sz w:val="16"/>
              </w:rPr>
              <w:t>实际完成情况</w:t>
            </w:r>
          </w:p>
        </w:tc>
      </w:tr>
      <w:tr w14:paraId="6D6D4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D0E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ABD57A">
            <w:pPr>
              <w:jc w:val="both"/>
            </w:pPr>
            <w:r>
              <w:rPr>
                <w:rFonts w:ascii="宋体" w:hAnsi="宋体" w:eastAsia="宋体"/>
                <w:sz w:val="16"/>
              </w:rPr>
              <w:t>该项目共计10万元主要用于给审计组购买打印机、碎纸机，支付会议室使用费等。为全面加强州属国有企业审计监督工作，提升企业风险防控能力，保障国有资产保值增值和企业高质量发展，和田审计组对克州国有投融资企业进行为期50天的专项审计调查（2024年8月12日起），州国资委发挥职能作用，全力保障审计会务、办公等事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41DF8D">
            <w:pPr>
              <w:jc w:val="both"/>
            </w:pPr>
            <w:r>
              <w:rPr>
                <w:rFonts w:ascii="宋体" w:hAnsi="宋体" w:eastAsia="宋体"/>
                <w:sz w:val="16"/>
              </w:rPr>
              <w:t>截至2024年12月31日，已完成：会议室使用天数51天，购买</w:t>
            </w:r>
            <w:r>
              <w:rPr>
                <w:rFonts w:hint="eastAsia" w:ascii="宋体" w:hAnsi="宋体"/>
                <w:sz w:val="16"/>
                <w:lang w:eastAsia="zh-CN"/>
              </w:rPr>
              <w:t>打印机</w:t>
            </w:r>
            <w:r>
              <w:rPr>
                <w:rFonts w:ascii="宋体" w:hAnsi="宋体" w:eastAsia="宋体"/>
                <w:sz w:val="16"/>
              </w:rPr>
              <w:t>2台，</w:t>
            </w:r>
            <w:r>
              <w:rPr>
                <w:rFonts w:hint="eastAsia" w:ascii="宋体" w:hAnsi="宋体"/>
                <w:sz w:val="16"/>
                <w:lang w:eastAsia="zh-CN"/>
              </w:rPr>
              <w:t>购买</w:t>
            </w:r>
            <w:r>
              <w:rPr>
                <w:rFonts w:ascii="宋体" w:hAnsi="宋体" w:eastAsia="宋体"/>
                <w:sz w:val="16"/>
              </w:rPr>
              <w:t>碎纸机1台；通过该项目实施，保障国有资产保值增值和企业高质量发展，和田审计组对克州国有投融资企业进行为期50天的专项审计调查（2024年8月12日起），州国资委发挥职能作用，全力保障审计会务、办公等事项。</w:t>
            </w:r>
            <w:r>
              <w:rPr>
                <w:rFonts w:ascii="宋体" w:hAnsi="宋体" w:eastAsia="宋体"/>
                <w:sz w:val="16"/>
              </w:rPr>
              <w:tab/>
            </w:r>
            <w:r>
              <w:rPr>
                <w:rFonts w:ascii="宋体" w:hAnsi="宋体" w:eastAsia="宋体"/>
                <w:sz w:val="16"/>
              </w:rPr>
              <w:tab/>
            </w:r>
            <w:r>
              <w:rPr>
                <w:rFonts w:ascii="宋体" w:hAnsi="宋体" w:eastAsia="宋体"/>
                <w:sz w:val="16"/>
              </w:rPr>
              <w:tab/>
            </w:r>
          </w:p>
        </w:tc>
      </w:tr>
      <w:tr w14:paraId="794573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87AE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0F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CD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7C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8D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E7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7A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C9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DA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21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46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FAB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4E9AF">
            <w:pPr>
              <w:jc w:val="center"/>
            </w:pPr>
            <w:r>
              <w:rPr>
                <w:rFonts w:ascii="宋体" w:hAnsi="宋体" w:eastAsia="宋体"/>
                <w:sz w:val="16"/>
              </w:rPr>
              <w:t>偏差原因分析及改进措施</w:t>
            </w:r>
          </w:p>
        </w:tc>
      </w:tr>
      <w:tr w14:paraId="426AB9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93B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852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E16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626C">
            <w:pPr>
              <w:jc w:val="center"/>
            </w:pPr>
            <w:r>
              <w:rPr>
                <w:rFonts w:ascii="宋体" w:hAnsi="宋体" w:eastAsia="宋体"/>
                <w:sz w:val="16"/>
              </w:rPr>
              <w:t>会议室使用天数（天）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8179">
            <w:pPr>
              <w:jc w:val="center"/>
            </w:pPr>
            <w:r>
              <w:rPr>
                <w:rFonts w:ascii="宋体" w:hAnsi="宋体" w:eastAsia="宋体"/>
                <w:sz w:val="16"/>
              </w:rPr>
              <w:t>=51天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0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07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348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67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B8C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51BF">
            <w:pPr>
              <w:jc w:val="center"/>
            </w:pPr>
            <w:r>
              <w:rPr>
                <w:rFonts w:ascii="宋体" w:hAnsi="宋体" w:eastAsia="宋体"/>
                <w:sz w:val="16"/>
              </w:rPr>
              <w:t>=51天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71A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CDDA0">
            <w:pPr>
              <w:jc w:val="center"/>
            </w:pPr>
          </w:p>
        </w:tc>
      </w:tr>
      <w:tr w14:paraId="3AAC8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92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7F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DC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800E">
            <w:pPr>
              <w:jc w:val="center"/>
            </w:pPr>
            <w:r>
              <w:rPr>
                <w:rFonts w:ascii="宋体" w:hAnsi="宋体" w:eastAsia="宋体"/>
                <w:sz w:val="16"/>
              </w:rPr>
              <w:t>购买打印体（台）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28E0">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19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C8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BA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8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80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325F">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8F9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CCCB1">
            <w:pPr>
              <w:jc w:val="center"/>
            </w:pPr>
          </w:p>
        </w:tc>
      </w:tr>
      <w:tr w14:paraId="53048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B3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46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71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0E78">
            <w:pPr>
              <w:jc w:val="center"/>
            </w:pPr>
            <w:r>
              <w:rPr>
                <w:rFonts w:ascii="宋体" w:hAnsi="宋体" w:eastAsia="宋体"/>
                <w:sz w:val="16"/>
              </w:rPr>
              <w:t>购碎纸机（台）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BDE7">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1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53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F4B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9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C3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A52A">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E19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4507D">
            <w:pPr>
              <w:jc w:val="center"/>
            </w:pPr>
          </w:p>
        </w:tc>
      </w:tr>
      <w:tr w14:paraId="79FAA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CC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984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D17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9B60">
            <w:pPr>
              <w:jc w:val="center"/>
            </w:pPr>
            <w:r>
              <w:rPr>
                <w:rFonts w:ascii="宋体" w:hAnsi="宋体" w:eastAsia="宋体"/>
                <w:sz w:val="16"/>
              </w:rPr>
              <w:t>所提供审计的资料真实性、完整性（5）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B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3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76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887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4F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B6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C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C61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BC43B">
            <w:pPr>
              <w:jc w:val="center"/>
            </w:pPr>
          </w:p>
        </w:tc>
      </w:tr>
      <w:tr w14:paraId="1D24C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A17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32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BB6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5E7B">
            <w:pPr>
              <w:jc w:val="center"/>
            </w:pPr>
            <w:r>
              <w:rPr>
                <w:rFonts w:ascii="宋体" w:hAnsi="宋体" w:eastAsia="宋体"/>
                <w:sz w:val="16"/>
              </w:rPr>
              <w:t>打印机碎纸机正常使用率（%）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7E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F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E3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E6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85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A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9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E12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76BA">
            <w:pPr>
              <w:jc w:val="center"/>
            </w:pPr>
          </w:p>
        </w:tc>
      </w:tr>
      <w:tr w14:paraId="524E8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CB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B7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58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E9A1">
            <w:pPr>
              <w:jc w:val="center"/>
            </w:pPr>
            <w:r>
              <w:rPr>
                <w:rFonts w:ascii="宋体" w:hAnsi="宋体" w:eastAsia="宋体"/>
                <w:sz w:val="16"/>
              </w:rPr>
              <w:t>交叉审计调查工作截止时间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3A92">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9B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E3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926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C7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68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77E7">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241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58587">
            <w:pPr>
              <w:jc w:val="center"/>
            </w:pPr>
          </w:p>
        </w:tc>
      </w:tr>
      <w:tr w14:paraId="5EAFF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930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270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E49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1E8B">
            <w:pPr>
              <w:jc w:val="center"/>
            </w:pPr>
            <w:r>
              <w:rPr>
                <w:rFonts w:ascii="宋体" w:hAnsi="宋体" w:eastAsia="宋体"/>
                <w:sz w:val="16"/>
              </w:rPr>
              <w:t>会议室使用费（元）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A5B4">
            <w:pPr>
              <w:jc w:val="center"/>
            </w:pPr>
            <w:r>
              <w:rPr>
                <w:rFonts w:ascii="宋体" w:hAnsi="宋体" w:eastAsia="宋体"/>
                <w:sz w:val="16"/>
              </w:rPr>
              <w:t>&lt;=45900元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27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79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8B1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73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34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8872">
            <w:pPr>
              <w:jc w:val="center"/>
            </w:pPr>
            <w:r>
              <w:rPr>
                <w:rFonts w:ascii="宋体" w:hAnsi="宋体" w:eastAsia="宋体"/>
                <w:sz w:val="16"/>
              </w:rPr>
              <w:t>=45900元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6FC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F3351">
            <w:pPr>
              <w:jc w:val="center"/>
            </w:pPr>
          </w:p>
        </w:tc>
      </w:tr>
      <w:tr w14:paraId="3DC20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5ED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90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75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7A14">
            <w:pPr>
              <w:jc w:val="center"/>
            </w:pPr>
            <w:r>
              <w:rPr>
                <w:rFonts w:ascii="宋体" w:hAnsi="宋体" w:eastAsia="宋体"/>
                <w:sz w:val="16"/>
              </w:rPr>
              <w:t>购买办公用品（元）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8B2F">
            <w:pPr>
              <w:jc w:val="center"/>
            </w:pPr>
            <w:r>
              <w:rPr>
                <w:rFonts w:ascii="宋体" w:hAnsi="宋体" w:eastAsia="宋体"/>
                <w:sz w:val="16"/>
              </w:rPr>
              <w:t>&lt;=7954元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F9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E5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57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A5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CA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3021">
            <w:pPr>
              <w:jc w:val="center"/>
            </w:pPr>
            <w:r>
              <w:rPr>
                <w:rFonts w:ascii="宋体" w:hAnsi="宋体" w:eastAsia="宋体"/>
                <w:sz w:val="16"/>
              </w:rPr>
              <w:t>=7954元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452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2128C">
            <w:pPr>
              <w:jc w:val="center"/>
            </w:pPr>
          </w:p>
        </w:tc>
      </w:tr>
      <w:tr w14:paraId="09A35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63F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01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F8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7F7C">
            <w:pPr>
              <w:jc w:val="center"/>
            </w:pPr>
            <w:r>
              <w:rPr>
                <w:rFonts w:ascii="宋体" w:hAnsi="宋体" w:eastAsia="宋体"/>
                <w:sz w:val="16"/>
              </w:rPr>
              <w:t>其他临时性支出（万元）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045F">
            <w:pPr>
              <w:jc w:val="center"/>
            </w:pPr>
            <w:r>
              <w:rPr>
                <w:rFonts w:ascii="宋体" w:hAnsi="宋体" w:eastAsia="宋体"/>
                <w:sz w:val="16"/>
              </w:rPr>
              <w:t>&lt;=46146元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15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A5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1F1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EE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1E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7385">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4F0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F4C67">
            <w:pPr>
              <w:jc w:val="center"/>
            </w:pPr>
            <w:r>
              <w:rPr>
                <w:rFonts w:ascii="宋体" w:hAnsi="宋体" w:eastAsia="宋体"/>
                <w:sz w:val="16"/>
              </w:rPr>
              <w:t>偏差原因：因本项目实施方案有变动，与预算金额有差别。改进措施：改善预算支出，严格按照预算金额执行。</w:t>
            </w:r>
          </w:p>
        </w:tc>
      </w:tr>
      <w:tr w14:paraId="4BD82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45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0B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978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6F66">
            <w:pPr>
              <w:jc w:val="center"/>
            </w:pPr>
            <w:r>
              <w:rPr>
                <w:rFonts w:ascii="宋体" w:hAnsi="宋体" w:eastAsia="宋体"/>
                <w:sz w:val="16"/>
              </w:rPr>
              <w:t>保障国有资产保值增值和企业高质量发展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22A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F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CD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FC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9B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AF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980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4BA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BE5C6">
            <w:pPr>
              <w:jc w:val="center"/>
            </w:pPr>
          </w:p>
        </w:tc>
      </w:tr>
      <w:tr w14:paraId="73B77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56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FC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60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0B78">
            <w:pPr>
              <w:jc w:val="center"/>
            </w:pPr>
            <w:r>
              <w:rPr>
                <w:rFonts w:ascii="宋体" w:hAnsi="宋体" w:eastAsia="宋体"/>
                <w:sz w:val="16"/>
              </w:rPr>
              <w:t>对交叉审计工作满意度（%）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F3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6A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BD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3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07B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D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30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14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8356E">
            <w:pPr>
              <w:jc w:val="center"/>
            </w:pPr>
          </w:p>
        </w:tc>
      </w:tr>
      <w:tr w14:paraId="7B6F37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FA8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10D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6DA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E1105E">
            <w:pPr>
              <w:jc w:val="center"/>
            </w:pPr>
            <w:r>
              <w:rPr>
                <w:rFonts w:ascii="宋体" w:hAnsi="宋体" w:eastAsia="宋体"/>
                <w:sz w:val="16"/>
              </w:rPr>
              <w:t>84分</w:t>
            </w:r>
          </w:p>
        </w:tc>
      </w:tr>
    </w:tbl>
    <w:p w14:paraId="3985B8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769"/>
        <w:gridCol w:w="555"/>
        <w:gridCol w:w="572"/>
        <w:gridCol w:w="632"/>
        <w:gridCol w:w="632"/>
        <w:gridCol w:w="632"/>
        <w:gridCol w:w="632"/>
        <w:gridCol w:w="632"/>
        <w:gridCol w:w="632"/>
      </w:tblGrid>
      <w:tr w14:paraId="31BD54A5">
        <w:tblPrEx>
          <w:tblCellMar>
            <w:top w:w="0" w:type="dxa"/>
            <w:left w:w="108" w:type="dxa"/>
            <w:bottom w:w="0" w:type="dxa"/>
            <w:right w:w="108" w:type="dxa"/>
          </w:tblCellMar>
        </w:tblPrEx>
        <w:tc>
          <w:tcPr>
            <w:tcW w:w="8912" w:type="dxa"/>
            <w:gridSpan w:val="14"/>
            <w:vAlign w:val="center"/>
          </w:tcPr>
          <w:p w14:paraId="6CBCFBA2">
            <w:pPr>
              <w:jc w:val="center"/>
            </w:pPr>
            <w:r>
              <w:rPr>
                <w:rFonts w:ascii="宋体" w:hAnsi="宋体" w:eastAsia="宋体"/>
                <w:sz w:val="24"/>
              </w:rPr>
              <w:t>项目支出绩效自评表</w:t>
            </w:r>
          </w:p>
        </w:tc>
      </w:tr>
      <w:tr w14:paraId="7B036750">
        <w:tblPrEx>
          <w:tblCellMar>
            <w:top w:w="0" w:type="dxa"/>
            <w:left w:w="108" w:type="dxa"/>
            <w:bottom w:w="0" w:type="dxa"/>
            <w:right w:w="108" w:type="dxa"/>
          </w:tblCellMar>
        </w:tblPrEx>
        <w:tc>
          <w:tcPr>
            <w:tcW w:w="8912" w:type="dxa"/>
            <w:gridSpan w:val="14"/>
            <w:vAlign w:val="center"/>
          </w:tcPr>
          <w:p w14:paraId="69ABB3AA">
            <w:pPr>
              <w:jc w:val="center"/>
            </w:pPr>
            <w:r>
              <w:rPr>
                <w:rFonts w:ascii="宋体" w:hAnsi="宋体" w:eastAsia="宋体"/>
                <w:sz w:val="24"/>
              </w:rPr>
              <w:t>(2024年度)</w:t>
            </w:r>
          </w:p>
        </w:tc>
      </w:tr>
      <w:tr w14:paraId="71BAA2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671A">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A37C62">
            <w:pPr>
              <w:jc w:val="center"/>
            </w:pPr>
            <w:r>
              <w:rPr>
                <w:rFonts w:ascii="宋体" w:hAnsi="宋体" w:eastAsia="宋体"/>
                <w:sz w:val="16"/>
              </w:rPr>
              <w:t>党费项目</w:t>
            </w:r>
          </w:p>
        </w:tc>
      </w:tr>
      <w:tr w14:paraId="4FE0E0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5877">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2DC37">
            <w:pPr>
              <w:jc w:val="center"/>
            </w:pPr>
            <w:r>
              <w:rPr>
                <w:rFonts w:ascii="宋体" w:hAnsi="宋体" w:eastAsia="宋体"/>
                <w:sz w:val="16"/>
              </w:rPr>
              <w:t>克孜勒苏柯尔克孜自治州人民政府国有资产监督管理委员会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B8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41A49D">
            <w:pPr>
              <w:jc w:val="center"/>
            </w:pPr>
            <w:r>
              <w:rPr>
                <w:rFonts w:ascii="宋体" w:hAnsi="宋体" w:eastAsia="宋体"/>
                <w:sz w:val="16"/>
              </w:rPr>
              <w:t>克孜勒苏柯尔克孜自治州人民政府国有资产监督管理委员会</w:t>
            </w:r>
          </w:p>
        </w:tc>
      </w:tr>
      <w:tr w14:paraId="0C7312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F00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0C246">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640EA">
            <w:pPr>
              <w:jc w:val="center"/>
            </w:pPr>
            <w:r>
              <w:rPr>
                <w:rFonts w:ascii="宋体" w:hAnsi="宋体" w:eastAsia="宋体"/>
                <w:sz w:val="16"/>
              </w:rPr>
              <w:t>年初预算数</w:t>
            </w:r>
          </w:p>
        </w:tc>
        <w:tc>
          <w:tcPr>
            <w:tcW w:w="13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F0128">
            <w:pPr>
              <w:jc w:val="center"/>
            </w:pPr>
            <w:r>
              <w:rPr>
                <w:rFonts w:ascii="宋体" w:hAnsi="宋体" w:eastAsia="宋体"/>
                <w:sz w:val="16"/>
              </w:rPr>
              <w:t>全年预算数</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291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0F4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A12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90D4">
            <w:pPr>
              <w:jc w:val="center"/>
            </w:pPr>
            <w:r>
              <w:rPr>
                <w:rFonts w:ascii="宋体" w:hAnsi="宋体" w:eastAsia="宋体"/>
                <w:sz w:val="16"/>
              </w:rPr>
              <w:t>得分</w:t>
            </w:r>
          </w:p>
        </w:tc>
      </w:tr>
      <w:tr w14:paraId="345E0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132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54D3E">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99A39">
            <w:pPr>
              <w:jc w:val="center"/>
            </w:pPr>
            <w:r>
              <w:rPr>
                <w:rFonts w:ascii="宋体" w:hAnsi="宋体" w:eastAsia="宋体"/>
                <w:sz w:val="16"/>
              </w:rPr>
              <w:t>20.00</w:t>
            </w:r>
          </w:p>
        </w:tc>
        <w:tc>
          <w:tcPr>
            <w:tcW w:w="13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13EBD">
            <w:pPr>
              <w:jc w:val="center"/>
            </w:pPr>
            <w:r>
              <w:rPr>
                <w:rFonts w:ascii="宋体" w:hAnsi="宋体" w:eastAsia="宋体"/>
                <w:sz w:val="16"/>
              </w:rPr>
              <w:t>20.00</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632D5">
            <w:pPr>
              <w:jc w:val="center"/>
            </w:pPr>
            <w:r>
              <w:rPr>
                <w:rFonts w:ascii="宋体" w:hAnsi="宋体" w:eastAsia="宋体"/>
                <w:sz w:val="16"/>
              </w:rPr>
              <w:t>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376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96E08">
            <w:pPr>
              <w:jc w:val="center"/>
            </w:pPr>
            <w:r>
              <w:rPr>
                <w:rFonts w:ascii="宋体" w:hAnsi="宋体" w:eastAsia="宋体"/>
                <w:sz w:val="16"/>
              </w:rPr>
              <w:t>19.7%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1131">
            <w:pPr>
              <w:jc w:val="center"/>
            </w:pPr>
            <w:r>
              <w:rPr>
                <w:rFonts w:ascii="宋体" w:hAnsi="宋体" w:eastAsia="宋体"/>
                <w:sz w:val="16"/>
              </w:rPr>
              <w:t>0.00分</w:t>
            </w:r>
          </w:p>
        </w:tc>
      </w:tr>
      <w:tr w14:paraId="46C94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4FE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BC586">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90738">
            <w:pPr>
              <w:jc w:val="center"/>
            </w:pPr>
            <w:r>
              <w:rPr>
                <w:rFonts w:ascii="宋体" w:hAnsi="宋体" w:eastAsia="宋体"/>
                <w:sz w:val="16"/>
              </w:rPr>
              <w:t>0.00</w:t>
            </w:r>
          </w:p>
        </w:tc>
        <w:tc>
          <w:tcPr>
            <w:tcW w:w="13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21D4B">
            <w:pPr>
              <w:jc w:val="center"/>
            </w:pPr>
            <w:r>
              <w:rPr>
                <w:rFonts w:ascii="宋体" w:hAnsi="宋体" w:eastAsia="宋体"/>
                <w:sz w:val="16"/>
              </w:rPr>
              <w:t>0.00</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B3B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18C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F4D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58C0">
            <w:pPr>
              <w:jc w:val="center"/>
            </w:pPr>
            <w:r>
              <w:rPr>
                <w:rFonts w:ascii="宋体" w:hAnsi="宋体" w:eastAsia="宋体"/>
                <w:sz w:val="16"/>
              </w:rPr>
              <w:t>—</w:t>
            </w:r>
          </w:p>
        </w:tc>
      </w:tr>
      <w:tr w14:paraId="374C5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685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D578D">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4EF07">
            <w:pPr>
              <w:jc w:val="center"/>
            </w:pPr>
            <w:r>
              <w:rPr>
                <w:rFonts w:ascii="宋体" w:hAnsi="宋体" w:eastAsia="宋体"/>
                <w:sz w:val="16"/>
              </w:rPr>
              <w:t>20.00</w:t>
            </w:r>
          </w:p>
        </w:tc>
        <w:tc>
          <w:tcPr>
            <w:tcW w:w="13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D7D9C">
            <w:pPr>
              <w:jc w:val="center"/>
            </w:pPr>
            <w:r>
              <w:rPr>
                <w:rFonts w:ascii="宋体" w:hAnsi="宋体" w:eastAsia="宋体"/>
                <w:sz w:val="16"/>
              </w:rPr>
              <w:t>20.00</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E2683">
            <w:pPr>
              <w:jc w:val="center"/>
            </w:pPr>
            <w:r>
              <w:rPr>
                <w:rFonts w:ascii="宋体" w:hAnsi="宋体" w:eastAsia="宋体"/>
                <w:sz w:val="16"/>
              </w:rPr>
              <w:t>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94E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A6D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1CE5">
            <w:pPr>
              <w:jc w:val="center"/>
            </w:pPr>
            <w:r>
              <w:rPr>
                <w:rFonts w:ascii="宋体" w:hAnsi="宋体" w:eastAsia="宋体"/>
                <w:sz w:val="16"/>
              </w:rPr>
              <w:t>—</w:t>
            </w:r>
          </w:p>
        </w:tc>
      </w:tr>
      <w:tr w14:paraId="2E20D7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554A9">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9C7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9E3DD5">
            <w:pPr>
              <w:jc w:val="center"/>
            </w:pPr>
            <w:r>
              <w:rPr>
                <w:rFonts w:ascii="宋体" w:hAnsi="宋体" w:eastAsia="宋体"/>
                <w:sz w:val="16"/>
              </w:rPr>
              <w:t>实际完成情况</w:t>
            </w:r>
          </w:p>
        </w:tc>
      </w:tr>
      <w:tr w14:paraId="6FF8DB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A91D0"/>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853F1">
            <w:pPr>
              <w:jc w:val="both"/>
            </w:pPr>
            <w:r>
              <w:rPr>
                <w:rFonts w:ascii="宋体" w:hAnsi="宋体" w:eastAsia="宋体"/>
                <w:sz w:val="16"/>
              </w:rPr>
              <w:t>项目资金20万元，由收5个基层党委和17个党支部党费组成，实际收集的金额80%上交州委组织部，20%自留用于开展党委党建工作及党支部日常管理工作。</w:t>
            </w:r>
            <w:r>
              <w:rPr>
                <w:rFonts w:hint="eastAsia" w:ascii="宋体" w:hAnsi="宋体"/>
                <w:sz w:val="16"/>
                <w:lang w:eastAsia="zh-CN"/>
              </w:rPr>
              <w:t>截至</w:t>
            </w:r>
            <w:r>
              <w:rPr>
                <w:rFonts w:ascii="宋体" w:hAnsi="宋体" w:eastAsia="宋体"/>
                <w:sz w:val="16"/>
              </w:rPr>
              <w:t>2023年年底，共有447名党员，其中，32名预备党员。通过规范中央、自治区驻州企业党费收缴、使用</w:t>
            </w:r>
            <w:r>
              <w:rPr>
                <w:rFonts w:hint="eastAsia" w:ascii="宋体" w:hAnsi="宋体"/>
                <w:sz w:val="16"/>
                <w:lang w:eastAsia="zh-CN"/>
              </w:rPr>
              <w:t>和</w:t>
            </w:r>
            <w:r>
              <w:rPr>
                <w:rFonts w:ascii="宋体" w:hAnsi="宋体" w:eastAsia="宋体"/>
                <w:sz w:val="16"/>
              </w:rPr>
              <w:t>管理；达到打牢基层党建工作基础，切实增强基层党组织的战斗力、凝聚力和创造力，建设学习型、服务型、创造性基层党组织。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0FA8B7">
            <w:pPr>
              <w:jc w:val="both"/>
            </w:pPr>
            <w:r>
              <w:rPr>
                <w:rFonts w:ascii="宋体" w:hAnsi="宋体" w:eastAsia="宋体"/>
                <w:sz w:val="16"/>
              </w:rPr>
              <w:t>截至2024年12月31日，已完成：管理基层党委数量5个，管理党支部数量17个</w:t>
            </w:r>
            <w:r>
              <w:rPr>
                <w:rFonts w:hint="eastAsia" w:ascii="宋体" w:hAnsi="宋体"/>
                <w:sz w:val="16"/>
                <w:lang w:eastAsia="zh-CN"/>
              </w:rPr>
              <w:t>，</w:t>
            </w:r>
            <w:r>
              <w:rPr>
                <w:rFonts w:ascii="宋体" w:hAnsi="宋体" w:eastAsia="宋体"/>
                <w:sz w:val="16"/>
              </w:rPr>
              <w:t>党委党员人数417人，通过该项目实施，达到打牢基层党建工作基础，切实增强基层党组织的战斗力、凝聚力和创造力，建设学习型、服务型、</w:t>
            </w:r>
            <w:r>
              <w:rPr>
                <w:rFonts w:hint="eastAsia" w:ascii="宋体" w:hAnsi="宋体"/>
                <w:sz w:val="16"/>
                <w:lang w:eastAsia="zh-CN"/>
              </w:rPr>
              <w:t>创造型</w:t>
            </w:r>
            <w:r>
              <w:rPr>
                <w:rFonts w:ascii="宋体" w:hAnsi="宋体" w:eastAsia="宋体"/>
                <w:sz w:val="16"/>
              </w:rPr>
              <w:t>基层党组织。</w:t>
            </w:r>
          </w:p>
        </w:tc>
      </w:tr>
      <w:tr w14:paraId="0E971A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9CB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5C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A695">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82EE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C0CA">
            <w:pPr>
              <w:jc w:val="center"/>
            </w:pPr>
            <w:r>
              <w:rPr>
                <w:rFonts w:ascii="宋体" w:hAnsi="宋体" w:eastAsia="宋体"/>
                <w:sz w:val="16"/>
              </w:rPr>
              <w:t>年度指标值</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27BB2361">
            <w:pPr>
              <w:jc w:val="center"/>
            </w:pPr>
            <w:r>
              <w:rPr>
                <w:rFonts w:ascii="宋体" w:hAnsi="宋体" w:eastAsia="宋体"/>
                <w:sz w:val="16"/>
              </w:rPr>
              <w:t>指标值设定依据</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1CC68371">
            <w:pPr>
              <w:jc w:val="center"/>
            </w:pPr>
            <w:r>
              <w:rPr>
                <w:rFonts w:ascii="宋体" w:hAnsi="宋体" w:eastAsia="宋体"/>
                <w:sz w:val="16"/>
              </w:rPr>
              <w:t>上年完成情况</w:t>
            </w:r>
          </w:p>
        </w:tc>
        <w:tc>
          <w:tcPr>
            <w:tcW w:w="572" w:type="dxa"/>
            <w:tcBorders>
              <w:top w:val="single" w:color="auto" w:sz="10" w:space="0"/>
              <w:left w:val="single" w:color="auto" w:sz="10" w:space="0"/>
              <w:bottom w:val="single" w:color="auto" w:sz="10" w:space="0"/>
              <w:right w:val="single" w:color="auto" w:sz="10" w:space="0"/>
              <w:insideV w:val="single" w:sz="10" w:space="0"/>
            </w:tcBorders>
            <w:vAlign w:val="center"/>
          </w:tcPr>
          <w:p w14:paraId="262B3A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4D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73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AA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28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D0CB0">
            <w:pPr>
              <w:jc w:val="center"/>
            </w:pPr>
            <w:r>
              <w:rPr>
                <w:rFonts w:ascii="宋体" w:hAnsi="宋体" w:eastAsia="宋体"/>
                <w:sz w:val="16"/>
              </w:rPr>
              <w:t>偏差原因分析及改进措施</w:t>
            </w:r>
          </w:p>
        </w:tc>
      </w:tr>
      <w:tr w14:paraId="2D4D02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8CC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9C1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09C16">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9F6CAF">
            <w:pPr>
              <w:jc w:val="center"/>
            </w:pPr>
            <w:r>
              <w:rPr>
                <w:rFonts w:ascii="宋体" w:hAnsi="宋体" w:eastAsia="宋体"/>
                <w:sz w:val="16"/>
              </w:rPr>
              <w:t>管理基层党委数量（个）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9A54">
            <w:pPr>
              <w:jc w:val="center"/>
            </w:pPr>
            <w:r>
              <w:rPr>
                <w:rFonts w:ascii="宋体" w:hAnsi="宋体" w:eastAsia="宋体"/>
                <w:sz w:val="16"/>
              </w:rPr>
              <w:t>=5个</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6DFFAB15">
            <w:pPr>
              <w:jc w:val="center"/>
            </w:pPr>
            <w:r>
              <w:rPr>
                <w:rFonts w:ascii="宋体" w:hAnsi="宋体" w:eastAsia="宋体"/>
                <w:sz w:val="16"/>
              </w:rPr>
              <w:t>计划标准</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5778B935">
            <w:pPr>
              <w:jc w:val="center"/>
            </w:pPr>
            <w:r>
              <w:rPr>
                <w:rFonts w:ascii="宋体" w:hAnsi="宋体" w:eastAsia="宋体"/>
                <w:sz w:val="16"/>
              </w:rPr>
              <w:t>新增</w:t>
            </w:r>
          </w:p>
        </w:tc>
        <w:tc>
          <w:tcPr>
            <w:tcW w:w="572" w:type="dxa"/>
            <w:tcBorders>
              <w:top w:val="single" w:color="auto" w:sz="10" w:space="0"/>
              <w:left w:val="single" w:color="auto" w:sz="10" w:space="0"/>
              <w:bottom w:val="single" w:color="auto" w:sz="10" w:space="0"/>
              <w:right w:val="single" w:color="auto" w:sz="10" w:space="0"/>
              <w:insideV w:val="single" w:sz="10" w:space="0"/>
            </w:tcBorders>
            <w:vAlign w:val="center"/>
          </w:tcPr>
          <w:p w14:paraId="1AAFED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DE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B4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7C8E">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437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B4266">
            <w:pPr>
              <w:jc w:val="center"/>
            </w:pPr>
            <w:r>
              <w:rPr>
                <w:rFonts w:ascii="宋体" w:hAnsi="宋体" w:eastAsia="宋体"/>
                <w:sz w:val="16"/>
              </w:rPr>
              <w:t>偏差原因：党费未及时上缴。改进措施：改善预算支出，严格按照预算金额执行。</w:t>
            </w:r>
          </w:p>
        </w:tc>
      </w:tr>
      <w:tr w14:paraId="7F41D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18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54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F575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7F3FAF">
            <w:pPr>
              <w:jc w:val="center"/>
            </w:pPr>
            <w:r>
              <w:rPr>
                <w:rFonts w:ascii="宋体" w:hAnsi="宋体" w:eastAsia="宋体"/>
                <w:sz w:val="16"/>
              </w:rPr>
              <w:t>管理党支部数量（个）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109C">
            <w:pPr>
              <w:jc w:val="center"/>
            </w:pPr>
            <w:r>
              <w:rPr>
                <w:rFonts w:ascii="宋体" w:hAnsi="宋体" w:eastAsia="宋体"/>
                <w:sz w:val="16"/>
              </w:rPr>
              <w:t>=17个</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700CD121">
            <w:pPr>
              <w:jc w:val="center"/>
            </w:pPr>
            <w:r>
              <w:rPr>
                <w:rFonts w:ascii="宋体" w:hAnsi="宋体" w:eastAsia="宋体"/>
                <w:sz w:val="16"/>
              </w:rPr>
              <w:t>计划标准</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75B4BA1F">
            <w:pPr>
              <w:jc w:val="center"/>
            </w:pPr>
            <w:r>
              <w:rPr>
                <w:rFonts w:ascii="宋体" w:hAnsi="宋体" w:eastAsia="宋体"/>
                <w:sz w:val="16"/>
              </w:rPr>
              <w:t>新增</w:t>
            </w:r>
          </w:p>
        </w:tc>
        <w:tc>
          <w:tcPr>
            <w:tcW w:w="572" w:type="dxa"/>
            <w:tcBorders>
              <w:top w:val="single" w:color="auto" w:sz="10" w:space="0"/>
              <w:left w:val="single" w:color="auto" w:sz="10" w:space="0"/>
              <w:bottom w:val="single" w:color="auto" w:sz="10" w:space="0"/>
              <w:right w:val="single" w:color="auto" w:sz="10" w:space="0"/>
              <w:insideV w:val="single" w:sz="10" w:space="0"/>
            </w:tcBorders>
            <w:vAlign w:val="center"/>
          </w:tcPr>
          <w:p w14:paraId="7E426E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0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FA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9C72">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62D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035A9">
            <w:pPr>
              <w:jc w:val="center"/>
            </w:pPr>
            <w:r>
              <w:rPr>
                <w:rFonts w:ascii="宋体" w:hAnsi="宋体" w:eastAsia="宋体"/>
                <w:sz w:val="16"/>
              </w:rPr>
              <w:t>偏差原因：党费未及时上缴。改进措施：改善预算支出，严格按照预算金额执行。</w:t>
            </w:r>
          </w:p>
        </w:tc>
      </w:tr>
      <w:tr w14:paraId="680D0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DBA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38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65AB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11FBC9">
            <w:pPr>
              <w:jc w:val="center"/>
            </w:pPr>
            <w:r>
              <w:rPr>
                <w:rFonts w:ascii="宋体" w:hAnsi="宋体" w:eastAsia="宋体"/>
                <w:sz w:val="16"/>
              </w:rPr>
              <w:t>缴党委党员人数（人）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2139">
            <w:pPr>
              <w:jc w:val="center"/>
            </w:pPr>
            <w:r>
              <w:rPr>
                <w:rFonts w:ascii="宋体" w:hAnsi="宋体" w:eastAsia="宋体"/>
                <w:sz w:val="16"/>
              </w:rPr>
              <w:t>=417人</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1499F387">
            <w:pPr>
              <w:jc w:val="center"/>
            </w:pPr>
            <w:r>
              <w:rPr>
                <w:rFonts w:ascii="宋体" w:hAnsi="宋体" w:eastAsia="宋体"/>
                <w:sz w:val="16"/>
              </w:rPr>
              <w:t>计划标准</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0BEB65BD">
            <w:pPr>
              <w:jc w:val="center"/>
            </w:pPr>
            <w:r>
              <w:rPr>
                <w:rFonts w:ascii="宋体" w:hAnsi="宋体" w:eastAsia="宋体"/>
                <w:sz w:val="16"/>
              </w:rPr>
              <w:t>新增</w:t>
            </w:r>
          </w:p>
        </w:tc>
        <w:tc>
          <w:tcPr>
            <w:tcW w:w="572" w:type="dxa"/>
            <w:tcBorders>
              <w:top w:val="single" w:color="auto" w:sz="10" w:space="0"/>
              <w:left w:val="single" w:color="auto" w:sz="10" w:space="0"/>
              <w:bottom w:val="single" w:color="auto" w:sz="10" w:space="0"/>
              <w:right w:val="single" w:color="auto" w:sz="10" w:space="0"/>
              <w:insideV w:val="single" w:sz="10" w:space="0"/>
            </w:tcBorders>
            <w:vAlign w:val="center"/>
          </w:tcPr>
          <w:p w14:paraId="23DE84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D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05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4CA3">
            <w:pPr>
              <w:jc w:val="center"/>
            </w:pPr>
            <w:r>
              <w:rPr>
                <w:rFonts w:ascii="宋体" w:hAnsi="宋体" w:eastAsia="宋体"/>
                <w:sz w:val="16"/>
              </w:rPr>
              <w:t>=417人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DA2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9E0C7">
            <w:pPr>
              <w:jc w:val="center"/>
            </w:pPr>
            <w:r>
              <w:rPr>
                <w:rFonts w:ascii="宋体" w:hAnsi="宋体" w:eastAsia="宋体"/>
                <w:sz w:val="16"/>
              </w:rPr>
              <w:t>偏差原因：党费未及时上缴。改进措施：改善预算支出，严格按照预算金额执行。</w:t>
            </w:r>
          </w:p>
        </w:tc>
      </w:tr>
      <w:tr w14:paraId="135AF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CEE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01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0EF9">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9A7E30">
            <w:pPr>
              <w:jc w:val="center"/>
            </w:pPr>
            <w:r>
              <w:rPr>
                <w:rFonts w:ascii="宋体" w:hAnsi="宋体" w:eastAsia="宋体"/>
                <w:sz w:val="16"/>
              </w:rPr>
              <w:t>向州委组织部上缴党费比率（%）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BBF6">
            <w:pPr>
              <w:jc w:val="center"/>
            </w:pPr>
            <w:r>
              <w:rPr>
                <w:rFonts w:ascii="宋体" w:hAnsi="宋体" w:eastAsia="宋体"/>
                <w:sz w:val="16"/>
              </w:rPr>
              <w:t>=80%</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2F646F0A">
            <w:pPr>
              <w:jc w:val="center"/>
            </w:pPr>
            <w:r>
              <w:rPr>
                <w:rFonts w:ascii="宋体" w:hAnsi="宋体" w:eastAsia="宋体"/>
                <w:sz w:val="16"/>
              </w:rPr>
              <w:t>计划标准</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3DA1BCAF">
            <w:pPr>
              <w:jc w:val="center"/>
            </w:pPr>
            <w:r>
              <w:rPr>
                <w:rFonts w:ascii="宋体" w:hAnsi="宋体" w:eastAsia="宋体"/>
                <w:sz w:val="16"/>
              </w:rPr>
              <w:t>新增</w:t>
            </w:r>
          </w:p>
        </w:tc>
        <w:tc>
          <w:tcPr>
            <w:tcW w:w="572" w:type="dxa"/>
            <w:tcBorders>
              <w:top w:val="single" w:color="auto" w:sz="10" w:space="0"/>
              <w:left w:val="single" w:color="auto" w:sz="10" w:space="0"/>
              <w:bottom w:val="single" w:color="auto" w:sz="10" w:space="0"/>
              <w:right w:val="single" w:color="auto" w:sz="10" w:space="0"/>
              <w:insideV w:val="single" w:sz="10" w:space="0"/>
            </w:tcBorders>
            <w:vAlign w:val="center"/>
          </w:tcPr>
          <w:p w14:paraId="4A95FE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8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A3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CE1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157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03A55">
            <w:pPr>
              <w:jc w:val="center"/>
            </w:pPr>
            <w:r>
              <w:rPr>
                <w:rFonts w:ascii="宋体" w:hAnsi="宋体" w:eastAsia="宋体"/>
                <w:sz w:val="16"/>
              </w:rPr>
              <w:t>偏差原因：党费未及时上缴。改进措施：改善预算支出，严格按照预算金额执行。</w:t>
            </w:r>
          </w:p>
        </w:tc>
      </w:tr>
      <w:tr w14:paraId="455A7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0A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81E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047F">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88441E">
            <w:pPr>
              <w:jc w:val="center"/>
            </w:pPr>
            <w:r>
              <w:rPr>
                <w:rFonts w:ascii="宋体" w:hAnsi="宋体" w:eastAsia="宋体"/>
                <w:sz w:val="16"/>
              </w:rPr>
              <w:t>按时收缴</w:t>
            </w:r>
            <w:r>
              <w:rPr>
                <w:rFonts w:hint="eastAsia" w:ascii="宋体" w:hAnsi="宋体"/>
                <w:sz w:val="16"/>
                <w:lang w:eastAsia="zh-CN"/>
              </w:rPr>
              <w:t>党费</w:t>
            </w:r>
            <w:r>
              <w:rPr>
                <w:rFonts w:ascii="宋体" w:hAnsi="宋体" w:eastAsia="宋体"/>
                <w:sz w:val="16"/>
              </w:rPr>
              <w:t>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82E8">
            <w:pPr>
              <w:jc w:val="center"/>
            </w:pPr>
            <w:r>
              <w:rPr>
                <w:rFonts w:ascii="宋体" w:hAnsi="宋体" w:eastAsia="宋体"/>
                <w:sz w:val="16"/>
              </w:rPr>
              <w:t>=100%</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2AAD7DFE">
            <w:pPr>
              <w:jc w:val="center"/>
            </w:pPr>
            <w:r>
              <w:rPr>
                <w:rFonts w:ascii="宋体" w:hAnsi="宋体" w:eastAsia="宋体"/>
                <w:sz w:val="16"/>
              </w:rPr>
              <w:t>计划标准</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12976CF6">
            <w:pPr>
              <w:jc w:val="center"/>
            </w:pPr>
            <w:r>
              <w:rPr>
                <w:rFonts w:ascii="宋体" w:hAnsi="宋体" w:eastAsia="宋体"/>
                <w:sz w:val="16"/>
              </w:rPr>
              <w:t>新增</w:t>
            </w:r>
          </w:p>
        </w:tc>
        <w:tc>
          <w:tcPr>
            <w:tcW w:w="572" w:type="dxa"/>
            <w:tcBorders>
              <w:top w:val="single" w:color="auto" w:sz="10" w:space="0"/>
              <w:left w:val="single" w:color="auto" w:sz="10" w:space="0"/>
              <w:bottom w:val="single" w:color="auto" w:sz="10" w:space="0"/>
              <w:right w:val="single" w:color="auto" w:sz="10" w:space="0"/>
              <w:insideV w:val="single" w:sz="10" w:space="0"/>
            </w:tcBorders>
            <w:vAlign w:val="center"/>
          </w:tcPr>
          <w:p w14:paraId="53C7CC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03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C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67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62C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B3063">
            <w:pPr>
              <w:jc w:val="center"/>
            </w:pPr>
            <w:r>
              <w:rPr>
                <w:rFonts w:ascii="宋体" w:hAnsi="宋体" w:eastAsia="宋体"/>
                <w:sz w:val="16"/>
              </w:rPr>
              <w:t>偏差原因：党费未及时上缴。改进措施：改善预算支出，严格按照预算金额执行。</w:t>
            </w:r>
          </w:p>
        </w:tc>
      </w:tr>
      <w:tr w14:paraId="5CE2BD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CB1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AD5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73F22">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463C63">
            <w:pPr>
              <w:jc w:val="center"/>
            </w:pPr>
            <w:r>
              <w:rPr>
                <w:rFonts w:ascii="宋体" w:hAnsi="宋体" w:eastAsia="宋体"/>
                <w:sz w:val="16"/>
              </w:rPr>
              <w:t>开展党建活动及党支部日常管理费用（万元）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CE5C">
            <w:pPr>
              <w:jc w:val="center"/>
            </w:pPr>
            <w:r>
              <w:rPr>
                <w:rFonts w:ascii="宋体" w:hAnsi="宋体" w:eastAsia="宋体"/>
                <w:sz w:val="16"/>
              </w:rPr>
              <w:t>&lt;=4万元</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395EC9AB">
            <w:pPr>
              <w:jc w:val="center"/>
            </w:pPr>
            <w:r>
              <w:rPr>
                <w:rFonts w:ascii="宋体" w:hAnsi="宋体" w:eastAsia="宋体"/>
                <w:sz w:val="16"/>
              </w:rPr>
              <w:t>计划标准</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4F9E7B55">
            <w:pPr>
              <w:jc w:val="center"/>
            </w:pPr>
            <w:r>
              <w:rPr>
                <w:rFonts w:ascii="宋体" w:hAnsi="宋体" w:eastAsia="宋体"/>
                <w:sz w:val="16"/>
              </w:rPr>
              <w:t>新增</w:t>
            </w:r>
          </w:p>
        </w:tc>
        <w:tc>
          <w:tcPr>
            <w:tcW w:w="572" w:type="dxa"/>
            <w:tcBorders>
              <w:top w:val="single" w:color="auto" w:sz="10" w:space="0"/>
              <w:left w:val="single" w:color="auto" w:sz="10" w:space="0"/>
              <w:bottom w:val="single" w:color="auto" w:sz="10" w:space="0"/>
              <w:right w:val="single" w:color="auto" w:sz="10" w:space="0"/>
              <w:insideV w:val="single" w:sz="10" w:space="0"/>
            </w:tcBorders>
            <w:vAlign w:val="center"/>
          </w:tcPr>
          <w:p w14:paraId="2D932C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74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98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3032">
            <w:pPr>
              <w:jc w:val="center"/>
            </w:pPr>
            <w:r>
              <w:rPr>
                <w:rFonts w:ascii="宋体" w:hAnsi="宋体" w:eastAsia="宋体"/>
                <w:sz w:val="16"/>
              </w:rPr>
              <w:t>=3.93万元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4D93">
            <w:pPr>
              <w:jc w:val="center"/>
            </w:pPr>
            <w:r>
              <w:rPr>
                <w:rFonts w:ascii="宋体" w:hAnsi="宋体" w:eastAsia="宋体"/>
                <w:sz w:val="16"/>
              </w:rPr>
              <w:t>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05B77">
            <w:pPr>
              <w:jc w:val="center"/>
            </w:pPr>
            <w:r>
              <w:rPr>
                <w:rFonts w:ascii="宋体" w:hAnsi="宋体" w:eastAsia="宋体"/>
                <w:sz w:val="16"/>
              </w:rPr>
              <w:t>偏差原因：党费未及时上缴。改进措施：改善预算支出，严格按照预算金额执行。</w:t>
            </w:r>
          </w:p>
        </w:tc>
      </w:tr>
      <w:tr w14:paraId="668AF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A5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946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309B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6B06F4">
            <w:pPr>
              <w:jc w:val="center"/>
            </w:pPr>
            <w:r>
              <w:rPr>
                <w:rFonts w:ascii="宋体" w:hAnsi="宋体" w:eastAsia="宋体"/>
                <w:sz w:val="16"/>
              </w:rPr>
              <w:t>上缴州委组织部党费（万元）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B82E">
            <w:pPr>
              <w:jc w:val="center"/>
            </w:pPr>
            <w:r>
              <w:rPr>
                <w:rFonts w:ascii="宋体" w:hAnsi="宋体" w:eastAsia="宋体"/>
                <w:sz w:val="16"/>
              </w:rPr>
              <w:t>&lt;=16万元</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7D5F6554">
            <w:pPr>
              <w:jc w:val="center"/>
            </w:pPr>
            <w:r>
              <w:rPr>
                <w:rFonts w:ascii="宋体" w:hAnsi="宋体" w:eastAsia="宋体"/>
                <w:sz w:val="16"/>
              </w:rPr>
              <w:t>计划标准</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6A7205AA">
            <w:pPr>
              <w:jc w:val="center"/>
            </w:pPr>
            <w:r>
              <w:rPr>
                <w:rFonts w:ascii="宋体" w:hAnsi="宋体" w:eastAsia="宋体"/>
                <w:sz w:val="16"/>
              </w:rPr>
              <w:t>新增</w:t>
            </w:r>
          </w:p>
        </w:tc>
        <w:tc>
          <w:tcPr>
            <w:tcW w:w="572" w:type="dxa"/>
            <w:tcBorders>
              <w:top w:val="single" w:color="auto" w:sz="10" w:space="0"/>
              <w:left w:val="single" w:color="auto" w:sz="10" w:space="0"/>
              <w:bottom w:val="single" w:color="auto" w:sz="10" w:space="0"/>
              <w:right w:val="single" w:color="auto" w:sz="10" w:space="0"/>
              <w:insideV w:val="single" w:sz="10" w:space="0"/>
            </w:tcBorders>
            <w:vAlign w:val="center"/>
          </w:tcPr>
          <w:p w14:paraId="0838E3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1F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44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E3E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5FB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5719E">
            <w:pPr>
              <w:jc w:val="center"/>
            </w:pPr>
            <w:r>
              <w:rPr>
                <w:rFonts w:ascii="宋体" w:hAnsi="宋体" w:eastAsia="宋体"/>
                <w:sz w:val="16"/>
              </w:rPr>
              <w:t>偏差原因：党费未及时上缴。改进措施：改善预算支出，严格按照预算金额执行。</w:t>
            </w:r>
          </w:p>
        </w:tc>
      </w:tr>
      <w:tr w14:paraId="2E8AE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0E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AC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B98D">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5E83DF">
            <w:pPr>
              <w:jc w:val="center"/>
            </w:pPr>
            <w:r>
              <w:rPr>
                <w:rFonts w:ascii="宋体" w:hAnsi="宋体" w:eastAsia="宋体"/>
                <w:sz w:val="16"/>
              </w:rPr>
              <w:t>提高基层党组织的服务能力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B29E">
            <w:pPr>
              <w:jc w:val="center"/>
            </w:pPr>
            <w:r>
              <w:rPr>
                <w:rFonts w:ascii="宋体" w:hAnsi="宋体" w:eastAsia="宋体"/>
                <w:sz w:val="16"/>
              </w:rPr>
              <w:t>有效提升</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698ECF4F">
            <w:pPr>
              <w:jc w:val="center"/>
            </w:pPr>
            <w:r>
              <w:rPr>
                <w:rFonts w:ascii="宋体" w:hAnsi="宋体" w:eastAsia="宋体"/>
                <w:sz w:val="16"/>
              </w:rPr>
              <w:t>计划标准</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2F543874">
            <w:pPr>
              <w:jc w:val="center"/>
            </w:pPr>
            <w:r>
              <w:rPr>
                <w:rFonts w:ascii="宋体" w:hAnsi="宋体" w:eastAsia="宋体"/>
                <w:sz w:val="16"/>
              </w:rPr>
              <w:t>新增</w:t>
            </w:r>
          </w:p>
        </w:tc>
        <w:tc>
          <w:tcPr>
            <w:tcW w:w="572" w:type="dxa"/>
            <w:tcBorders>
              <w:top w:val="single" w:color="auto" w:sz="10" w:space="0"/>
              <w:left w:val="single" w:color="auto" w:sz="10" w:space="0"/>
              <w:bottom w:val="single" w:color="auto" w:sz="10" w:space="0"/>
              <w:right w:val="single" w:color="auto" w:sz="10" w:space="0"/>
              <w:insideV w:val="single" w:sz="10" w:space="0"/>
            </w:tcBorders>
            <w:vAlign w:val="center"/>
          </w:tcPr>
          <w:p w14:paraId="08397E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0F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D00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ADF7">
            <w:pPr>
              <w:jc w:val="center"/>
            </w:pPr>
            <w:r>
              <w:rPr>
                <w:rFonts w:ascii="宋体" w:hAnsi="宋体" w:eastAsia="宋体"/>
                <w:sz w:val="16"/>
              </w:rPr>
              <w:t>目标实现程度较低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BFD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DA883">
            <w:pPr>
              <w:jc w:val="center"/>
            </w:pPr>
            <w:r>
              <w:rPr>
                <w:rFonts w:ascii="宋体" w:hAnsi="宋体" w:eastAsia="宋体"/>
                <w:sz w:val="16"/>
              </w:rPr>
              <w:t>偏差原因：党费未及时上缴。改进措施：改善预算支出，严格按照预算金额执行。</w:t>
            </w:r>
          </w:p>
        </w:tc>
      </w:tr>
      <w:tr w14:paraId="04E19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80E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37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B29E">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E4ED5B">
            <w:pPr>
              <w:jc w:val="center"/>
            </w:pPr>
            <w:r>
              <w:rPr>
                <w:rFonts w:ascii="宋体" w:hAnsi="宋体" w:eastAsia="宋体"/>
                <w:sz w:val="16"/>
              </w:rPr>
              <w:t>各基层党委及各党支部满意度（%）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8E4D">
            <w:pPr>
              <w:jc w:val="center"/>
            </w:pPr>
            <w:r>
              <w:rPr>
                <w:rFonts w:ascii="宋体" w:hAnsi="宋体" w:eastAsia="宋体"/>
                <w:sz w:val="16"/>
              </w:rPr>
              <w:t>&gt;=95%</w:t>
            </w:r>
          </w:p>
        </w:tc>
        <w:tc>
          <w:tcPr>
            <w:tcW w:w="769" w:type="dxa"/>
            <w:tcBorders>
              <w:top w:val="single" w:color="auto" w:sz="10" w:space="0"/>
              <w:left w:val="single" w:color="auto" w:sz="10" w:space="0"/>
              <w:bottom w:val="single" w:color="auto" w:sz="10" w:space="0"/>
              <w:right w:val="single" w:color="auto" w:sz="10" w:space="0"/>
              <w:insideV w:val="single" w:sz="10" w:space="0"/>
            </w:tcBorders>
            <w:vAlign w:val="center"/>
          </w:tcPr>
          <w:p w14:paraId="27F56EB4">
            <w:pPr>
              <w:jc w:val="center"/>
            </w:pPr>
            <w:r>
              <w:rPr>
                <w:rFonts w:ascii="宋体" w:hAnsi="宋体" w:eastAsia="宋体"/>
                <w:sz w:val="16"/>
              </w:rPr>
              <w:t>其他标准</w:t>
            </w:r>
          </w:p>
        </w:tc>
        <w:tc>
          <w:tcPr>
            <w:tcW w:w="555" w:type="dxa"/>
            <w:tcBorders>
              <w:top w:val="single" w:color="auto" w:sz="10" w:space="0"/>
              <w:left w:val="single" w:color="auto" w:sz="10" w:space="0"/>
              <w:bottom w:val="single" w:color="auto" w:sz="10" w:space="0"/>
              <w:right w:val="single" w:color="auto" w:sz="10" w:space="0"/>
              <w:insideV w:val="single" w:sz="10" w:space="0"/>
            </w:tcBorders>
            <w:vAlign w:val="center"/>
          </w:tcPr>
          <w:p w14:paraId="423C80A9">
            <w:pPr>
              <w:jc w:val="center"/>
            </w:pPr>
            <w:r>
              <w:rPr>
                <w:rFonts w:ascii="宋体" w:hAnsi="宋体" w:eastAsia="宋体"/>
                <w:sz w:val="16"/>
              </w:rPr>
              <w:t>新增</w:t>
            </w:r>
          </w:p>
        </w:tc>
        <w:tc>
          <w:tcPr>
            <w:tcW w:w="572" w:type="dxa"/>
            <w:tcBorders>
              <w:top w:val="single" w:color="auto" w:sz="10" w:space="0"/>
              <w:left w:val="single" w:color="auto" w:sz="10" w:space="0"/>
              <w:bottom w:val="single" w:color="auto" w:sz="10" w:space="0"/>
              <w:right w:val="single" w:color="auto" w:sz="10" w:space="0"/>
              <w:insideV w:val="single" w:sz="10" w:space="0"/>
            </w:tcBorders>
            <w:vAlign w:val="center"/>
          </w:tcPr>
          <w:p w14:paraId="43EFFF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B0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C9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D6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20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8EB82">
            <w:pPr>
              <w:jc w:val="center"/>
            </w:pPr>
          </w:p>
        </w:tc>
      </w:tr>
      <w:tr w14:paraId="0C3CEC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388D">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06A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856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2A5FD6">
            <w:pPr>
              <w:jc w:val="center"/>
            </w:pPr>
            <w:r>
              <w:rPr>
                <w:rFonts w:ascii="宋体" w:hAnsi="宋体" w:eastAsia="宋体"/>
                <w:sz w:val="16"/>
              </w:rPr>
              <w:t>19.56分</w:t>
            </w:r>
          </w:p>
        </w:tc>
      </w:tr>
    </w:tbl>
    <w:p w14:paraId="41139320">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18"/>
        <w:gridCol w:w="618"/>
        <w:gridCol w:w="618"/>
        <w:gridCol w:w="618"/>
        <w:gridCol w:w="776"/>
        <w:gridCol w:w="631"/>
        <w:gridCol w:w="601"/>
        <w:gridCol w:w="631"/>
      </w:tblGrid>
      <w:tr w14:paraId="00E2690E">
        <w:tblPrEx>
          <w:tblCellMar>
            <w:top w:w="0" w:type="dxa"/>
            <w:left w:w="108" w:type="dxa"/>
            <w:bottom w:w="0" w:type="dxa"/>
            <w:right w:w="108" w:type="dxa"/>
          </w:tblCellMar>
        </w:tblPrEx>
        <w:tc>
          <w:tcPr>
            <w:tcW w:w="8848" w:type="dxa"/>
            <w:gridSpan w:val="14"/>
            <w:vAlign w:val="center"/>
          </w:tcPr>
          <w:p w14:paraId="3478BD57">
            <w:pPr>
              <w:jc w:val="center"/>
            </w:pPr>
            <w:r>
              <w:rPr>
                <w:rFonts w:ascii="宋体" w:hAnsi="宋体" w:eastAsia="宋体"/>
                <w:sz w:val="24"/>
              </w:rPr>
              <w:t>项目支出绩效自评表</w:t>
            </w:r>
          </w:p>
        </w:tc>
      </w:tr>
      <w:tr w14:paraId="00FA8C6E">
        <w:tblPrEx>
          <w:tblCellMar>
            <w:top w:w="0" w:type="dxa"/>
            <w:left w:w="108" w:type="dxa"/>
            <w:bottom w:w="0" w:type="dxa"/>
            <w:right w:w="108" w:type="dxa"/>
          </w:tblCellMar>
        </w:tblPrEx>
        <w:tc>
          <w:tcPr>
            <w:tcW w:w="8848" w:type="dxa"/>
            <w:gridSpan w:val="14"/>
            <w:vAlign w:val="center"/>
          </w:tcPr>
          <w:p w14:paraId="00C9D282">
            <w:pPr>
              <w:jc w:val="center"/>
            </w:pPr>
            <w:r>
              <w:rPr>
                <w:rFonts w:ascii="宋体" w:hAnsi="宋体" w:eastAsia="宋体"/>
                <w:sz w:val="24"/>
              </w:rPr>
              <w:t>(2024年度)</w:t>
            </w:r>
          </w:p>
        </w:tc>
      </w:tr>
      <w:tr w14:paraId="59383F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4F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45DFBC">
            <w:pPr>
              <w:jc w:val="center"/>
            </w:pPr>
            <w:r>
              <w:rPr>
                <w:rFonts w:ascii="宋体" w:hAnsi="宋体" w:eastAsia="宋体"/>
                <w:sz w:val="16"/>
              </w:rPr>
              <w:t>江苏援疆成品粮油储备库低温库项目</w:t>
            </w:r>
          </w:p>
        </w:tc>
      </w:tr>
      <w:tr w14:paraId="0E790F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CB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824779">
            <w:pPr>
              <w:jc w:val="center"/>
            </w:pPr>
            <w:r>
              <w:rPr>
                <w:rFonts w:ascii="宋体" w:hAnsi="宋体" w:eastAsia="宋体"/>
                <w:sz w:val="16"/>
              </w:rPr>
              <w:t>克孜勒苏柯尔克孜自治州人民政府国有资产监督管理委员会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C0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782224">
            <w:pPr>
              <w:jc w:val="center"/>
            </w:pPr>
            <w:r>
              <w:rPr>
                <w:rFonts w:ascii="宋体" w:hAnsi="宋体" w:eastAsia="宋体"/>
                <w:sz w:val="16"/>
              </w:rPr>
              <w:t>克孜勒苏柯尔克孜自治州人民政府国有资产监督管理委员会</w:t>
            </w:r>
          </w:p>
        </w:tc>
      </w:tr>
      <w:tr w14:paraId="31BE8F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4C0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584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D64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5E1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4D5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809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DE1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1542">
            <w:pPr>
              <w:jc w:val="center"/>
            </w:pPr>
            <w:r>
              <w:rPr>
                <w:rFonts w:ascii="宋体" w:hAnsi="宋体" w:eastAsia="宋体"/>
                <w:sz w:val="16"/>
              </w:rPr>
              <w:t>得分</w:t>
            </w:r>
          </w:p>
        </w:tc>
      </w:tr>
      <w:tr w14:paraId="63FFF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3E5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A63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8658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3D1F0">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AEC1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77D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5F9E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5FBF">
            <w:pPr>
              <w:jc w:val="center"/>
            </w:pPr>
            <w:r>
              <w:rPr>
                <w:rFonts w:ascii="宋体" w:hAnsi="宋体" w:eastAsia="宋体"/>
                <w:sz w:val="16"/>
              </w:rPr>
              <w:t>10.00分</w:t>
            </w:r>
          </w:p>
        </w:tc>
      </w:tr>
      <w:tr w14:paraId="0CCD6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1BD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6E0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C55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99F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EF1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010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2B4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5635">
            <w:pPr>
              <w:jc w:val="center"/>
            </w:pPr>
            <w:r>
              <w:rPr>
                <w:rFonts w:ascii="宋体" w:hAnsi="宋体" w:eastAsia="宋体"/>
                <w:sz w:val="16"/>
              </w:rPr>
              <w:t>—</w:t>
            </w:r>
          </w:p>
        </w:tc>
      </w:tr>
      <w:tr w14:paraId="33073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C89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A07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3ACE8">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CBC16">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F23BB">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B9E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017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36EC">
            <w:pPr>
              <w:jc w:val="center"/>
            </w:pPr>
            <w:r>
              <w:rPr>
                <w:rFonts w:ascii="宋体" w:hAnsi="宋体" w:eastAsia="宋体"/>
                <w:sz w:val="16"/>
              </w:rPr>
              <w:t>—</w:t>
            </w:r>
          </w:p>
        </w:tc>
      </w:tr>
      <w:tr w14:paraId="287DDC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039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48E5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2DC91F">
            <w:pPr>
              <w:jc w:val="center"/>
            </w:pPr>
            <w:r>
              <w:rPr>
                <w:rFonts w:ascii="宋体" w:hAnsi="宋体" w:eastAsia="宋体"/>
                <w:sz w:val="16"/>
              </w:rPr>
              <w:t>实际完成情况</w:t>
            </w:r>
          </w:p>
        </w:tc>
      </w:tr>
      <w:tr w14:paraId="2C0B5B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4AD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5C25B0">
            <w:pPr>
              <w:jc w:val="both"/>
            </w:pPr>
            <w:r>
              <w:rPr>
                <w:rFonts w:ascii="宋体" w:hAnsi="宋体" w:eastAsia="宋体"/>
                <w:sz w:val="16"/>
              </w:rPr>
              <w:t>新建1栋仓容1000吨的成品粮油储备库（准低温仓），面积888.31平方米，含室外配套设施。项目有助于保障粮食供应，保障粮食安全，提高民众的生活质量，具有显著的社会效益。项目通过提高粮油储存效率和降低损耗，预期能够带来显著的经济效益，提升企业的盈利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2B9A8B">
            <w:pPr>
              <w:jc w:val="both"/>
            </w:pPr>
            <w:r>
              <w:rPr>
                <w:rFonts w:ascii="宋体" w:hAnsi="宋体" w:eastAsia="宋体"/>
                <w:sz w:val="16"/>
              </w:rPr>
              <w:t>截至2024年12月31日，已完成：新建1栋仓容1000吨的成品粮油储备库（准低温仓）1座，面积888.31平方米，含室外配套设施。项目实施有助于保障粮食供应，保障粮食安全，提高民众的生活质量，具有显著的社会效益。项目通过提高粮油储存效率和降低损耗，预期能够带来显著的经济效益，提升企业的盈利能力。</w:t>
            </w:r>
          </w:p>
        </w:tc>
      </w:tr>
      <w:tr w14:paraId="1DAF08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3B40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E5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06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57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ACD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A1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0A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E75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28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40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A148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53B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B0203">
            <w:pPr>
              <w:jc w:val="center"/>
            </w:pPr>
            <w:r>
              <w:rPr>
                <w:rFonts w:ascii="宋体" w:hAnsi="宋体" w:eastAsia="宋体"/>
                <w:sz w:val="16"/>
              </w:rPr>
              <w:t>偏差原因分析及改进措施</w:t>
            </w:r>
          </w:p>
        </w:tc>
      </w:tr>
      <w:tr w14:paraId="04D191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666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3766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B62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6ABA">
            <w:pPr>
              <w:jc w:val="center"/>
            </w:pPr>
            <w:r>
              <w:rPr>
                <w:rFonts w:ascii="宋体" w:hAnsi="宋体" w:eastAsia="宋体"/>
                <w:sz w:val="16"/>
              </w:rPr>
              <w:t>新建成品粮油储备库（座）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87E5">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0E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FF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2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9D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0F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EC02">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7A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6CF8B">
            <w:pPr>
              <w:jc w:val="center"/>
            </w:pPr>
          </w:p>
        </w:tc>
      </w:tr>
      <w:tr w14:paraId="28002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D4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3B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1ED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6874">
            <w:pPr>
              <w:jc w:val="center"/>
            </w:pPr>
            <w:r>
              <w:rPr>
                <w:rFonts w:ascii="宋体" w:hAnsi="宋体" w:eastAsia="宋体"/>
                <w:sz w:val="16"/>
              </w:rPr>
              <w:t>成品粮油储备库面积（平方米）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017E">
            <w:pPr>
              <w:jc w:val="center"/>
            </w:pPr>
            <w:r>
              <w:rPr>
                <w:rFonts w:ascii="宋体" w:hAnsi="宋体" w:eastAsia="宋体"/>
                <w:sz w:val="16"/>
              </w:rPr>
              <w:t>=888.31平方米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6E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98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BB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F4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67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F816">
            <w:pPr>
              <w:jc w:val="center"/>
            </w:pPr>
            <w:r>
              <w:rPr>
                <w:rFonts w:ascii="宋体" w:hAnsi="宋体" w:eastAsia="宋体"/>
                <w:sz w:val="16"/>
              </w:rPr>
              <w:t>=888.31平方米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4F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8ACC6">
            <w:pPr>
              <w:jc w:val="center"/>
            </w:pPr>
          </w:p>
        </w:tc>
      </w:tr>
      <w:tr w14:paraId="3B9B3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DF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3EB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C8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F016">
            <w:pPr>
              <w:jc w:val="center"/>
            </w:pPr>
            <w:r>
              <w:rPr>
                <w:rFonts w:ascii="宋体" w:hAnsi="宋体" w:eastAsia="宋体"/>
                <w:sz w:val="16"/>
              </w:rPr>
              <w:t>成品粮油储备库验收合格率（%）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57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A2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38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BE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0A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3C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E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8E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144AF">
            <w:pPr>
              <w:jc w:val="center"/>
            </w:pPr>
          </w:p>
        </w:tc>
      </w:tr>
      <w:tr w14:paraId="602D0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B5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42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8B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535F">
            <w:pPr>
              <w:jc w:val="center"/>
            </w:pPr>
            <w:r>
              <w:rPr>
                <w:rFonts w:ascii="宋体" w:hAnsi="宋体" w:eastAsia="宋体"/>
                <w:sz w:val="16"/>
              </w:rPr>
              <w:t>竣工验收及时率（%）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00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F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3D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53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C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61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24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85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D815">
            <w:pPr>
              <w:jc w:val="center"/>
            </w:pPr>
          </w:p>
        </w:tc>
      </w:tr>
      <w:tr w14:paraId="00729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BF8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277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13C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0210">
            <w:pPr>
              <w:jc w:val="center"/>
            </w:pPr>
            <w:r>
              <w:rPr>
                <w:rFonts w:ascii="宋体" w:hAnsi="宋体" w:eastAsia="宋体"/>
                <w:sz w:val="16"/>
              </w:rPr>
              <w:t>第一步支付经费（万元）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7C58">
            <w:pPr>
              <w:jc w:val="center"/>
            </w:pPr>
            <w:r>
              <w:rPr>
                <w:rFonts w:ascii="宋体" w:hAnsi="宋体" w:eastAsia="宋体"/>
                <w:sz w:val="16"/>
              </w:rPr>
              <w:t>&lt;=52.45万元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79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0A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D9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67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D1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12C8">
            <w:pPr>
              <w:jc w:val="center"/>
            </w:pPr>
            <w:r>
              <w:rPr>
                <w:rFonts w:ascii="宋体" w:hAnsi="宋体" w:eastAsia="宋体"/>
                <w:sz w:val="16"/>
              </w:rPr>
              <w:t>=52.45万元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3D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29A5">
            <w:pPr>
              <w:jc w:val="center"/>
            </w:pPr>
          </w:p>
        </w:tc>
      </w:tr>
      <w:tr w14:paraId="61929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3E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7FD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7C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5E93">
            <w:pPr>
              <w:jc w:val="center"/>
            </w:pPr>
            <w:r>
              <w:rPr>
                <w:rFonts w:ascii="宋体" w:hAnsi="宋体" w:eastAsia="宋体"/>
                <w:sz w:val="16"/>
              </w:rPr>
              <w:t>第二笔支付费用（万元）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E142">
            <w:pPr>
              <w:jc w:val="center"/>
            </w:pPr>
            <w:r>
              <w:rPr>
                <w:rFonts w:ascii="宋体" w:hAnsi="宋体" w:eastAsia="宋体"/>
                <w:sz w:val="16"/>
              </w:rPr>
              <w:t>&lt;=97.55万元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45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F7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F9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0D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A5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6142">
            <w:pPr>
              <w:jc w:val="center"/>
            </w:pPr>
            <w:r>
              <w:rPr>
                <w:rFonts w:ascii="宋体" w:hAnsi="宋体" w:eastAsia="宋体"/>
                <w:sz w:val="16"/>
              </w:rPr>
              <w:t>=97.55万元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4B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00C48">
            <w:pPr>
              <w:jc w:val="center"/>
            </w:pPr>
          </w:p>
        </w:tc>
      </w:tr>
      <w:tr w14:paraId="0E8E9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BA2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F3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30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C992">
            <w:pPr>
              <w:jc w:val="center"/>
            </w:pPr>
            <w:r>
              <w:rPr>
                <w:rFonts w:ascii="宋体" w:hAnsi="宋体" w:eastAsia="宋体"/>
                <w:sz w:val="16"/>
              </w:rPr>
              <w:t>增强克州地区粮食储备能力，推动区域</w:t>
            </w:r>
            <w:r>
              <w:rPr>
                <w:rFonts w:hint="eastAsia" w:ascii="宋体" w:hAnsi="宋体"/>
                <w:sz w:val="16"/>
                <w:lang w:eastAsia="zh-CN"/>
              </w:rPr>
              <w:t>农业产业升级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A4DA">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D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18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BD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F8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C0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A720">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70F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172B7">
            <w:pPr>
              <w:jc w:val="center"/>
            </w:pPr>
          </w:p>
        </w:tc>
      </w:tr>
      <w:tr w14:paraId="69382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D6A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0B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80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C27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C8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EC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75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06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A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D3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13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DC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9A1CD">
            <w:pPr>
              <w:jc w:val="center"/>
            </w:pPr>
          </w:p>
        </w:tc>
      </w:tr>
      <w:tr w14:paraId="225D5B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4DC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4E8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35D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DC029">
            <w:pPr>
              <w:jc w:val="center"/>
            </w:pPr>
            <w:r>
              <w:rPr>
                <w:rFonts w:ascii="宋体" w:hAnsi="宋体" w:eastAsia="宋体"/>
                <w:sz w:val="16"/>
              </w:rPr>
              <w:t>100分</w:t>
            </w:r>
          </w:p>
        </w:tc>
      </w:tr>
    </w:tbl>
    <w:p w14:paraId="4A7A7EE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A67CCFD">
        <w:tblPrEx>
          <w:tblCellMar>
            <w:top w:w="0" w:type="dxa"/>
            <w:left w:w="108" w:type="dxa"/>
            <w:bottom w:w="0" w:type="dxa"/>
            <w:right w:w="108" w:type="dxa"/>
          </w:tblCellMar>
        </w:tblPrEx>
        <w:tc>
          <w:tcPr>
            <w:tcW w:w="8848" w:type="dxa"/>
            <w:gridSpan w:val="14"/>
            <w:vAlign w:val="center"/>
          </w:tcPr>
          <w:p w14:paraId="2F4D757E">
            <w:pPr>
              <w:jc w:val="center"/>
            </w:pPr>
            <w:r>
              <w:rPr>
                <w:rFonts w:ascii="宋体" w:hAnsi="宋体" w:eastAsia="宋体"/>
                <w:sz w:val="24"/>
              </w:rPr>
              <w:t>项目支出绩效自评表</w:t>
            </w:r>
          </w:p>
        </w:tc>
      </w:tr>
      <w:tr w14:paraId="57CE7FCC">
        <w:tblPrEx>
          <w:tblCellMar>
            <w:top w:w="0" w:type="dxa"/>
            <w:left w:w="108" w:type="dxa"/>
            <w:bottom w:w="0" w:type="dxa"/>
            <w:right w:w="108" w:type="dxa"/>
          </w:tblCellMar>
        </w:tblPrEx>
        <w:tc>
          <w:tcPr>
            <w:tcW w:w="8848" w:type="dxa"/>
            <w:gridSpan w:val="14"/>
            <w:vAlign w:val="center"/>
          </w:tcPr>
          <w:p w14:paraId="601D7EED">
            <w:pPr>
              <w:jc w:val="center"/>
            </w:pPr>
            <w:r>
              <w:rPr>
                <w:rFonts w:ascii="宋体" w:hAnsi="宋体" w:eastAsia="宋体"/>
                <w:sz w:val="24"/>
              </w:rPr>
              <w:t>(2024年度)</w:t>
            </w:r>
          </w:p>
        </w:tc>
      </w:tr>
      <w:tr w14:paraId="671870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5D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2EB318">
            <w:pPr>
              <w:jc w:val="center"/>
            </w:pPr>
            <w:r>
              <w:rPr>
                <w:rFonts w:ascii="宋体" w:hAnsi="宋体" w:eastAsia="宋体"/>
                <w:sz w:val="16"/>
              </w:rPr>
              <w:t>自治州本级国有资本经营预算支出项目</w:t>
            </w:r>
          </w:p>
        </w:tc>
      </w:tr>
      <w:tr w14:paraId="495CD4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D1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A711F4">
            <w:pPr>
              <w:jc w:val="center"/>
            </w:pPr>
            <w:r>
              <w:rPr>
                <w:rFonts w:ascii="宋体" w:hAnsi="宋体" w:eastAsia="宋体"/>
                <w:sz w:val="16"/>
              </w:rPr>
              <w:t>克孜勒苏柯尔克孜自治州人民政府国有资产监督管理委员会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2E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0F3CA6">
            <w:pPr>
              <w:jc w:val="center"/>
            </w:pPr>
            <w:r>
              <w:rPr>
                <w:rFonts w:ascii="宋体" w:hAnsi="宋体" w:eastAsia="宋体"/>
                <w:sz w:val="16"/>
              </w:rPr>
              <w:t>克孜勒苏柯尔克孜自治州人民政府国有资产监督管理委员会</w:t>
            </w:r>
          </w:p>
        </w:tc>
      </w:tr>
      <w:tr w14:paraId="646719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283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19E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7C4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615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966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F97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B42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672F">
            <w:pPr>
              <w:jc w:val="center"/>
            </w:pPr>
            <w:r>
              <w:rPr>
                <w:rFonts w:ascii="宋体" w:hAnsi="宋体" w:eastAsia="宋体"/>
                <w:sz w:val="16"/>
              </w:rPr>
              <w:t>得分</w:t>
            </w:r>
          </w:p>
        </w:tc>
      </w:tr>
      <w:tr w14:paraId="5877E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7F7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007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81EEE">
            <w:pPr>
              <w:jc w:val="center"/>
            </w:pPr>
            <w:r>
              <w:rPr>
                <w:rFonts w:ascii="宋体" w:hAnsi="宋体" w:eastAsia="宋体"/>
                <w:sz w:val="16"/>
              </w:rPr>
              <w:t>497.00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6FD69">
            <w:pPr>
              <w:jc w:val="center"/>
            </w:pPr>
            <w:r>
              <w:rPr>
                <w:rFonts w:ascii="宋体" w:hAnsi="宋体" w:eastAsia="宋体"/>
                <w:sz w:val="16"/>
              </w:rPr>
              <w:t>497.00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773BD">
            <w:pPr>
              <w:jc w:val="center"/>
            </w:pPr>
            <w:r>
              <w:rPr>
                <w:rFonts w:ascii="宋体" w:hAnsi="宋体" w:eastAsia="宋体"/>
                <w:sz w:val="16"/>
              </w:rPr>
              <w:t>497.00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C2E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1ADE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F268">
            <w:pPr>
              <w:jc w:val="center"/>
            </w:pPr>
            <w:r>
              <w:rPr>
                <w:rFonts w:ascii="宋体" w:hAnsi="宋体" w:eastAsia="宋体"/>
                <w:sz w:val="16"/>
              </w:rPr>
              <w:t>10.00分</w:t>
            </w:r>
          </w:p>
        </w:tc>
      </w:tr>
      <w:tr w14:paraId="40BA2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44D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23F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85B95">
            <w:pPr>
              <w:jc w:val="center"/>
            </w:pPr>
            <w:r>
              <w:rPr>
                <w:rFonts w:ascii="宋体" w:hAnsi="宋体" w:eastAsia="宋体"/>
                <w:sz w:val="16"/>
              </w:rPr>
              <w:t>497.00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5E58">
            <w:pPr>
              <w:jc w:val="center"/>
            </w:pPr>
            <w:r>
              <w:rPr>
                <w:rFonts w:ascii="宋体" w:hAnsi="宋体" w:eastAsia="宋体"/>
                <w:sz w:val="16"/>
              </w:rPr>
              <w:t>497.00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1F86C">
            <w:pPr>
              <w:jc w:val="center"/>
            </w:pPr>
            <w:r>
              <w:rPr>
                <w:rFonts w:ascii="宋体" w:hAnsi="宋体" w:eastAsia="宋体"/>
                <w:sz w:val="16"/>
              </w:rPr>
              <w:t>497.00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5DB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5A9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8171">
            <w:pPr>
              <w:jc w:val="center"/>
            </w:pPr>
            <w:r>
              <w:rPr>
                <w:rFonts w:ascii="宋体" w:hAnsi="宋体" w:eastAsia="宋体"/>
                <w:sz w:val="16"/>
              </w:rPr>
              <w:t>—</w:t>
            </w:r>
          </w:p>
        </w:tc>
      </w:tr>
      <w:tr w14:paraId="64168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D04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6E0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2C1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A50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C38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C6A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912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48C5">
            <w:pPr>
              <w:jc w:val="center"/>
            </w:pPr>
            <w:r>
              <w:rPr>
                <w:rFonts w:ascii="宋体" w:hAnsi="宋体" w:eastAsia="宋体"/>
                <w:sz w:val="16"/>
              </w:rPr>
              <w:t>—</w:t>
            </w:r>
          </w:p>
        </w:tc>
      </w:tr>
      <w:tr w14:paraId="25C846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D85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72C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2AC9CB">
            <w:pPr>
              <w:jc w:val="center"/>
            </w:pPr>
            <w:r>
              <w:rPr>
                <w:rFonts w:ascii="宋体" w:hAnsi="宋体" w:eastAsia="宋体"/>
                <w:sz w:val="16"/>
              </w:rPr>
              <w:t>实际完成情况</w:t>
            </w:r>
          </w:p>
        </w:tc>
      </w:tr>
      <w:tr w14:paraId="2D653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C10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B37CE">
            <w:pPr>
              <w:jc w:val="both"/>
            </w:pPr>
            <w:r>
              <w:rPr>
                <w:rFonts w:ascii="宋体" w:hAnsi="宋体" w:eastAsia="宋体"/>
                <w:sz w:val="16"/>
              </w:rPr>
              <w:t>该项目资金共497万元，用于支持6家国有企业，资本金注入国有企业，支持国有企业经营活动，提高经营性稳定，保证企业资金使用畅通及国有资产增值保值。</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81FC0F">
            <w:pPr>
              <w:jc w:val="both"/>
            </w:pPr>
            <w:r>
              <w:rPr>
                <w:rFonts w:ascii="宋体" w:hAnsi="宋体" w:eastAsia="宋体"/>
                <w:sz w:val="16"/>
              </w:rPr>
              <w:t>截至2024年12月31日，已完成：支持国有企业户数6户，支持项目数量6个，通过支持国有企业经营活动，提高经营性稳定，保证企业资金使用畅通及国有资产增值保值。</w:t>
            </w:r>
          </w:p>
        </w:tc>
      </w:tr>
      <w:tr w14:paraId="72DDF7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8A9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CE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B2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97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78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FE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64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670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7C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E1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45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F4F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EF778">
            <w:pPr>
              <w:jc w:val="center"/>
            </w:pPr>
            <w:r>
              <w:rPr>
                <w:rFonts w:ascii="宋体" w:hAnsi="宋体" w:eastAsia="宋体"/>
                <w:sz w:val="16"/>
              </w:rPr>
              <w:t>偏差原因分析及改进措施</w:t>
            </w:r>
          </w:p>
        </w:tc>
      </w:tr>
      <w:tr w14:paraId="4167F4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3BB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AFF9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A39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2CE6">
            <w:pPr>
              <w:jc w:val="center"/>
            </w:pPr>
            <w:r>
              <w:rPr>
                <w:rFonts w:ascii="宋体" w:hAnsi="宋体" w:eastAsia="宋体"/>
                <w:sz w:val="16"/>
              </w:rPr>
              <w:t>支出国有企业户数（户）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B958">
            <w:pPr>
              <w:jc w:val="center"/>
            </w:pPr>
            <w:r>
              <w:rPr>
                <w:rFonts w:ascii="宋体" w:hAnsi="宋体" w:eastAsia="宋体"/>
                <w:sz w:val="16"/>
              </w:rPr>
              <w:t>&gt;=6户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2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3B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57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6D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F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FA59">
            <w:pPr>
              <w:jc w:val="center"/>
            </w:pPr>
            <w:r>
              <w:rPr>
                <w:rFonts w:ascii="宋体" w:hAnsi="宋体" w:eastAsia="宋体"/>
                <w:sz w:val="16"/>
              </w:rPr>
              <w:t>=6户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2E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92261">
            <w:pPr>
              <w:jc w:val="center"/>
            </w:pPr>
          </w:p>
        </w:tc>
      </w:tr>
      <w:tr w14:paraId="64865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CB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08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120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CE36">
            <w:pPr>
              <w:jc w:val="center"/>
            </w:pPr>
            <w:r>
              <w:rPr>
                <w:rFonts w:ascii="宋体" w:hAnsi="宋体" w:eastAsia="宋体"/>
                <w:sz w:val="16"/>
              </w:rPr>
              <w:t>支持项目数量（个）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94C5">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7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65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CA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D7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5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02B3">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BE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C8DF0">
            <w:pPr>
              <w:jc w:val="center"/>
            </w:pPr>
          </w:p>
        </w:tc>
      </w:tr>
      <w:tr w14:paraId="34E4A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E1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9B4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A8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969E">
            <w:pPr>
              <w:jc w:val="center"/>
            </w:pPr>
            <w:r>
              <w:rPr>
                <w:rFonts w:ascii="宋体" w:hAnsi="宋体" w:eastAsia="宋体"/>
                <w:sz w:val="16"/>
              </w:rPr>
              <w:t>项目完工进度（%）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D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1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D9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8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8E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8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0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21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1DF93">
            <w:pPr>
              <w:jc w:val="center"/>
            </w:pPr>
          </w:p>
        </w:tc>
      </w:tr>
      <w:tr w14:paraId="700D0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AD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A8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C3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59F7">
            <w:pPr>
              <w:jc w:val="center"/>
            </w:pPr>
            <w:r>
              <w:rPr>
                <w:rFonts w:ascii="宋体" w:hAnsi="宋体" w:eastAsia="宋体"/>
                <w:sz w:val="16"/>
              </w:rPr>
              <w:t>财政资金执行率（%）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4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C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95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BA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9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09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A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D1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C7D8D">
            <w:pPr>
              <w:jc w:val="center"/>
            </w:pPr>
          </w:p>
        </w:tc>
      </w:tr>
      <w:tr w14:paraId="06AA5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5A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4CC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0B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07E3">
            <w:pPr>
              <w:jc w:val="center"/>
            </w:pPr>
            <w:r>
              <w:rPr>
                <w:rFonts w:ascii="宋体" w:hAnsi="宋体" w:eastAsia="宋体"/>
                <w:sz w:val="16"/>
              </w:rPr>
              <w:t>项目支出计划（万元）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7AC6">
            <w:pPr>
              <w:jc w:val="center"/>
            </w:pPr>
            <w:r>
              <w:rPr>
                <w:rFonts w:ascii="宋体" w:hAnsi="宋体" w:eastAsia="宋体"/>
                <w:sz w:val="16"/>
              </w:rPr>
              <w:t>&lt;=497万元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41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E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E8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0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7E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2F7A">
            <w:pPr>
              <w:jc w:val="center"/>
            </w:pPr>
            <w:r>
              <w:rPr>
                <w:rFonts w:ascii="宋体" w:hAnsi="宋体" w:eastAsia="宋体"/>
                <w:sz w:val="16"/>
              </w:rPr>
              <w:t>=497万元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39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42B32">
            <w:pPr>
              <w:jc w:val="center"/>
            </w:pPr>
          </w:p>
        </w:tc>
      </w:tr>
      <w:tr w14:paraId="0A1AF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DC6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CD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84A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D66B">
            <w:pPr>
              <w:jc w:val="center"/>
            </w:pPr>
            <w:r>
              <w:rPr>
                <w:rFonts w:ascii="宋体" w:hAnsi="宋体" w:eastAsia="宋体"/>
                <w:sz w:val="16"/>
              </w:rPr>
              <w:t>资产保值增值率（%）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36D0">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0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47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BF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4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7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3E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A87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6641C">
            <w:pPr>
              <w:jc w:val="center"/>
            </w:pPr>
          </w:p>
        </w:tc>
      </w:tr>
      <w:tr w14:paraId="00194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6B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FF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7A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EE9F">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E7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A4E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DC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0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32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45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BA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44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7FDCB">
            <w:pPr>
              <w:jc w:val="center"/>
            </w:pPr>
          </w:p>
        </w:tc>
      </w:tr>
      <w:tr w14:paraId="3563EA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82C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46F5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54E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4C9C98">
            <w:pPr>
              <w:jc w:val="center"/>
            </w:pPr>
            <w:r>
              <w:rPr>
                <w:rFonts w:ascii="宋体" w:hAnsi="宋体" w:eastAsia="宋体"/>
                <w:sz w:val="16"/>
              </w:rPr>
              <w:t>100分</w:t>
            </w:r>
          </w:p>
        </w:tc>
      </w:tr>
    </w:tbl>
    <w:p w14:paraId="4BB79378">
      <w:r>
        <w:br w:type="page"/>
      </w:r>
    </w:p>
    <w:p w14:paraId="107FDD6E">
      <w:pPr>
        <w:spacing w:line="640" w:lineRule="exact"/>
        <w:ind w:firstLine="640"/>
        <w:jc w:val="both"/>
        <w:outlineLvl w:val="2"/>
      </w:pPr>
      <w:r>
        <w:rPr>
          <w:rFonts w:ascii="黑体" w:hAnsi="黑体" w:eastAsia="黑体"/>
          <w:sz w:val="32"/>
        </w:rPr>
        <w:t>十二、其他需说明的事项</w:t>
      </w:r>
    </w:p>
    <w:p w14:paraId="2F4E442C">
      <w:pPr>
        <w:spacing w:line="580" w:lineRule="exact"/>
        <w:ind w:firstLine="640"/>
        <w:jc w:val="both"/>
      </w:pPr>
      <w:r>
        <w:rPr>
          <w:rFonts w:ascii="仿宋_GB2312" w:hAnsi="仿宋_GB2312" w:eastAsia="仿宋_GB2312"/>
          <w:b w:val="0"/>
          <w:sz w:val="32"/>
        </w:rPr>
        <w:t>本单位无其他需说明的事项。</w:t>
      </w:r>
    </w:p>
    <w:p w14:paraId="2A5EF01E">
      <w:r>
        <w:br w:type="page"/>
      </w:r>
    </w:p>
    <w:p w14:paraId="4BE4F5BF">
      <w:pPr>
        <w:spacing w:line="240" w:lineRule="auto"/>
        <w:jc w:val="center"/>
        <w:outlineLvl w:val="1"/>
      </w:pPr>
      <w:r>
        <w:rPr>
          <w:rFonts w:ascii="黑体" w:hAnsi="黑体" w:eastAsia="黑体"/>
          <w:sz w:val="32"/>
        </w:rPr>
        <w:t>第三部分 专业名词解释</w:t>
      </w:r>
    </w:p>
    <w:p w14:paraId="7785700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8C8A13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36AEB2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767159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AEB70D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D0E6D6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167F2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4FEF33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E4748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8F056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8FCAD1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E29818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B16679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41B48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C64FD46">
      <w:r>
        <w:br w:type="page"/>
      </w:r>
    </w:p>
    <w:p w14:paraId="6528E221">
      <w:pPr>
        <w:spacing w:line="240" w:lineRule="auto"/>
        <w:jc w:val="center"/>
        <w:outlineLvl w:val="1"/>
      </w:pPr>
      <w:r>
        <w:rPr>
          <w:rFonts w:ascii="黑体" w:hAnsi="黑体" w:eastAsia="黑体"/>
          <w:sz w:val="32"/>
        </w:rPr>
        <w:t>第四部分 部门决算报表（见附表）</w:t>
      </w:r>
    </w:p>
    <w:p w14:paraId="24FD8985">
      <w:pPr>
        <w:spacing w:line="240" w:lineRule="auto"/>
        <w:ind w:firstLine="640"/>
        <w:jc w:val="both"/>
      </w:pPr>
      <w:r>
        <w:rPr>
          <w:rFonts w:ascii="仿宋_GB2312" w:hAnsi="仿宋_GB2312" w:eastAsia="仿宋_GB2312"/>
          <w:b w:val="0"/>
          <w:sz w:val="32"/>
        </w:rPr>
        <w:t>一、《收入支出决算总表》</w:t>
      </w:r>
    </w:p>
    <w:p w14:paraId="097746E9">
      <w:pPr>
        <w:spacing w:line="240" w:lineRule="auto"/>
        <w:ind w:firstLine="640"/>
        <w:jc w:val="both"/>
      </w:pPr>
      <w:r>
        <w:rPr>
          <w:rFonts w:ascii="仿宋_GB2312" w:hAnsi="仿宋_GB2312" w:eastAsia="仿宋_GB2312"/>
          <w:b w:val="0"/>
          <w:sz w:val="32"/>
        </w:rPr>
        <w:t>二、《收入决算表》</w:t>
      </w:r>
    </w:p>
    <w:p w14:paraId="311DA2B4">
      <w:pPr>
        <w:spacing w:line="240" w:lineRule="auto"/>
        <w:ind w:firstLine="640"/>
        <w:jc w:val="both"/>
      </w:pPr>
      <w:r>
        <w:rPr>
          <w:rFonts w:ascii="仿宋_GB2312" w:hAnsi="仿宋_GB2312" w:eastAsia="仿宋_GB2312"/>
          <w:b w:val="0"/>
          <w:sz w:val="32"/>
        </w:rPr>
        <w:t>三、《支出决算表》</w:t>
      </w:r>
    </w:p>
    <w:p w14:paraId="69134458">
      <w:pPr>
        <w:spacing w:line="240" w:lineRule="auto"/>
        <w:ind w:firstLine="640"/>
        <w:jc w:val="both"/>
      </w:pPr>
      <w:r>
        <w:rPr>
          <w:rFonts w:ascii="仿宋_GB2312" w:hAnsi="仿宋_GB2312" w:eastAsia="仿宋_GB2312"/>
          <w:b w:val="0"/>
          <w:sz w:val="32"/>
        </w:rPr>
        <w:t>四、《财政拨款收入支出决算总表》</w:t>
      </w:r>
    </w:p>
    <w:p w14:paraId="5C2D9307">
      <w:pPr>
        <w:spacing w:line="240" w:lineRule="auto"/>
        <w:ind w:firstLine="640"/>
        <w:jc w:val="both"/>
      </w:pPr>
      <w:r>
        <w:rPr>
          <w:rFonts w:ascii="仿宋_GB2312" w:hAnsi="仿宋_GB2312" w:eastAsia="仿宋_GB2312"/>
          <w:b w:val="0"/>
          <w:sz w:val="32"/>
        </w:rPr>
        <w:t>五、《一般公共预算财政拨款支出决算表》</w:t>
      </w:r>
    </w:p>
    <w:p w14:paraId="48E7D495">
      <w:pPr>
        <w:spacing w:line="240" w:lineRule="auto"/>
        <w:ind w:firstLine="640"/>
        <w:jc w:val="both"/>
      </w:pPr>
      <w:r>
        <w:rPr>
          <w:rFonts w:ascii="仿宋_GB2312" w:hAnsi="仿宋_GB2312" w:eastAsia="仿宋_GB2312"/>
          <w:b w:val="0"/>
          <w:sz w:val="32"/>
        </w:rPr>
        <w:t>六、《一般公共预算财政拨款基本支出决算表》</w:t>
      </w:r>
    </w:p>
    <w:p w14:paraId="2806AAB7">
      <w:pPr>
        <w:spacing w:line="240" w:lineRule="auto"/>
        <w:ind w:firstLine="640"/>
        <w:jc w:val="both"/>
      </w:pPr>
      <w:r>
        <w:rPr>
          <w:rFonts w:ascii="仿宋_GB2312" w:hAnsi="仿宋_GB2312" w:eastAsia="仿宋_GB2312"/>
          <w:b w:val="0"/>
          <w:sz w:val="32"/>
        </w:rPr>
        <w:t>七、《政府性基金预算财政拨款收入支出决算表》</w:t>
      </w:r>
    </w:p>
    <w:p w14:paraId="2060F17A">
      <w:pPr>
        <w:spacing w:line="240" w:lineRule="auto"/>
        <w:ind w:firstLine="640"/>
        <w:jc w:val="both"/>
      </w:pPr>
      <w:r>
        <w:rPr>
          <w:rFonts w:ascii="仿宋_GB2312" w:hAnsi="仿宋_GB2312" w:eastAsia="仿宋_GB2312"/>
          <w:b w:val="0"/>
          <w:sz w:val="32"/>
        </w:rPr>
        <w:t>八、《国有资本经营预算财政拨款收入支出决算表》</w:t>
      </w:r>
    </w:p>
    <w:p w14:paraId="6504F751">
      <w:pPr>
        <w:spacing w:line="240" w:lineRule="auto"/>
        <w:ind w:firstLine="640"/>
        <w:jc w:val="both"/>
      </w:pPr>
      <w:r>
        <w:rPr>
          <w:rFonts w:ascii="仿宋_GB2312" w:hAnsi="仿宋_GB2312" w:eastAsia="仿宋_GB2312"/>
          <w:b w:val="0"/>
          <w:sz w:val="32"/>
        </w:rPr>
        <w:t>九、《财政拨款“三公”经费支出决算表》</w:t>
      </w:r>
    </w:p>
    <w:p w14:paraId="6B121794">
      <w:pPr>
        <w:spacing w:line="240" w:lineRule="auto"/>
        <w:ind w:firstLine="640"/>
        <w:jc w:val="both"/>
      </w:pPr>
    </w:p>
    <w:p w14:paraId="472DCCC3">
      <w:pPr>
        <w:spacing w:line="240" w:lineRule="auto"/>
        <w:ind w:firstLine="640"/>
        <w:jc w:val="both"/>
      </w:pPr>
    </w:p>
    <w:p w14:paraId="46F69B4C">
      <w:pPr>
        <w:spacing w:line="240" w:lineRule="auto"/>
        <w:ind w:firstLine="640"/>
        <w:jc w:val="both"/>
      </w:pPr>
    </w:p>
    <w:p w14:paraId="612B72F2">
      <w:pPr>
        <w:spacing w:line="240" w:lineRule="auto"/>
        <w:ind w:firstLine="640"/>
        <w:jc w:val="both"/>
      </w:pPr>
    </w:p>
    <w:p w14:paraId="248C16A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32159EC-C943-4328-9D90-5A2951E0422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C387328-3E01-4FDC-A5A6-F2DBF5BC1E2C}"/>
  </w:font>
  <w:font w:name="仿宋_GB2312">
    <w:panose1 w:val="02010609030101010101"/>
    <w:charset w:val="86"/>
    <w:family w:val="modern"/>
    <w:pitch w:val="default"/>
    <w:sig w:usb0="00000001" w:usb1="080E0000" w:usb2="00000000" w:usb3="00000000" w:csb0="00040000" w:csb1="00000000"/>
    <w:embedRegular r:id="rId3" w:fontKey="{B50035D8-1B3C-4E8B-8478-FBF4B4B1B246}"/>
  </w:font>
  <w:font w:name="楷体_GB2312">
    <w:panose1 w:val="02010609030101010101"/>
    <w:charset w:val="86"/>
    <w:family w:val="auto"/>
    <w:pitch w:val="default"/>
    <w:sig w:usb0="00000001" w:usb1="080E0000" w:usb2="00000000" w:usb3="00000000" w:csb0="00040000" w:csb1="00000000"/>
    <w:embedRegular r:id="rId4" w:fontKey="{A292082D-4476-42FF-9B4E-70D80B3CD2E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4C2B69"/>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887347"/>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5581</Words>
  <Characters>6466</Characters>
  <Lines>0</Lines>
  <Paragraphs>0</Paragraphs>
  <TotalTime>4</TotalTime>
  <ScaleCrop>false</ScaleCrop>
  <LinksUpToDate>false</LinksUpToDate>
  <CharactersWithSpaces>6474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2025-09-02T05:10:24Z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