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D51E34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克孜勒苏柯尔克孜自治州交通运输局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EBBD7B">
      <w:r>
        <w:br w:type="page"/>
      </w:r>
    </w:p>
    <w:p w14:paraId="63A40D92">
      <w:pPr>
        <w:spacing w:line="640" w:lineRule="exact"/>
        <w:jc w:val="center"/>
        <w:outlineLvl w:val="1"/>
      </w:pPr>
      <w:r>
        <w:rPr>
          <w:rFonts w:ascii="黑体" w:hAnsi="黑体" w:eastAsia="黑体"/>
          <w:sz w:val="32"/>
        </w:rPr>
        <w:t>第一部分 单位概况</w:t>
      </w:r>
    </w:p>
    <w:p w14:paraId="449309E1">
      <w:pPr>
        <w:spacing w:line="640" w:lineRule="exact"/>
        <w:ind w:firstLine="640"/>
        <w:jc w:val="both"/>
        <w:outlineLvl w:val="2"/>
      </w:pPr>
      <w:r>
        <w:rPr>
          <w:rFonts w:ascii="黑体" w:hAnsi="黑体" w:eastAsia="黑体"/>
          <w:sz w:val="32"/>
        </w:rPr>
        <w:t>一、主要职能</w:t>
      </w:r>
    </w:p>
    <w:p w14:paraId="788A5BF0">
      <w:pPr>
        <w:spacing w:line="580" w:lineRule="exact"/>
        <w:ind w:firstLine="640"/>
        <w:jc w:val="both"/>
      </w:pPr>
      <w:r>
        <w:rPr>
          <w:rFonts w:ascii="仿宋_GB2312" w:hAnsi="仿宋_GB2312" w:eastAsia="仿宋_GB2312"/>
          <w:sz w:val="32"/>
        </w:rPr>
        <w:t>（1）贯彻落实交通运输行业法律、法规、规章，起草有关地方性法规、政府规章草案和政策措施并监督实施。</w:t>
      </w:r>
    </w:p>
    <w:p w14:paraId="5484251D">
      <w:pPr>
        <w:spacing w:line="580" w:lineRule="exact"/>
        <w:ind w:firstLine="640"/>
        <w:jc w:val="both"/>
      </w:pPr>
      <w:r>
        <w:rPr>
          <w:rFonts w:ascii="仿宋_GB2312" w:hAnsi="仿宋_GB2312" w:eastAsia="仿宋_GB2312"/>
          <w:sz w:val="32"/>
        </w:rPr>
        <w:t>（2）拟订公路、水路交通运输发展规划并监督实施。会同有关部门组织编制自治州综合交通运输体系规划，参与拟订自治州物流业发展战略与规划和本行政区域道路运输、城市客运发展规划。</w:t>
      </w:r>
    </w:p>
    <w:p w14:paraId="4E41E756">
      <w:pPr>
        <w:spacing w:line="580" w:lineRule="exact"/>
        <w:ind w:firstLine="640"/>
        <w:jc w:val="both"/>
      </w:pPr>
      <w:r>
        <w:rPr>
          <w:rFonts w:ascii="仿宋_GB2312" w:hAnsi="仿宋_GB2312" w:eastAsia="仿宋_GB2312"/>
          <w:sz w:val="32"/>
        </w:rPr>
        <w:t>（3）负责做好自治州道路、水路运输市场管理工作，指导城乡交通运输协调发展和城乡交通运输一体化，指导出租汽车行业管理工作，协调有关部门做好国际道路运输有关管理工作。</w:t>
      </w:r>
    </w:p>
    <w:p w14:paraId="36E24AEB">
      <w:pPr>
        <w:spacing w:line="580" w:lineRule="exact"/>
        <w:ind w:firstLine="640"/>
        <w:jc w:val="both"/>
      </w:pPr>
      <w:r>
        <w:rPr>
          <w:rFonts w:ascii="仿宋_GB2312" w:hAnsi="仿宋_GB2312" w:eastAsia="仿宋_GB2312"/>
          <w:sz w:val="32"/>
        </w:rPr>
        <w:t>（4）负责提出交通运输局财政性资金安排意见并监督管理，协调交通建设资金的筹集。监督实施公路、水路有关规费政策，会同有关部门拟定交通运输行业价格。</w:t>
      </w:r>
    </w:p>
    <w:p w14:paraId="21EDFC77">
      <w:pPr>
        <w:spacing w:line="580" w:lineRule="exact"/>
        <w:ind w:firstLine="640"/>
        <w:jc w:val="both"/>
        <w:rPr>
          <w:rFonts w:ascii="仿宋_GB2312" w:hAnsi="仿宋_GB2312" w:eastAsia="仿宋_GB2312"/>
          <w:sz w:val="32"/>
        </w:rPr>
      </w:pPr>
      <w:r>
        <w:rPr>
          <w:rFonts w:ascii="仿宋_GB2312" w:hAnsi="仿宋_GB2312" w:eastAsia="仿宋_GB2312"/>
          <w:sz w:val="32"/>
        </w:rPr>
        <w:t>（5）承担公路、水路建设市场监管工作。维护交通建设市场公平竞争秩序。拟订自治州公路、水路工程建设有关制度和技术规范并监督实施。承担管辖交通建设项目的招投标监督管理、市场准入、竣工验收和质量监督等工作。组织提供公路工程补充性造价依据和计价依据。</w:t>
      </w:r>
    </w:p>
    <w:p w14:paraId="45F33ED2">
      <w:pPr>
        <w:spacing w:line="580" w:lineRule="exact"/>
        <w:ind w:firstLine="640"/>
        <w:jc w:val="both"/>
      </w:pPr>
      <w:r>
        <w:rPr>
          <w:rFonts w:ascii="仿宋_GB2312" w:hAnsi="仿宋_GB2312" w:eastAsia="仿宋_GB2312"/>
          <w:sz w:val="32"/>
        </w:rPr>
        <w:t>（6）负责管辖范围内县道、乡道、村道的建设、养护和管理，依法保护公路路产路权。监督指导货运车辆超限治理工作。参与解决管辖范围内国道、省道及专用公路的建设、养护管理工作中出现的相关问题。</w:t>
      </w:r>
    </w:p>
    <w:p w14:paraId="1CB5295F">
      <w:pPr>
        <w:spacing w:line="580" w:lineRule="exact"/>
        <w:ind w:firstLine="640"/>
        <w:jc w:val="both"/>
      </w:pPr>
      <w:r>
        <w:rPr>
          <w:rFonts w:ascii="仿宋_GB2312" w:hAnsi="仿宋_GB2312" w:eastAsia="仿宋_GB2312"/>
          <w:sz w:val="32"/>
        </w:rPr>
        <w:t>（7）指导交通运输行业体制改革；会同有关部门培育和管理交通运输市场、交通建设市场和公路养护市场。负责交通运输行业信用体系建设工作。</w:t>
      </w:r>
    </w:p>
    <w:p w14:paraId="65A2BF2D">
      <w:pPr>
        <w:spacing w:line="580" w:lineRule="exact"/>
        <w:ind w:firstLine="640"/>
        <w:jc w:val="both"/>
      </w:pPr>
      <w:r>
        <w:rPr>
          <w:rFonts w:ascii="仿宋_GB2312" w:hAnsi="仿宋_GB2312" w:eastAsia="仿宋_GB2312"/>
          <w:sz w:val="32"/>
        </w:rPr>
        <w:t>（8）负责交通运输行业安全生产的监督管理。负责运行监测和应急处置协调工作，监测分析交通运输运行情况，发布交通运输有关信息，指导交通运输系统应急处理工作。</w:t>
      </w:r>
    </w:p>
    <w:p w14:paraId="29DD714C">
      <w:pPr>
        <w:spacing w:line="580" w:lineRule="exact"/>
        <w:ind w:firstLine="640"/>
        <w:jc w:val="both"/>
      </w:pPr>
      <w:r>
        <w:rPr>
          <w:rFonts w:ascii="仿宋_GB2312" w:hAnsi="仿宋_GB2312" w:eastAsia="仿宋_GB2312"/>
          <w:sz w:val="32"/>
        </w:rPr>
        <w:t>（9）贯彻落实交通运输行业科技政策，承担交通科技项目管理，组织重大交通科技项目攻关，指导交通运输行业信息化建设。指导交通运输行业环境保护和节能减排工作。组织交通运输行业统计、运行分析工作。贯彻国家有关技术标准，起草相关地方技术规范并监督实施。承担交通运输行业标准化协调工作。</w:t>
      </w:r>
    </w:p>
    <w:p w14:paraId="276E057F">
      <w:pPr>
        <w:spacing w:line="580" w:lineRule="exact"/>
        <w:ind w:firstLine="640"/>
        <w:jc w:val="both"/>
      </w:pPr>
      <w:r>
        <w:rPr>
          <w:rFonts w:ascii="仿宋_GB2312" w:hAnsi="仿宋_GB2312" w:eastAsia="仿宋_GB2312"/>
          <w:sz w:val="32"/>
        </w:rPr>
        <w:t>（10）负责本行政区域跨县级行政区域客运经营、危险货物运输经营的行政许可。监督指导交通运输综合行政执法工作。指导交通运输行业的法治宣传、行政复议、行政应诉监督工作。指导交通运输行业职业教育和培训工作。指导交通运输行业开展国际经济技术合作与交流及利用外资工作。</w:t>
      </w:r>
    </w:p>
    <w:p w14:paraId="44C69D96">
      <w:pPr>
        <w:spacing w:line="580" w:lineRule="exact"/>
        <w:ind w:firstLine="640"/>
        <w:jc w:val="both"/>
      </w:pPr>
      <w:r>
        <w:rPr>
          <w:rFonts w:ascii="仿宋_GB2312" w:hAnsi="仿宋_GB2312" w:eastAsia="仿宋_GB2312"/>
          <w:sz w:val="32"/>
        </w:rPr>
        <w:t>（11）按照“管行业必须管安全、管业务必须管安全”的要求，对本行业领域安全生产负行业监管（行业主管）职责，组织开展本行业领域安全生产宣传教育、日常监督检查工作。</w:t>
      </w:r>
    </w:p>
    <w:p w14:paraId="6FD98149">
      <w:pPr>
        <w:spacing w:line="580" w:lineRule="exact"/>
        <w:ind w:firstLine="640"/>
        <w:jc w:val="both"/>
      </w:pPr>
      <w:r>
        <w:rPr>
          <w:rFonts w:ascii="仿宋_GB2312" w:hAnsi="仿宋_GB2312" w:eastAsia="仿宋_GB2312"/>
          <w:sz w:val="32"/>
        </w:rPr>
        <w:t>（12）完成自治州党委、自治州人民政府交办的其他任务。</w:t>
      </w:r>
    </w:p>
    <w:p w14:paraId="5696CA40">
      <w:pPr>
        <w:spacing w:line="640" w:lineRule="exact"/>
        <w:ind w:firstLine="640"/>
        <w:jc w:val="both"/>
        <w:outlineLvl w:val="2"/>
      </w:pPr>
      <w:r>
        <w:rPr>
          <w:rFonts w:ascii="黑体" w:hAnsi="黑体" w:eastAsia="黑体"/>
          <w:sz w:val="32"/>
        </w:rPr>
        <w:t>二、机构设置及人员情况</w:t>
      </w:r>
    </w:p>
    <w:p w14:paraId="18FFE24E">
      <w:pPr>
        <w:spacing w:line="580" w:lineRule="exact"/>
        <w:ind w:firstLine="640"/>
        <w:jc w:val="both"/>
      </w:pPr>
      <w:r>
        <w:rPr>
          <w:rFonts w:ascii="仿宋_GB2312" w:hAnsi="仿宋_GB2312" w:eastAsia="仿宋_GB2312"/>
          <w:sz w:val="32"/>
        </w:rPr>
        <w:t>克孜勒苏柯尔克孜自治州交通运输局2024年度，实有人数44人，其中：在职人员28人，增加3人；离休人员0人，增加0人；退休人员16人,增加0人。</w:t>
      </w:r>
    </w:p>
    <w:p w14:paraId="73755DF1">
      <w:pPr>
        <w:spacing w:line="580" w:lineRule="exact"/>
        <w:ind w:firstLine="640"/>
        <w:jc w:val="both"/>
      </w:pPr>
      <w:r>
        <w:rPr>
          <w:rFonts w:ascii="仿宋_GB2312" w:hAnsi="仿宋_GB2312" w:eastAsia="仿宋_GB2312"/>
          <w:sz w:val="32"/>
        </w:rPr>
        <w:t>克孜勒苏柯尔克孜自治州交通运输局无下属预算单位，下设6个科室，分别是：办公室、公路科、运输科、自治州农村公路路政大队、自治州交通工程质量安全监督局、自治州邮政业安全中心。</w:t>
      </w:r>
    </w:p>
    <w:p w14:paraId="3478634F">
      <w:r>
        <w:br w:type="page"/>
      </w:r>
    </w:p>
    <w:p w14:paraId="42FEFA3C">
      <w:pPr>
        <w:spacing w:line="240" w:lineRule="auto"/>
        <w:jc w:val="center"/>
        <w:outlineLvl w:val="1"/>
      </w:pPr>
      <w:r>
        <w:rPr>
          <w:rFonts w:ascii="黑体" w:hAnsi="黑体" w:eastAsia="黑体"/>
          <w:sz w:val="32"/>
        </w:rPr>
        <w:t>第二部分 部门决算情况说明</w:t>
      </w:r>
    </w:p>
    <w:p w14:paraId="47201FFF">
      <w:pPr>
        <w:spacing w:line="640" w:lineRule="exact"/>
        <w:ind w:firstLine="640"/>
        <w:jc w:val="both"/>
        <w:outlineLvl w:val="2"/>
      </w:pPr>
      <w:r>
        <w:rPr>
          <w:rFonts w:ascii="黑体" w:hAnsi="黑体" w:eastAsia="黑体"/>
          <w:sz w:val="32"/>
        </w:rPr>
        <w:t>一、收入支出决算总体情况说明</w:t>
      </w:r>
    </w:p>
    <w:p w14:paraId="1A2AC709">
      <w:pPr>
        <w:spacing w:line="580" w:lineRule="exact"/>
        <w:ind w:firstLine="640"/>
        <w:jc w:val="both"/>
      </w:pPr>
      <w:r>
        <w:rPr>
          <w:rFonts w:ascii="仿宋_GB2312" w:hAnsi="仿宋_GB2312" w:eastAsia="仿宋_GB2312"/>
          <w:b/>
          <w:sz w:val="32"/>
        </w:rPr>
        <w:t>2024年度收入总计222,687.79万元，</w:t>
      </w:r>
      <w:r>
        <w:rPr>
          <w:rFonts w:ascii="仿宋_GB2312" w:hAnsi="仿宋_GB2312" w:eastAsia="仿宋_GB2312"/>
          <w:b w:val="0"/>
          <w:sz w:val="32"/>
        </w:rPr>
        <w:t>其中：本年收入合计218,150.10万元，使用非财政拨款结余（含专用结余）0.00万元，年初结转和结余4,537.69万元。</w:t>
      </w:r>
    </w:p>
    <w:p w14:paraId="6C68DD34">
      <w:pPr>
        <w:spacing w:line="580" w:lineRule="exact"/>
        <w:ind w:firstLine="640"/>
        <w:jc w:val="both"/>
      </w:pPr>
      <w:r>
        <w:rPr>
          <w:rFonts w:ascii="仿宋_GB2312" w:hAnsi="仿宋_GB2312" w:eastAsia="仿宋_GB2312"/>
          <w:b/>
          <w:sz w:val="32"/>
        </w:rPr>
        <w:t>2024年度支出总计222,687.79万元，</w:t>
      </w:r>
      <w:r>
        <w:rPr>
          <w:rFonts w:ascii="仿宋_GB2312" w:hAnsi="仿宋_GB2312" w:eastAsia="仿宋_GB2312"/>
          <w:b w:val="0"/>
          <w:sz w:val="32"/>
        </w:rPr>
        <w:t>其中：本年支出合计218,152.42万元，结余分配0.00万元，年末结转和结余4,535.37万元。</w:t>
      </w:r>
    </w:p>
    <w:p w14:paraId="37768E50">
      <w:pPr>
        <w:spacing w:line="580" w:lineRule="exact"/>
        <w:ind w:firstLine="640"/>
        <w:jc w:val="both"/>
      </w:pPr>
      <w:r>
        <w:rPr>
          <w:rFonts w:ascii="仿宋_GB2312" w:hAnsi="仿宋_GB2312" w:eastAsia="仿宋_GB2312"/>
          <w:b w:val="0"/>
          <w:sz w:val="32"/>
        </w:rPr>
        <w:t>收入支出总体与上年相比，增加198,710.80万元，增长828.76%，主要原因是：本年增加G315线托帕至吐尔尕特口岸公路建设项目。</w:t>
      </w:r>
    </w:p>
    <w:p w14:paraId="43B90C0A">
      <w:pPr>
        <w:spacing w:line="640" w:lineRule="exact"/>
        <w:ind w:firstLine="640"/>
        <w:jc w:val="both"/>
        <w:outlineLvl w:val="2"/>
      </w:pPr>
      <w:r>
        <w:rPr>
          <w:rFonts w:ascii="黑体" w:hAnsi="黑体" w:eastAsia="黑体"/>
          <w:sz w:val="32"/>
        </w:rPr>
        <w:t>二、收入决算情况说明</w:t>
      </w:r>
    </w:p>
    <w:p w14:paraId="5183E195">
      <w:pPr>
        <w:spacing w:line="580" w:lineRule="exact"/>
        <w:ind w:firstLine="640"/>
        <w:jc w:val="both"/>
      </w:pPr>
      <w:r>
        <w:rPr>
          <w:rFonts w:ascii="仿宋_GB2312" w:hAnsi="仿宋_GB2312" w:eastAsia="仿宋_GB2312"/>
          <w:b/>
          <w:sz w:val="32"/>
        </w:rPr>
        <w:t>本年收入218,150.10万元，</w:t>
      </w:r>
      <w:r>
        <w:rPr>
          <w:rFonts w:ascii="仿宋_GB2312" w:hAnsi="仿宋_GB2312" w:eastAsia="仿宋_GB2312"/>
          <w:b w:val="0"/>
          <w:sz w:val="32"/>
        </w:rPr>
        <w:t>其中：财政拨款收入216,503.62万元，占99.25%；上级补助收入0.00万元，占0.00%；事业收入0.00万元，占0.00%；经营收入0.00万元，占0.00%；附属单位上缴收入0.00万元，占0.00%；其他收入1,646.49万元，占0.75%。</w:t>
      </w:r>
    </w:p>
    <w:p w14:paraId="7606EF1B">
      <w:pPr>
        <w:spacing w:line="640" w:lineRule="exact"/>
        <w:ind w:firstLine="640"/>
        <w:jc w:val="both"/>
        <w:outlineLvl w:val="2"/>
      </w:pPr>
      <w:r>
        <w:rPr>
          <w:rFonts w:ascii="黑体" w:hAnsi="黑体" w:eastAsia="黑体"/>
          <w:sz w:val="32"/>
        </w:rPr>
        <w:t>三、支出决算情况说明</w:t>
      </w:r>
    </w:p>
    <w:p w14:paraId="68B602B8">
      <w:pPr>
        <w:spacing w:line="580" w:lineRule="exact"/>
        <w:ind w:firstLine="640"/>
        <w:jc w:val="both"/>
      </w:pPr>
      <w:r>
        <w:rPr>
          <w:rFonts w:ascii="仿宋_GB2312" w:hAnsi="仿宋_GB2312" w:eastAsia="仿宋_GB2312"/>
          <w:b/>
          <w:sz w:val="32"/>
        </w:rPr>
        <w:t>本年支出218,152.42万元，</w:t>
      </w:r>
      <w:r>
        <w:rPr>
          <w:rFonts w:ascii="仿宋_GB2312" w:hAnsi="仿宋_GB2312" w:eastAsia="仿宋_GB2312"/>
          <w:b w:val="0"/>
          <w:sz w:val="32"/>
        </w:rPr>
        <w:t>其中：基本支出602.73万元，占0.28%；项目支出217,549.69万元，占99.72%；上缴上级支出0.00万元，占0.00%；经营支出0.00万元，占0.00%；对附属单位补助支出0.00万元，占0.00%。</w:t>
      </w:r>
    </w:p>
    <w:p w14:paraId="491B5758">
      <w:pPr>
        <w:spacing w:line="640" w:lineRule="exact"/>
        <w:ind w:firstLine="640"/>
        <w:jc w:val="both"/>
        <w:outlineLvl w:val="2"/>
      </w:pPr>
      <w:r>
        <w:rPr>
          <w:rFonts w:ascii="黑体" w:hAnsi="黑体" w:eastAsia="黑体"/>
          <w:sz w:val="32"/>
        </w:rPr>
        <w:t>四、财政拨款收入支出决算总体情况说明</w:t>
      </w:r>
    </w:p>
    <w:p w14:paraId="3E70C32D">
      <w:pPr>
        <w:spacing w:line="580" w:lineRule="exact"/>
        <w:ind w:firstLine="640"/>
        <w:jc w:val="both"/>
      </w:pPr>
      <w:r>
        <w:rPr>
          <w:rFonts w:ascii="仿宋_GB2312" w:hAnsi="仿宋_GB2312" w:eastAsia="仿宋_GB2312"/>
          <w:b/>
          <w:sz w:val="32"/>
        </w:rPr>
        <w:t>2024年度财政拨款收入总计216,503.62万元，</w:t>
      </w:r>
      <w:r>
        <w:rPr>
          <w:rFonts w:ascii="仿宋_GB2312" w:hAnsi="仿宋_GB2312" w:eastAsia="仿宋_GB2312"/>
          <w:b w:val="0"/>
          <w:sz w:val="32"/>
        </w:rPr>
        <w:t>其中：年初财政拨款结转和结余0.00万元，本年财政拨款收入216,503.62万元。</w:t>
      </w:r>
      <w:r>
        <w:rPr>
          <w:rFonts w:ascii="仿宋_GB2312" w:hAnsi="仿宋_GB2312" w:eastAsia="仿宋_GB2312"/>
          <w:b/>
          <w:sz w:val="32"/>
        </w:rPr>
        <w:t>财政拨款支出总计216,503.62万元，</w:t>
      </w:r>
      <w:r>
        <w:rPr>
          <w:rFonts w:ascii="仿宋_GB2312" w:hAnsi="仿宋_GB2312" w:eastAsia="仿宋_GB2312"/>
          <w:b w:val="0"/>
          <w:sz w:val="32"/>
        </w:rPr>
        <w:t>其中：年末财政拨款结转和结余0.00万元，本年财政拨款支出216,503.62万元。</w:t>
      </w:r>
    </w:p>
    <w:p w14:paraId="63C637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增加203,693.35万元，增长1,590.08%，主要原因是：本年增加G315线托帕至吐尔尕特口岸公路建设项目。</w:t>
      </w:r>
      <w:r>
        <w:rPr>
          <w:rFonts w:ascii="仿宋_GB2312" w:hAnsi="仿宋_GB2312" w:eastAsia="仿宋_GB2312"/>
          <w:b/>
          <w:sz w:val="32"/>
        </w:rPr>
        <w:t>与年初预算相比，</w:t>
      </w:r>
      <w:r>
        <w:rPr>
          <w:rFonts w:ascii="仿宋_GB2312" w:hAnsi="仿宋_GB2312" w:eastAsia="仿宋_GB2312"/>
          <w:b w:val="0"/>
          <w:sz w:val="32"/>
        </w:rPr>
        <w:t>年初预算数230,581.13万元，决算数216,503.62万元，预决算差异率-6.11%，主要原因是：年中调减G315线托帕至吐尔尕特口岸公路建设项目资金，导致预决算存在差异。</w:t>
      </w:r>
    </w:p>
    <w:p w14:paraId="18534D13">
      <w:pPr>
        <w:spacing w:line="640" w:lineRule="exact"/>
        <w:ind w:firstLine="640"/>
        <w:jc w:val="both"/>
        <w:outlineLvl w:val="2"/>
      </w:pPr>
      <w:r>
        <w:rPr>
          <w:rFonts w:ascii="黑体" w:hAnsi="黑体" w:eastAsia="黑体"/>
          <w:sz w:val="32"/>
        </w:rPr>
        <w:t>五、一般公共预算财政拨款支出决算情况说明</w:t>
      </w:r>
    </w:p>
    <w:p w14:paraId="7B81E4AC">
      <w:pPr>
        <w:spacing w:line="640" w:lineRule="exact"/>
        <w:ind w:firstLine="640"/>
        <w:jc w:val="both"/>
        <w:outlineLvl w:val="3"/>
      </w:pPr>
      <w:r>
        <w:rPr>
          <w:rFonts w:ascii="楷体_GB2312" w:hAnsi="楷体_GB2312" w:eastAsia="楷体_GB2312"/>
          <w:b/>
          <w:sz w:val="32"/>
        </w:rPr>
        <w:t>（一）一般公共预算财政拨款支出决算总体情况</w:t>
      </w:r>
    </w:p>
    <w:p w14:paraId="2725A63B">
      <w:pPr>
        <w:spacing w:line="580" w:lineRule="exact"/>
        <w:ind w:firstLine="640"/>
        <w:jc w:val="both"/>
      </w:pPr>
      <w:r>
        <w:rPr>
          <w:rFonts w:ascii="仿宋_GB2312" w:hAnsi="仿宋_GB2312" w:eastAsia="仿宋_GB2312"/>
          <w:b/>
          <w:sz w:val="32"/>
        </w:rPr>
        <w:t>2024年度一般公共预算财政拨款支出216,503.62万元，</w:t>
      </w:r>
      <w:r>
        <w:rPr>
          <w:rFonts w:ascii="仿宋_GB2312" w:hAnsi="仿宋_GB2312" w:eastAsia="仿宋_GB2312"/>
          <w:b w:val="0"/>
          <w:sz w:val="32"/>
        </w:rPr>
        <w:t>占本年支出合计的99.24%。</w:t>
      </w:r>
      <w:r>
        <w:rPr>
          <w:rFonts w:ascii="仿宋_GB2312" w:hAnsi="仿宋_GB2312" w:eastAsia="仿宋_GB2312"/>
          <w:b/>
          <w:sz w:val="32"/>
        </w:rPr>
        <w:t>与上年相比，</w:t>
      </w:r>
      <w:r>
        <w:rPr>
          <w:rFonts w:ascii="仿宋_GB2312" w:hAnsi="仿宋_GB2312" w:eastAsia="仿宋_GB2312"/>
          <w:b w:val="0"/>
          <w:sz w:val="32"/>
        </w:rPr>
        <w:t>增加203,693.35万元，增长1,590.08%，主要原因是：本年增加G315线托帕至吐尔尕特口岸公路建设项目。</w:t>
      </w:r>
      <w:r>
        <w:rPr>
          <w:rFonts w:ascii="仿宋_GB2312" w:hAnsi="仿宋_GB2312" w:eastAsia="仿宋_GB2312"/>
          <w:b/>
          <w:sz w:val="32"/>
        </w:rPr>
        <w:t>与年初预算相比,</w:t>
      </w:r>
      <w:r>
        <w:rPr>
          <w:rFonts w:ascii="仿宋_GB2312" w:hAnsi="仿宋_GB2312" w:eastAsia="仿宋_GB2312"/>
          <w:b w:val="0"/>
          <w:sz w:val="32"/>
        </w:rPr>
        <w:t>年初预算数230,581.13万元，决算数216,503.62万元，预决算差异率-6.11%，主要原因是：年中调减G315线托帕至吐尔尕特口岸公路建设项目资金，导致预决算存在差异。</w:t>
      </w:r>
    </w:p>
    <w:p w14:paraId="052628C6">
      <w:pPr>
        <w:spacing w:line="640" w:lineRule="exact"/>
        <w:ind w:firstLine="640"/>
        <w:jc w:val="both"/>
        <w:outlineLvl w:val="3"/>
      </w:pPr>
      <w:r>
        <w:rPr>
          <w:rFonts w:ascii="楷体_GB2312" w:hAnsi="楷体_GB2312" w:eastAsia="楷体_GB2312"/>
          <w:b/>
          <w:sz w:val="32"/>
        </w:rPr>
        <w:t>（二）一般公共预算财政拨款支出决算结构情况</w:t>
      </w:r>
    </w:p>
    <w:p w14:paraId="1B83B4F5">
      <w:pPr>
        <w:spacing w:line="580" w:lineRule="exact"/>
        <w:ind w:firstLine="640"/>
        <w:jc w:val="both"/>
      </w:pPr>
      <w:r>
        <w:rPr>
          <w:rFonts w:ascii="仿宋_GB2312" w:hAnsi="仿宋_GB2312" w:eastAsia="仿宋_GB2312"/>
          <w:b w:val="0"/>
          <w:sz w:val="32"/>
        </w:rPr>
        <w:t>1.一般公共服务支出(类)80.00万元,占0.04%。</w:t>
      </w:r>
    </w:p>
    <w:p w14:paraId="57161D29">
      <w:pPr>
        <w:spacing w:line="580" w:lineRule="exact"/>
        <w:ind w:firstLine="640"/>
        <w:jc w:val="both"/>
      </w:pPr>
      <w:r>
        <w:rPr>
          <w:rFonts w:ascii="仿宋_GB2312" w:hAnsi="仿宋_GB2312" w:eastAsia="仿宋_GB2312"/>
          <w:b w:val="0"/>
          <w:sz w:val="32"/>
        </w:rPr>
        <w:t>2.社会保障和就业支出(类)80.32万元,占0.04%。</w:t>
      </w:r>
    </w:p>
    <w:p w14:paraId="2E7A3B0A">
      <w:pPr>
        <w:spacing w:line="580" w:lineRule="exact"/>
        <w:ind w:firstLine="640"/>
        <w:jc w:val="both"/>
      </w:pPr>
      <w:r>
        <w:rPr>
          <w:rFonts w:ascii="仿宋_GB2312" w:hAnsi="仿宋_GB2312" w:eastAsia="仿宋_GB2312"/>
          <w:b w:val="0"/>
          <w:sz w:val="32"/>
        </w:rPr>
        <w:t>3.交通运输支出(类)216,343.29万元,占99.93%。</w:t>
      </w:r>
    </w:p>
    <w:p w14:paraId="27CF8E99">
      <w:pPr>
        <w:spacing w:line="640" w:lineRule="exact"/>
        <w:ind w:firstLine="640"/>
        <w:jc w:val="both"/>
        <w:outlineLvl w:val="3"/>
      </w:pPr>
      <w:r>
        <w:rPr>
          <w:rFonts w:ascii="楷体_GB2312" w:hAnsi="楷体_GB2312" w:eastAsia="楷体_GB2312"/>
          <w:b/>
          <w:sz w:val="32"/>
        </w:rPr>
        <w:t>（三）一般公共预算财政拨款支出决算具体情况</w:t>
      </w:r>
    </w:p>
    <w:p w14:paraId="7515F1F1">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1.一般公共服务支出(类)发展与改革事务(款)其他发展与改革事务支出(项):支出决算数为80.00万元，比上年决算减少120.00万元，下降60.00%,主要原因是：本年克州重点项目前期费（交通）项目资金减少。</w:t>
      </w:r>
    </w:p>
    <w:p w14:paraId="494FA497">
      <w:pPr>
        <w:spacing w:line="580" w:lineRule="exact"/>
        <w:ind w:firstLine="640"/>
        <w:jc w:val="both"/>
      </w:pPr>
      <w:r>
        <w:rPr>
          <w:rFonts w:ascii="仿宋_GB2312" w:hAnsi="仿宋_GB2312" w:eastAsia="仿宋_GB2312"/>
          <w:b w:val="0"/>
          <w:sz w:val="32"/>
        </w:rPr>
        <w:t>2.教育支出(类)普通教育(款)学前教育(项):支出决算数为0.00万元，比上年决算减少0.26万元，下降100.00%,主要原因是：本年没有支出支教人员补助资金，经费减少。</w:t>
      </w:r>
    </w:p>
    <w:p w14:paraId="67E78DE1">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3.社会保障和就业支出(类)行政事业单位养老支出(款)行政单位离退休(项):支出决算数为28.92万元，比上年决算增加3.09万元，增长11.96%,主要原因是：本年增加退休人员基础绩效奖，退休费支出增加。</w:t>
      </w:r>
    </w:p>
    <w:p w14:paraId="27B1CD10">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50.62万元，比上年决算增加10.40万元，增长25.86%,主要原因是：本年在职人员增加，养老保险缴费较上年增加。</w:t>
      </w:r>
    </w:p>
    <w:p w14:paraId="0917912B">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0.78万元，比上年决算减少14.80万元，下降94.99%,主要原因是：本年新增退休人员和调出人员较上年减少，职业年金缴费较上年减少。</w:t>
      </w:r>
    </w:p>
    <w:p w14:paraId="5885358F">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6.卫生健康支出(类)公共卫生(款)突发公共卫生事件应急处理(项):支出决算数为0.00万元，比上年决算减少2.92万元，下降100.00%,主要原因是：本年没有支出</w:t>
      </w:r>
      <w:r>
        <w:rPr>
          <w:rFonts w:hint="eastAsia" w:ascii="仿宋_GB2312" w:hAnsi="仿宋_GB2312" w:eastAsia="仿宋_GB2312"/>
          <w:b w:val="0"/>
          <w:sz w:val="32"/>
          <w:lang w:eastAsia="zh-CN"/>
        </w:rPr>
        <w:t>YQ</w:t>
      </w:r>
      <w:r>
        <w:rPr>
          <w:rFonts w:ascii="仿宋_GB2312" w:hAnsi="仿宋_GB2312" w:eastAsia="仿宋_GB2312"/>
          <w:b w:val="0"/>
          <w:sz w:val="32"/>
        </w:rPr>
        <w:t>工作人员差旅费，经费减少。</w:t>
      </w:r>
    </w:p>
    <w:p w14:paraId="162DB515">
      <w:pPr>
        <w:spacing w:line="580" w:lineRule="exact"/>
        <w:ind w:firstLine="640"/>
        <w:jc w:val="both"/>
      </w:pPr>
      <w:r>
        <w:rPr>
          <w:rFonts w:ascii="仿宋_GB2312" w:hAnsi="仿宋_GB2312" w:eastAsia="仿宋_GB2312"/>
          <w:b w:val="0"/>
          <w:sz w:val="32"/>
        </w:rPr>
        <w:t>7.交通运输支出(类)公路水路运输(款)行政运行(项):支出决算数为395.60万元，比上年决算增加61.33万元，增长18.35%,主要原因是：本年新增在职人员，人员工资调增，导致经费较上年有所增加。</w:t>
      </w:r>
    </w:p>
    <w:p w14:paraId="631A69E4">
      <w:pPr>
        <w:spacing w:line="580" w:lineRule="exact"/>
        <w:ind w:firstLine="640"/>
        <w:jc w:val="both"/>
      </w:pPr>
      <w:r>
        <w:rPr>
          <w:rFonts w:ascii="仿宋_GB2312" w:hAnsi="仿宋_GB2312" w:eastAsia="仿宋_GB2312"/>
          <w:b w:val="0"/>
          <w:sz w:val="32"/>
        </w:rPr>
        <w:t>8.交通运输支出(类)公路水路运输(款)机关服务(项):支出决算数为125.81万元，比上年决算增加16.15万元，增长14.73%,主要原因是：本年新增在职人员，人员工资调增，导致经费较上年有所增加。</w:t>
      </w:r>
    </w:p>
    <w:p w14:paraId="2280F54C">
      <w:pPr>
        <w:spacing w:line="580" w:lineRule="exact"/>
        <w:ind w:firstLine="640"/>
        <w:jc w:val="both"/>
      </w:pPr>
      <w:r>
        <w:rPr>
          <w:rFonts w:ascii="仿宋_GB2312" w:hAnsi="仿宋_GB2312" w:eastAsia="仿宋_GB2312"/>
          <w:b w:val="0"/>
          <w:sz w:val="32"/>
        </w:rPr>
        <w:t>9.交通运输支出(类)公路水路运输(款)公路建设(项):支出决算数为215,750.05万元，比上年决算增加213,750.05万元，增长10,687.50%,主要原因是：本年增加G315线托帕至吐尔尕特口岸公路建设项目资金，导致经费较上年有所增加。</w:t>
      </w:r>
    </w:p>
    <w:p w14:paraId="0AE1F61E">
      <w:pPr>
        <w:spacing w:line="580" w:lineRule="exact"/>
        <w:ind w:firstLine="640"/>
        <w:jc w:val="both"/>
      </w:pPr>
      <w:r>
        <w:rPr>
          <w:rFonts w:ascii="仿宋_GB2312" w:hAnsi="仿宋_GB2312" w:eastAsia="仿宋_GB2312"/>
          <w:b w:val="0"/>
          <w:sz w:val="32"/>
        </w:rPr>
        <w:t>10.交通运输支出(类)公路水路运输(款)其他公路水路运输支出(项):支出决算数为71.84万元，比上年决算减少8.98万元，下降11.11%,主要原因是：本年减少邮政业安全中心安全监管信息平台运行经费和公路工程项目质量监督第三方试验检测服务费项目，导致经费较上年减少。</w:t>
      </w:r>
    </w:p>
    <w:p w14:paraId="71DD8672">
      <w:pPr>
        <w:spacing w:line="580" w:lineRule="exact"/>
        <w:ind w:firstLine="640"/>
        <w:jc w:val="both"/>
      </w:pPr>
      <w:r>
        <w:rPr>
          <w:rFonts w:ascii="仿宋_GB2312" w:hAnsi="仿宋_GB2312" w:eastAsia="仿宋_GB2312"/>
          <w:b w:val="0"/>
          <w:sz w:val="32"/>
        </w:rPr>
        <w:t>11.交通运输支出(类)车辆购置税支出(款)车辆购置税用于公路等基础设施建设支出(项):支出决算数为0.00万元，比上年决算减少10,000.00万元，下降100.00%,主要原因是：本年减少G219线阿合奇县至八盘水磨公路项目，导致经费较上年减少。</w:t>
      </w:r>
    </w:p>
    <w:p w14:paraId="6AA84DE8">
      <w:pPr>
        <w:spacing w:line="580" w:lineRule="exact"/>
        <w:ind w:firstLine="640"/>
        <w:jc w:val="both"/>
      </w:pPr>
      <w:r>
        <w:rPr>
          <w:rFonts w:ascii="仿宋_GB2312" w:hAnsi="仿宋_GB2312" w:eastAsia="仿宋_GB2312"/>
          <w:b w:val="0"/>
          <w:sz w:val="32"/>
        </w:rPr>
        <w:t>12.灾害防治及应急管理支出(类)应急管理事务(款)灾害风险防治(项):支出决算数为0.00万元，比上年决算减少0.72万元，下降100.00%,主要原因是：本年未安排防灾减灾经费，导致经费较上年减少。</w:t>
      </w:r>
    </w:p>
    <w:p w14:paraId="39F82D6C">
      <w:pPr>
        <w:spacing w:line="640" w:lineRule="exact"/>
        <w:ind w:firstLine="640"/>
        <w:jc w:val="both"/>
        <w:outlineLvl w:val="2"/>
      </w:pPr>
      <w:r>
        <w:rPr>
          <w:rFonts w:ascii="黑体" w:hAnsi="黑体" w:eastAsia="黑体"/>
          <w:sz w:val="32"/>
        </w:rPr>
        <w:t>六、一般公共预算财政拨款基本支出决算情况说明</w:t>
      </w:r>
    </w:p>
    <w:p w14:paraId="007A0C3F">
      <w:pPr>
        <w:spacing w:line="580" w:lineRule="exact"/>
        <w:ind w:firstLine="640"/>
        <w:jc w:val="both"/>
      </w:pPr>
      <w:r>
        <w:rPr>
          <w:rFonts w:ascii="仿宋_GB2312" w:hAnsi="仿宋_GB2312" w:eastAsia="仿宋_GB2312"/>
          <w:b w:val="0"/>
          <w:sz w:val="32"/>
        </w:rPr>
        <w:t>2024年度一般公共预算财政拨款基本支出601.73万元，其中：</w:t>
      </w:r>
      <w:r>
        <w:rPr>
          <w:rFonts w:ascii="仿宋_GB2312" w:hAnsi="仿宋_GB2312" w:eastAsia="仿宋_GB2312"/>
          <w:b/>
          <w:sz w:val="32"/>
        </w:rPr>
        <w:t>人员经费579.77万元，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w:t>
      </w:r>
    </w:p>
    <w:p w14:paraId="080A824C">
      <w:pPr>
        <w:spacing w:line="580" w:lineRule="exact"/>
        <w:ind w:firstLine="640"/>
        <w:jc w:val="both"/>
      </w:pPr>
      <w:r>
        <w:rPr>
          <w:rFonts w:ascii="仿宋_GB2312" w:hAnsi="仿宋_GB2312" w:eastAsia="仿宋_GB2312"/>
          <w:b/>
          <w:sz w:val="32"/>
        </w:rPr>
        <w:t>公用经费21.96万元，</w:t>
      </w:r>
      <w:r>
        <w:rPr>
          <w:rFonts w:ascii="仿宋_GB2312" w:hAnsi="仿宋_GB2312" w:eastAsia="仿宋_GB2312"/>
          <w:b w:val="0"/>
          <w:sz w:val="32"/>
        </w:rPr>
        <w:t>包括：办公费、电费、公务接待费、劳务费、工会经费、福利费、其他商品和服务支出。</w:t>
      </w:r>
    </w:p>
    <w:p w14:paraId="14BD3821">
      <w:pPr>
        <w:spacing w:line="640" w:lineRule="exact"/>
        <w:ind w:firstLine="640"/>
        <w:jc w:val="both"/>
        <w:outlineLvl w:val="2"/>
      </w:pPr>
      <w:r>
        <w:rPr>
          <w:rFonts w:ascii="黑体" w:hAnsi="黑体" w:eastAsia="黑体"/>
          <w:sz w:val="32"/>
        </w:rPr>
        <w:t>七、政府性基金预算财政拨款收入支出决算情况说明</w:t>
      </w:r>
    </w:p>
    <w:p w14:paraId="0BD2074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BC3B8CE">
      <w:pPr>
        <w:spacing w:line="640" w:lineRule="exact"/>
        <w:ind w:firstLine="640"/>
        <w:jc w:val="both"/>
        <w:outlineLvl w:val="2"/>
      </w:pPr>
      <w:r>
        <w:rPr>
          <w:rFonts w:ascii="黑体" w:hAnsi="黑体" w:eastAsia="黑体"/>
          <w:sz w:val="32"/>
        </w:rPr>
        <w:t>八、国有资本经营预算财政拨款收入支出决算情况说明</w:t>
      </w:r>
    </w:p>
    <w:p w14:paraId="43E0B8E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759866">
      <w:pPr>
        <w:spacing w:line="640" w:lineRule="exact"/>
        <w:ind w:firstLine="640"/>
        <w:jc w:val="both"/>
        <w:outlineLvl w:val="2"/>
      </w:pPr>
      <w:r>
        <w:rPr>
          <w:rFonts w:ascii="黑体" w:hAnsi="黑体" w:eastAsia="黑体"/>
          <w:sz w:val="32"/>
        </w:rPr>
        <w:t>九、财政拨款“三公”经费支出决算情况说明</w:t>
      </w:r>
    </w:p>
    <w:p w14:paraId="46013D8A">
      <w:pPr>
        <w:spacing w:line="580" w:lineRule="exact"/>
        <w:ind w:firstLine="640"/>
        <w:jc w:val="both"/>
      </w:pPr>
      <w:r>
        <w:rPr>
          <w:rFonts w:ascii="仿宋_GB2312" w:hAnsi="仿宋_GB2312" w:eastAsia="仿宋_GB2312"/>
          <w:b/>
          <w:sz w:val="32"/>
        </w:rPr>
        <w:t>2024年度财政拨款“三公”经费支出10.79万元，</w:t>
      </w:r>
      <w:r>
        <w:rPr>
          <w:rFonts w:ascii="仿宋_GB2312" w:hAnsi="仿宋_GB2312" w:eastAsia="仿宋_GB2312"/>
          <w:b w:val="0"/>
          <w:sz w:val="32"/>
        </w:rPr>
        <w:t>比上年增加0.08万元，增长0.75%，主要原因是：本单位公务用车日渐老化，维修维护成本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10.10万元，占93.61%，比上年增加0.03万元，增长0.30%，主要原因是：本单位公务用车日渐老化，维修维护成本增加，导致公务用车运行维护费较上年增加。公务接待费支出0.69万元，占6.39%，比上年增加0.05万元，增长7.81%，主要原因是：本年因业务需求，增加公务接待工作，导致公务接待费较上年增加。</w:t>
      </w:r>
    </w:p>
    <w:p w14:paraId="6F92360D">
      <w:pPr>
        <w:spacing w:line="580" w:lineRule="exact"/>
        <w:ind w:firstLine="640"/>
        <w:jc w:val="both"/>
      </w:pPr>
      <w:r>
        <w:rPr>
          <w:rFonts w:ascii="仿宋_GB2312" w:hAnsi="仿宋_GB2312" w:eastAsia="仿宋_GB2312"/>
          <w:b/>
          <w:sz w:val="32"/>
        </w:rPr>
        <w:t>具体情况如下：</w:t>
      </w:r>
    </w:p>
    <w:p w14:paraId="49BCF51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0030000">
      <w:pPr>
        <w:spacing w:line="580" w:lineRule="exact"/>
        <w:ind w:firstLine="640"/>
        <w:jc w:val="both"/>
      </w:pPr>
      <w:r>
        <w:rPr>
          <w:rFonts w:ascii="仿宋_GB2312" w:hAnsi="仿宋_GB2312" w:eastAsia="仿宋_GB2312"/>
          <w:b w:val="0"/>
          <w:sz w:val="32"/>
        </w:rPr>
        <w:t>公务用车购置及运行维护费10.10万元，其中：公务用车购置费0.00万元，公务用车运行维护费10.10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7A49C9EA">
      <w:pPr>
        <w:spacing w:line="580" w:lineRule="exact"/>
        <w:ind w:firstLine="640"/>
        <w:jc w:val="both"/>
      </w:pPr>
      <w:r>
        <w:rPr>
          <w:rFonts w:ascii="仿宋_GB2312" w:hAnsi="仿宋_GB2312" w:eastAsia="仿宋_GB2312"/>
          <w:b w:val="0"/>
          <w:sz w:val="32"/>
        </w:rPr>
        <w:t>公务接待费0.69万元，开支内容包括因接待上级领导检查、调研产生的就餐费。单位全年安排的国内公务接待6批次，60人次。</w:t>
      </w:r>
    </w:p>
    <w:p w14:paraId="23E96DC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10.79万元，决算数10.79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10.10万元，决算数10.10万元，预决算差异率0.00%，主要原因是：严格按照预算执行，预决算无差异。公务接待费全年预算数0.69万元，决算数0.69万元，预决算差异率0.00%，主要原因是：严格按照预算执行，预决算无差异。</w:t>
      </w:r>
    </w:p>
    <w:p w14:paraId="388EB2D0">
      <w:pPr>
        <w:spacing w:line="640" w:lineRule="exact"/>
        <w:ind w:firstLine="640"/>
        <w:jc w:val="both"/>
        <w:outlineLvl w:val="2"/>
      </w:pPr>
      <w:r>
        <w:rPr>
          <w:rFonts w:ascii="黑体" w:hAnsi="黑体" w:eastAsia="黑体"/>
          <w:sz w:val="32"/>
        </w:rPr>
        <w:t>十、其他重要事项的情况说明</w:t>
      </w:r>
    </w:p>
    <w:p w14:paraId="47D1ECE5">
      <w:pPr>
        <w:spacing w:line="640" w:lineRule="exact"/>
        <w:ind w:firstLine="640"/>
        <w:jc w:val="both"/>
        <w:outlineLvl w:val="3"/>
      </w:pPr>
      <w:r>
        <w:rPr>
          <w:rFonts w:ascii="楷体_GB2312" w:hAnsi="楷体_GB2312" w:eastAsia="楷体_GB2312"/>
          <w:b/>
          <w:sz w:val="32"/>
        </w:rPr>
        <w:t>（一）机关运行经费及公用经费支出情况</w:t>
      </w:r>
    </w:p>
    <w:p w14:paraId="71E347E9">
      <w:pPr>
        <w:spacing w:line="580" w:lineRule="exact"/>
        <w:ind w:firstLine="640"/>
        <w:jc w:val="both"/>
      </w:pPr>
      <w:r>
        <w:rPr>
          <w:rFonts w:ascii="仿宋_GB2312" w:hAnsi="仿宋_GB2312" w:eastAsia="仿宋_GB2312"/>
          <w:b w:val="0"/>
          <w:sz w:val="32"/>
        </w:rPr>
        <w:t>2024年度克孜勒苏柯尔克孜自治州交通运输局（行政单位和参照公务员法管理事业单位）机关运行经费支出21.96万元，比上年减少4.57万元，下降17.23%，主要原因是：本年减少差旅费，导致公用经费减少。</w:t>
      </w:r>
    </w:p>
    <w:p w14:paraId="66E93709">
      <w:pPr>
        <w:spacing w:line="640" w:lineRule="exact"/>
        <w:ind w:firstLine="640"/>
        <w:jc w:val="both"/>
        <w:outlineLvl w:val="3"/>
      </w:pPr>
      <w:r>
        <w:rPr>
          <w:rFonts w:ascii="楷体_GB2312" w:hAnsi="楷体_GB2312" w:eastAsia="楷体_GB2312"/>
          <w:b/>
          <w:sz w:val="32"/>
        </w:rPr>
        <w:t>（二）政府采购情况</w:t>
      </w:r>
    </w:p>
    <w:p w14:paraId="50ED5108">
      <w:pPr>
        <w:spacing w:line="580" w:lineRule="exact"/>
        <w:ind w:firstLine="640"/>
        <w:jc w:val="both"/>
      </w:pPr>
      <w:r>
        <w:rPr>
          <w:rFonts w:ascii="仿宋_GB2312" w:hAnsi="仿宋_GB2312" w:eastAsia="仿宋_GB2312"/>
          <w:b w:val="0"/>
          <w:sz w:val="32"/>
        </w:rPr>
        <w:t>2024年度政府采购支出总额226.53万元，其中：政府采购货物支出9.08万元、政府采购工程支出7.98万元、政府采购服务支出209.47万元。</w:t>
      </w:r>
    </w:p>
    <w:p w14:paraId="7A737DE4">
      <w:pPr>
        <w:spacing w:line="580" w:lineRule="exact"/>
        <w:ind w:firstLine="640"/>
        <w:jc w:val="both"/>
      </w:pPr>
      <w:r>
        <w:rPr>
          <w:rFonts w:ascii="仿宋_GB2312" w:hAnsi="仿宋_GB2312" w:eastAsia="仿宋_GB2312"/>
          <w:b w:val="0"/>
          <w:sz w:val="32"/>
        </w:rPr>
        <w:t>授予中小企业合同金额222.39万元，占政府采购支出总额的98.17%，其中：授予小微企业合同金额154.29万元，占政府采购支出总额的68.11%。</w:t>
      </w:r>
    </w:p>
    <w:p w14:paraId="3E2D66F9">
      <w:pPr>
        <w:spacing w:line="640" w:lineRule="exact"/>
        <w:ind w:firstLine="640"/>
        <w:jc w:val="both"/>
        <w:outlineLvl w:val="3"/>
      </w:pPr>
      <w:r>
        <w:rPr>
          <w:rFonts w:ascii="楷体_GB2312" w:hAnsi="楷体_GB2312" w:eastAsia="楷体_GB2312"/>
          <w:b/>
          <w:sz w:val="32"/>
        </w:rPr>
        <w:t>（三）国有资产占用情况说明</w:t>
      </w:r>
    </w:p>
    <w:p w14:paraId="406B7F84">
      <w:pPr>
        <w:spacing w:line="580" w:lineRule="exact"/>
        <w:ind w:firstLine="640"/>
        <w:jc w:val="both"/>
      </w:pPr>
      <w:r>
        <w:rPr>
          <w:rFonts w:ascii="仿宋_GB2312" w:hAnsi="仿宋_GB2312" w:eastAsia="仿宋_GB2312"/>
          <w:b w:val="0"/>
          <w:sz w:val="32"/>
        </w:rPr>
        <w:t>截至2024年12月31日，房屋0.00平方米，价值0.00万元。车辆3辆，价值101.97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F9CD797">
      <w:pPr>
        <w:spacing w:line="640" w:lineRule="exact"/>
        <w:ind w:firstLine="640"/>
        <w:jc w:val="both"/>
        <w:outlineLvl w:val="2"/>
      </w:pPr>
      <w:r>
        <w:rPr>
          <w:rFonts w:ascii="黑体" w:hAnsi="黑体" w:eastAsia="黑体"/>
          <w:sz w:val="32"/>
        </w:rPr>
        <w:t>十一、预算绩效的情况说明</w:t>
      </w:r>
    </w:p>
    <w:p w14:paraId="3021F1B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根据预算绩效管理要求，本单位2024年度预算绩效管理形成整体支出绩效自评表1个，全年预算总额222,687.80万元，实际执行总额218,152.42万元；预算绩效评价项目1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231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805.21</w:t>
      </w:r>
      <w:r>
        <w:rPr>
          <w:rFonts w:ascii="仿宋_GB2312" w:hAnsi="仿宋_GB2312" w:eastAsia="仿宋_GB2312"/>
          <w:b w:val="0"/>
          <w:sz w:val="32"/>
        </w:rPr>
        <w:t>万元，全年执行数</w:t>
      </w:r>
      <w:r>
        <w:rPr>
          <w:rFonts w:hint="eastAsia" w:ascii="仿宋_GB2312" w:hAnsi="仿宋_GB2312" w:eastAsia="仿宋_GB2312"/>
          <w:b w:val="0"/>
          <w:sz w:val="32"/>
        </w:rPr>
        <w:t>217</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549.69</w:t>
      </w:r>
      <w:r>
        <w:rPr>
          <w:rFonts w:ascii="仿宋_GB2312" w:hAnsi="仿宋_GB2312" w:eastAsia="仿宋_GB2312"/>
          <w:b w:val="0"/>
          <w:sz w:val="32"/>
        </w:rPr>
        <w:t>万元。预算绩效管理取得的成效：一是保障了我单位28名职工的工资、福利及社保正常发放及缴纳，确保民生工作落实到位；二是保障我单位3辆公务用车的运行及维护，保障单位各项工作的顺利开展，确保机构运转正常；三是贯彻落实自治区、自治州党委和政府各项决策部署，按照州委“三大布局”、“四大产业”等经济发展战略布局以及“以思想大解放推动克州大发展比拼活动”确定的目标任务，坚持问题导向、结果导向、目标导向，狠抓重点工作任务落实。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三是部分工作任务存在较大的不可预见性，导致工作任务与实际工作开展情况之间存在偏差。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2B2C20B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771D04F">
        <w:tblPrEx>
          <w:tblCellMar>
            <w:top w:w="0" w:type="dxa"/>
            <w:left w:w="108" w:type="dxa"/>
            <w:bottom w:w="0" w:type="dxa"/>
            <w:right w:w="108" w:type="dxa"/>
          </w:tblCellMar>
        </w:tblPrEx>
        <w:tc>
          <w:tcPr>
            <w:tcW w:w="8840" w:type="dxa"/>
            <w:gridSpan w:val="8"/>
            <w:vAlign w:val="center"/>
          </w:tcPr>
          <w:p w14:paraId="38646580">
            <w:pPr>
              <w:jc w:val="center"/>
            </w:pPr>
            <w:r>
              <w:rPr>
                <w:rFonts w:ascii="宋体" w:hAnsi="宋体" w:eastAsia="宋体"/>
                <w:sz w:val="24"/>
              </w:rPr>
              <w:t>单位整体支出绩效自评表</w:t>
            </w:r>
          </w:p>
        </w:tc>
      </w:tr>
      <w:tr w14:paraId="0340DB78">
        <w:tblPrEx>
          <w:tblCellMar>
            <w:top w:w="0" w:type="dxa"/>
            <w:left w:w="108" w:type="dxa"/>
            <w:bottom w:w="0" w:type="dxa"/>
            <w:right w:w="108" w:type="dxa"/>
          </w:tblCellMar>
        </w:tblPrEx>
        <w:tc>
          <w:tcPr>
            <w:tcW w:w="8840" w:type="dxa"/>
            <w:gridSpan w:val="8"/>
            <w:vAlign w:val="center"/>
          </w:tcPr>
          <w:p w14:paraId="1FA518F8">
            <w:pPr>
              <w:jc w:val="center"/>
            </w:pPr>
            <w:r>
              <w:rPr>
                <w:rFonts w:ascii="宋体" w:hAnsi="宋体" w:eastAsia="宋体"/>
                <w:sz w:val="24"/>
              </w:rPr>
              <w:t>（2024年度）</w:t>
            </w:r>
          </w:p>
        </w:tc>
      </w:tr>
      <w:tr w14:paraId="02E12B2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C3833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E5880">
            <w:pPr>
              <w:jc w:val="center"/>
            </w:pPr>
            <w:r>
              <w:rPr>
                <w:rFonts w:ascii="宋体" w:hAnsi="宋体" w:eastAsia="宋体"/>
                <w:sz w:val="16"/>
              </w:rPr>
              <w:t>克孜勒苏柯尔克孜自治州交通运输局</w:t>
            </w:r>
          </w:p>
        </w:tc>
      </w:tr>
      <w:tr w14:paraId="60BD6C8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0B82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3F3F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F34B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4960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E349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AF59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D2F0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94DEE">
            <w:pPr>
              <w:jc w:val="center"/>
            </w:pPr>
            <w:r>
              <w:rPr>
                <w:rFonts w:ascii="宋体" w:hAnsi="宋体" w:eastAsia="宋体"/>
                <w:sz w:val="16"/>
              </w:rPr>
              <w:t>得分</w:t>
            </w:r>
          </w:p>
        </w:tc>
      </w:tr>
      <w:tr w14:paraId="762FE0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3FC46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76FB3">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B682F">
            <w:pPr>
              <w:jc w:val="center"/>
            </w:pPr>
            <w:r>
              <w:rPr>
                <w:rFonts w:ascii="宋体" w:hAnsi="宋体" w:eastAsia="宋体"/>
                <w:sz w:val="16"/>
              </w:rPr>
              <w:t>230,671.12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5F8BFB">
            <w:pPr>
              <w:jc w:val="center"/>
            </w:pPr>
            <w:r>
              <w:rPr>
                <w:rFonts w:ascii="宋体" w:hAnsi="宋体" w:eastAsia="宋体"/>
                <w:sz w:val="16"/>
              </w:rPr>
              <w:t>222,687.80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A6B5C">
            <w:pPr>
              <w:jc w:val="center"/>
            </w:pPr>
            <w:r>
              <w:rPr>
                <w:rFonts w:ascii="宋体" w:hAnsi="宋体" w:eastAsia="宋体"/>
                <w:sz w:val="16"/>
              </w:rPr>
              <w:t>218,152.42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BEA9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E5596F">
            <w:pPr>
              <w:jc w:val="center"/>
            </w:pPr>
            <w:r>
              <w:rPr>
                <w:rFonts w:ascii="宋体" w:hAnsi="宋体" w:eastAsia="宋体"/>
                <w:sz w:val="16"/>
              </w:rPr>
              <w:t>97.96%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F9FD9">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8分</w:t>
            </w:r>
          </w:p>
        </w:tc>
      </w:tr>
      <w:tr w14:paraId="00551D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69C0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D1814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243560">
            <w:pPr>
              <w:jc w:val="center"/>
            </w:pPr>
            <w:r>
              <w:rPr>
                <w:rFonts w:ascii="宋体" w:hAnsi="宋体" w:eastAsia="宋体"/>
                <w:sz w:val="16"/>
              </w:rPr>
              <w:t>230,000.00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CBC0B">
            <w:pPr>
              <w:jc w:val="center"/>
            </w:pPr>
            <w:r>
              <w:rPr>
                <w:rFonts w:ascii="宋体" w:hAnsi="宋体" w:eastAsia="宋体"/>
                <w:sz w:val="16"/>
              </w:rPr>
              <w:t>215,847.05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9973C">
            <w:pPr>
              <w:jc w:val="center"/>
            </w:pPr>
            <w:r>
              <w:rPr>
                <w:rFonts w:ascii="宋体" w:hAnsi="宋体" w:eastAsia="宋体"/>
                <w:sz w:val="16"/>
              </w:rPr>
              <w:t>215,847.05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C592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60A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F5D0A">
            <w:pPr>
              <w:jc w:val="center"/>
            </w:pPr>
            <w:r>
              <w:rPr>
                <w:rFonts w:ascii="宋体" w:hAnsi="宋体" w:eastAsia="宋体"/>
                <w:sz w:val="16"/>
              </w:rPr>
              <w:t>—</w:t>
            </w:r>
          </w:p>
        </w:tc>
      </w:tr>
      <w:tr w14:paraId="414B55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6C8B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D5CD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616AE">
            <w:pPr>
              <w:jc w:val="center"/>
            </w:pPr>
            <w:r>
              <w:rPr>
                <w:rFonts w:ascii="宋体" w:hAnsi="宋体" w:eastAsia="宋体"/>
                <w:sz w:val="16"/>
              </w:rPr>
              <w:t>581.12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0F786">
            <w:pPr>
              <w:jc w:val="center"/>
            </w:pPr>
            <w:r>
              <w:rPr>
                <w:rFonts w:ascii="宋体" w:hAnsi="宋体" w:eastAsia="宋体"/>
                <w:sz w:val="16"/>
              </w:rPr>
              <w:t>658.14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761FC4">
            <w:pPr>
              <w:jc w:val="center"/>
            </w:pPr>
            <w:r>
              <w:rPr>
                <w:rFonts w:ascii="宋体" w:hAnsi="宋体" w:eastAsia="宋体"/>
                <w:sz w:val="16"/>
              </w:rPr>
              <w:t>657.57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3F88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870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98A19">
            <w:pPr>
              <w:jc w:val="center"/>
            </w:pPr>
            <w:r>
              <w:rPr>
                <w:rFonts w:ascii="宋体" w:hAnsi="宋体" w:eastAsia="宋体"/>
                <w:sz w:val="16"/>
              </w:rPr>
              <w:t>—</w:t>
            </w:r>
          </w:p>
        </w:tc>
      </w:tr>
      <w:tr w14:paraId="48F22B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C3361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C93B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86420">
            <w:pPr>
              <w:jc w:val="center"/>
            </w:pPr>
            <w:r>
              <w:rPr>
                <w:rFonts w:ascii="宋体" w:hAnsi="宋体" w:eastAsia="宋体"/>
                <w:sz w:val="16"/>
              </w:rPr>
              <w:t>90.00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A375E">
            <w:pPr>
              <w:jc w:val="center"/>
            </w:pPr>
            <w:r>
              <w:rPr>
                <w:rFonts w:ascii="宋体" w:hAnsi="宋体" w:eastAsia="宋体"/>
                <w:sz w:val="16"/>
              </w:rPr>
              <w:t>6,182.61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96E15">
            <w:pPr>
              <w:jc w:val="center"/>
            </w:pPr>
            <w:r>
              <w:rPr>
                <w:rFonts w:ascii="宋体" w:hAnsi="宋体" w:eastAsia="宋体"/>
                <w:sz w:val="16"/>
              </w:rPr>
              <w:t>1,647.80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FF1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BDE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871C8">
            <w:pPr>
              <w:jc w:val="center"/>
            </w:pPr>
            <w:r>
              <w:rPr>
                <w:rFonts w:ascii="宋体" w:hAnsi="宋体" w:eastAsia="宋体"/>
                <w:sz w:val="16"/>
              </w:rPr>
              <w:t>—</w:t>
            </w:r>
          </w:p>
        </w:tc>
      </w:tr>
      <w:tr w14:paraId="000C537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937C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3F234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1FB587">
            <w:pPr>
              <w:jc w:val="center"/>
              <w:rPr>
                <w:rFonts w:hint="eastAsia" w:eastAsia="宋体"/>
                <w:lang w:eastAsia="zh-CN"/>
              </w:rPr>
            </w:pPr>
            <w:r>
              <w:rPr>
                <w:rFonts w:hint="eastAsia" w:ascii="宋体" w:hAnsi="宋体"/>
                <w:sz w:val="16"/>
                <w:lang w:eastAsia="zh-CN"/>
              </w:rPr>
              <w:t>实际完成情况</w:t>
            </w:r>
          </w:p>
        </w:tc>
      </w:tr>
      <w:tr w14:paraId="4AA98C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CCBAE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2E6B03">
            <w:pPr>
              <w:jc w:val="both"/>
            </w:pPr>
            <w:r>
              <w:rPr>
                <w:rFonts w:ascii="宋体" w:hAnsi="宋体" w:eastAsia="宋体"/>
                <w:sz w:val="16"/>
              </w:rPr>
              <w:t>目标1：开展群众工作，为阿其克村办实事好事，走访慰问，巩固拓展脱贫攻坚成果同乡村振兴有效衔接，贯彻落实</w:t>
            </w:r>
            <w:r>
              <w:rPr>
                <w:rFonts w:hint="eastAsia" w:ascii="宋体" w:hAnsi="宋体"/>
                <w:sz w:val="16"/>
                <w:lang w:eastAsia="zh-CN"/>
              </w:rPr>
              <w:t>新时代党的治疆方略</w:t>
            </w:r>
            <w:r>
              <w:rPr>
                <w:rFonts w:ascii="宋体" w:hAnsi="宋体" w:eastAsia="宋体"/>
                <w:sz w:val="16"/>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目标2：加快重大项目建设进度。继续用好重大交通项目领导小组协调机制，加大G315线托帕至吐尔尕特口岸公路建设项目建设，完成年度14亿元投资任务目标。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目标3：争取重大项目列入“十四五”规划中期调整、自治区省道网规划等。结合全州矿产、旅游资源分布情况，研究推进紫金矿业等道路</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目标4：推进法治政府部门建设，持续开展安全生产、超限超载治理、道路交通安全执法等专项整治行动，确保交通运输领域安全。                                                                                                                                                                                                                        目标5：加大对县（市）交通运输局和综合执法大队的业务指导，督促加大交通执法巡查力度。同时，加大宣传力度，不断提高从业人员的法律意识和群众的举报意识。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9483C3">
            <w:pPr>
              <w:jc w:val="both"/>
            </w:pPr>
            <w:r>
              <w:rPr>
                <w:rFonts w:ascii="宋体" w:hAnsi="宋体" w:eastAsia="宋体"/>
                <w:sz w:val="16"/>
              </w:rPr>
              <w:t>截至2024年12月31日，已完成：1.交通运输企业安全检查覆盖率100%，围绕交通运输系统安全生产治本攻坚三年行动目标任务，行业监管持续优化，安全管理水平不断提升。重点节假日工作人员多次监督指导道路运输企业，发现隐患已全部整改。2024年完成“两客一危”</w:t>
            </w:r>
            <w:r>
              <w:rPr>
                <w:rFonts w:hint="eastAsia" w:ascii="宋体" w:hAnsi="宋体"/>
                <w:sz w:val="16"/>
                <w:lang w:eastAsia="zh-CN"/>
              </w:rPr>
              <w:t>车辆</w:t>
            </w:r>
            <w:r>
              <w:rPr>
                <w:rFonts w:ascii="宋体" w:hAnsi="宋体" w:eastAsia="宋体"/>
                <w:sz w:val="16"/>
              </w:rPr>
              <w:t>监控监管终端设备升级改造，实现行业监管向信息化转变。</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交通投资规模22.92亿元，推进项目数15个，当年投资完成率95.18%；围绕州委“三大布局”、“四大产业”等经济发展战略布局，持续推进交通基础设施建设，织密织强交通四张网，2024年交通专班实施项目完成投资22.92亿元，重点完成G315线托帕至吐尔尕特口岸公路和县市新改建农村公路229公里投资任务，促进农村公路安全水平和路域环境持续改善，</w:t>
            </w:r>
            <w:r>
              <w:rPr>
                <w:rFonts w:hint="eastAsia" w:ascii="宋体" w:hAnsi="宋体"/>
                <w:sz w:val="16"/>
                <w:lang w:eastAsia="zh-CN"/>
              </w:rPr>
              <w:t>使</w:t>
            </w:r>
            <w:r>
              <w:rPr>
                <w:rFonts w:ascii="宋体" w:hAnsi="宋体" w:eastAsia="宋体"/>
                <w:sz w:val="16"/>
              </w:rPr>
              <w:t>农村公路“建管养”提质增效，有力推动农村公路管养见实效。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3.交通运输行业咨询、投诉受理率100%，受理办结12328交通运输服务监督电话系统工单2914件，保障平台正常运行，提升电话系统服务质量，提高交通运输便民利民服务水平，有效推进政务事项高效快捷办理。</w:t>
            </w:r>
          </w:p>
        </w:tc>
      </w:tr>
      <w:tr w14:paraId="0CB4D3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A9F3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B68E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BA8D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8AAA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EF74E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4ACE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57E0E">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6C546">
            <w:pPr>
              <w:jc w:val="center"/>
            </w:pPr>
            <w:r>
              <w:rPr>
                <w:rFonts w:ascii="宋体" w:hAnsi="宋体" w:eastAsia="宋体"/>
                <w:sz w:val="16"/>
              </w:rPr>
              <w:t>得分</w:t>
            </w:r>
          </w:p>
        </w:tc>
      </w:tr>
      <w:tr w14:paraId="3753260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D0122B">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F7BA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D97F4">
            <w:pPr>
              <w:jc w:val="center"/>
            </w:pPr>
            <w:r>
              <w:rPr>
                <w:rFonts w:ascii="宋体" w:hAnsi="宋体" w:eastAsia="宋体"/>
                <w:sz w:val="16"/>
              </w:rPr>
              <w:t>交通运输企业安全检查覆盖率（%）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93142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2B891">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31F4A2">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2E5F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87610">
            <w:pPr>
              <w:jc w:val="center"/>
            </w:pPr>
            <w:r>
              <w:rPr>
                <w:rFonts w:ascii="宋体" w:hAnsi="宋体" w:eastAsia="宋体"/>
                <w:sz w:val="16"/>
              </w:rPr>
              <w:t>12</w:t>
            </w:r>
          </w:p>
        </w:tc>
      </w:tr>
      <w:tr w14:paraId="4C91A54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E3DAA">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7536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8A824">
            <w:pPr>
              <w:jc w:val="center"/>
            </w:pPr>
            <w:r>
              <w:rPr>
                <w:rFonts w:ascii="宋体" w:hAnsi="宋体" w:eastAsia="宋体"/>
                <w:sz w:val="16"/>
              </w:rPr>
              <w:t>交通投资规模（亿元）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4F04F">
            <w:pPr>
              <w:jc w:val="center"/>
            </w:pPr>
            <w:r>
              <w:rPr>
                <w:rFonts w:ascii="宋体" w:hAnsi="宋体" w:eastAsia="宋体"/>
                <w:sz w:val="16"/>
              </w:rPr>
              <w:t>&lt;=24.08亿元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3A1BE">
            <w:pPr>
              <w:jc w:val="center"/>
            </w:pPr>
            <w:r>
              <w:rPr>
                <w:rFonts w:ascii="宋体" w:hAnsi="宋体" w:eastAsia="宋体"/>
                <w:sz w:val="16"/>
              </w:rPr>
              <w:t>项目计划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1997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DE724">
            <w:pPr>
              <w:jc w:val="center"/>
            </w:pPr>
            <w:r>
              <w:rPr>
                <w:rFonts w:ascii="宋体" w:hAnsi="宋体" w:eastAsia="宋体"/>
                <w:sz w:val="16"/>
              </w:rPr>
              <w:t>22.92亿元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2D8B1">
            <w:pPr>
              <w:jc w:val="center"/>
            </w:pPr>
            <w:r>
              <w:rPr>
                <w:rFonts w:ascii="宋体" w:hAnsi="宋体" w:eastAsia="宋体"/>
                <w:sz w:val="16"/>
              </w:rPr>
              <w:t>28.55</w:t>
            </w:r>
          </w:p>
        </w:tc>
      </w:tr>
      <w:tr w14:paraId="28B322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580365"/>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60377">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88AE8">
            <w:pPr>
              <w:jc w:val="center"/>
            </w:pPr>
            <w:r>
              <w:rPr>
                <w:rFonts w:ascii="宋体" w:hAnsi="宋体" w:eastAsia="宋体"/>
                <w:sz w:val="16"/>
              </w:rPr>
              <w:t>推进项目数（个）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23165">
            <w:pPr>
              <w:jc w:val="center"/>
            </w:pPr>
            <w:r>
              <w:rPr>
                <w:rFonts w:ascii="宋体" w:hAnsi="宋体" w:eastAsia="宋体"/>
                <w:sz w:val="16"/>
              </w:rPr>
              <w:t>&lt;=14个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9125B">
            <w:pPr>
              <w:jc w:val="center"/>
            </w:pPr>
            <w:r>
              <w:rPr>
                <w:rFonts w:ascii="宋体" w:hAnsi="宋体" w:eastAsia="宋体"/>
                <w:sz w:val="16"/>
              </w:rPr>
              <w:t>项目计划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72C1A">
            <w:pPr>
              <w:jc w:val="center"/>
            </w:pPr>
            <w:r>
              <w:rPr>
                <w:rFonts w:ascii="宋体" w:hAnsi="宋体" w:eastAsia="宋体"/>
                <w:sz w:val="16"/>
              </w:rPr>
              <w:t>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09C19">
            <w:pPr>
              <w:jc w:val="center"/>
            </w:pPr>
            <w:r>
              <w:rPr>
                <w:rFonts w:ascii="宋体" w:hAnsi="宋体" w:eastAsia="宋体"/>
                <w:sz w:val="16"/>
              </w:rPr>
              <w:t>15个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8CCAF">
            <w:pPr>
              <w:jc w:val="center"/>
            </w:pPr>
            <w:r>
              <w:rPr>
                <w:rFonts w:ascii="宋体" w:hAnsi="宋体" w:eastAsia="宋体"/>
                <w:sz w:val="16"/>
              </w:rPr>
              <w:t>24</w:t>
            </w:r>
          </w:p>
        </w:tc>
      </w:tr>
      <w:tr w14:paraId="6BA7E35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7DD0C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B40A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C4712">
            <w:pPr>
              <w:jc w:val="center"/>
            </w:pPr>
            <w:r>
              <w:rPr>
                <w:rFonts w:ascii="宋体" w:hAnsi="宋体" w:eastAsia="宋体"/>
                <w:sz w:val="16"/>
              </w:rPr>
              <w:t>当年投资完成率（%）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0B9D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0F213">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0527C">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4D054">
            <w:pPr>
              <w:jc w:val="center"/>
            </w:pPr>
            <w:r>
              <w:rPr>
                <w:rFonts w:ascii="宋体" w:hAnsi="宋体" w:eastAsia="宋体"/>
                <w:sz w:val="16"/>
              </w:rPr>
              <w:t>95.18%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380A3">
            <w:pPr>
              <w:jc w:val="center"/>
            </w:pPr>
            <w:r>
              <w:rPr>
                <w:rFonts w:ascii="宋体" w:hAnsi="宋体" w:eastAsia="宋体"/>
                <w:sz w:val="16"/>
              </w:rPr>
              <w:t>11.42</w:t>
            </w:r>
          </w:p>
        </w:tc>
      </w:tr>
      <w:tr w14:paraId="0EDB08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D566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9A21C">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20A1A4">
            <w:pPr>
              <w:jc w:val="center"/>
            </w:pPr>
            <w:r>
              <w:rPr>
                <w:rFonts w:ascii="宋体" w:hAnsi="宋体" w:eastAsia="宋体"/>
                <w:sz w:val="16"/>
              </w:rPr>
              <w:t>交通运输行业咨询、投诉受理率（%）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92AA1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67A5A">
            <w:pPr>
              <w:jc w:val="center"/>
            </w:pPr>
            <w:r>
              <w:rPr>
                <w:rFonts w:ascii="宋体" w:hAnsi="宋体" w:eastAsia="宋体"/>
                <w:sz w:val="16"/>
              </w:rPr>
              <w:t>12328三级联网运行情况</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1E015">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6B215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24118">
            <w:pPr>
              <w:jc w:val="center"/>
            </w:pPr>
            <w:r>
              <w:rPr>
                <w:rFonts w:ascii="宋体" w:hAnsi="宋体" w:eastAsia="宋体"/>
                <w:sz w:val="16"/>
              </w:rPr>
              <w:t>12</w:t>
            </w:r>
          </w:p>
        </w:tc>
      </w:tr>
    </w:tbl>
    <w:p w14:paraId="1666D8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9501829">
        <w:tblPrEx>
          <w:tblCellMar>
            <w:top w:w="0" w:type="dxa"/>
            <w:left w:w="108" w:type="dxa"/>
            <w:bottom w:w="0" w:type="dxa"/>
            <w:right w:w="108" w:type="dxa"/>
          </w:tblCellMar>
        </w:tblPrEx>
        <w:tc>
          <w:tcPr>
            <w:tcW w:w="8848" w:type="dxa"/>
            <w:gridSpan w:val="14"/>
            <w:vAlign w:val="center"/>
          </w:tcPr>
          <w:p w14:paraId="5573157F">
            <w:pPr>
              <w:jc w:val="center"/>
            </w:pPr>
            <w:r>
              <w:rPr>
                <w:rFonts w:ascii="宋体" w:hAnsi="宋体" w:eastAsia="宋体"/>
                <w:sz w:val="24"/>
              </w:rPr>
              <w:t>项目支出绩效自评表</w:t>
            </w:r>
          </w:p>
        </w:tc>
      </w:tr>
      <w:tr w14:paraId="2392C962">
        <w:tblPrEx>
          <w:tblCellMar>
            <w:top w:w="0" w:type="dxa"/>
            <w:left w:w="108" w:type="dxa"/>
            <w:bottom w:w="0" w:type="dxa"/>
            <w:right w:w="108" w:type="dxa"/>
          </w:tblCellMar>
        </w:tblPrEx>
        <w:tc>
          <w:tcPr>
            <w:tcW w:w="8848" w:type="dxa"/>
            <w:gridSpan w:val="14"/>
            <w:vAlign w:val="center"/>
          </w:tcPr>
          <w:p w14:paraId="2DF87AC6">
            <w:pPr>
              <w:jc w:val="center"/>
            </w:pPr>
            <w:r>
              <w:rPr>
                <w:rFonts w:ascii="宋体" w:hAnsi="宋体" w:eastAsia="宋体"/>
                <w:sz w:val="24"/>
              </w:rPr>
              <w:t>(2024年度)</w:t>
            </w:r>
          </w:p>
        </w:tc>
      </w:tr>
      <w:tr w14:paraId="64A8A5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E1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0482C1">
            <w:pPr>
              <w:jc w:val="center"/>
            </w:pPr>
            <w:r>
              <w:rPr>
                <w:rFonts w:ascii="宋体" w:hAnsi="宋体" w:eastAsia="宋体"/>
                <w:sz w:val="16"/>
              </w:rPr>
              <w:t>12328三级网络运行经费</w:t>
            </w:r>
          </w:p>
        </w:tc>
      </w:tr>
      <w:tr w14:paraId="57D0D8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41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DBD91">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52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02DB30">
            <w:pPr>
              <w:jc w:val="center"/>
            </w:pPr>
            <w:r>
              <w:rPr>
                <w:rFonts w:ascii="宋体" w:hAnsi="宋体" w:eastAsia="宋体"/>
                <w:sz w:val="16"/>
              </w:rPr>
              <w:t>克孜勒苏柯尔克孜自治州交通运输局</w:t>
            </w:r>
          </w:p>
        </w:tc>
      </w:tr>
      <w:tr w14:paraId="311DFE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9B8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758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7D2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BEE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30A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F7D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705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7FF0">
            <w:pPr>
              <w:jc w:val="center"/>
            </w:pPr>
            <w:r>
              <w:rPr>
                <w:rFonts w:ascii="宋体" w:hAnsi="宋体" w:eastAsia="宋体"/>
                <w:sz w:val="16"/>
              </w:rPr>
              <w:t>得分</w:t>
            </w:r>
          </w:p>
        </w:tc>
      </w:tr>
      <w:tr w14:paraId="3943E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FA4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B4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EDFA">
            <w:pPr>
              <w:jc w:val="center"/>
            </w:pPr>
            <w:r>
              <w:rPr>
                <w:rFonts w:ascii="宋体" w:hAnsi="宋体" w:eastAsia="宋体"/>
                <w:sz w:val="16"/>
              </w:rPr>
              <w:t>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58630">
            <w:pPr>
              <w:jc w:val="center"/>
            </w:pPr>
            <w:r>
              <w:rPr>
                <w:rFonts w:ascii="宋体" w:hAnsi="宋体" w:eastAsia="宋体"/>
                <w:sz w:val="16"/>
              </w:rPr>
              <w:t>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86AE">
            <w:pPr>
              <w:jc w:val="center"/>
            </w:pPr>
            <w:r>
              <w:rPr>
                <w:rFonts w:ascii="宋体" w:hAnsi="宋体" w:eastAsia="宋体"/>
                <w:sz w:val="16"/>
              </w:rPr>
              <w:t>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A28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19CD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825D">
            <w:pPr>
              <w:jc w:val="center"/>
            </w:pPr>
            <w:r>
              <w:rPr>
                <w:rFonts w:ascii="宋体" w:hAnsi="宋体" w:eastAsia="宋体"/>
                <w:sz w:val="16"/>
              </w:rPr>
              <w:t>10.00分</w:t>
            </w:r>
          </w:p>
        </w:tc>
      </w:tr>
      <w:tr w14:paraId="0CED9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F5F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E5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637E">
            <w:pPr>
              <w:jc w:val="center"/>
            </w:pPr>
            <w:r>
              <w:rPr>
                <w:rFonts w:ascii="宋体" w:hAnsi="宋体" w:eastAsia="宋体"/>
                <w:sz w:val="16"/>
              </w:rPr>
              <w:t>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B82D8">
            <w:pPr>
              <w:jc w:val="center"/>
            </w:pPr>
            <w:r>
              <w:rPr>
                <w:rFonts w:ascii="宋体" w:hAnsi="宋体" w:eastAsia="宋体"/>
                <w:sz w:val="16"/>
              </w:rPr>
              <w:t>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F6554">
            <w:pPr>
              <w:jc w:val="center"/>
            </w:pPr>
            <w:r>
              <w:rPr>
                <w:rFonts w:ascii="宋体" w:hAnsi="宋体" w:eastAsia="宋体"/>
                <w:sz w:val="16"/>
              </w:rPr>
              <w:t>8.50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D3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E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94C8">
            <w:pPr>
              <w:jc w:val="center"/>
            </w:pPr>
            <w:r>
              <w:rPr>
                <w:rFonts w:ascii="宋体" w:hAnsi="宋体" w:eastAsia="宋体"/>
                <w:sz w:val="16"/>
              </w:rPr>
              <w:t>—</w:t>
            </w:r>
          </w:p>
        </w:tc>
      </w:tr>
      <w:tr w14:paraId="3F0CA3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A1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EF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98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2ED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9EC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4A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7D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4F61">
            <w:pPr>
              <w:jc w:val="center"/>
            </w:pPr>
            <w:r>
              <w:rPr>
                <w:rFonts w:ascii="宋体" w:hAnsi="宋体" w:eastAsia="宋体"/>
                <w:sz w:val="16"/>
              </w:rPr>
              <w:t>—</w:t>
            </w:r>
          </w:p>
        </w:tc>
      </w:tr>
      <w:tr w14:paraId="30B94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B46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680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4418BD">
            <w:pPr>
              <w:jc w:val="center"/>
              <w:rPr>
                <w:rFonts w:hint="eastAsia" w:eastAsia="宋体"/>
                <w:lang w:eastAsia="zh-CN"/>
              </w:rPr>
            </w:pPr>
            <w:r>
              <w:rPr>
                <w:rFonts w:hint="eastAsia" w:ascii="宋体" w:hAnsi="宋体"/>
                <w:sz w:val="16"/>
                <w:lang w:eastAsia="zh-CN"/>
              </w:rPr>
              <w:t>实际完成情况</w:t>
            </w:r>
          </w:p>
        </w:tc>
      </w:tr>
      <w:tr w14:paraId="73FB5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E1A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F094A">
            <w:pPr>
              <w:jc w:val="both"/>
            </w:pPr>
            <w:r>
              <w:rPr>
                <w:rFonts w:ascii="宋体" w:hAnsi="宋体" w:eastAsia="宋体"/>
                <w:sz w:val="16"/>
              </w:rPr>
              <w:t>该项目总投资8.5万元，其中：财政资金8.5万元，其他资金0万元，主要用于12328交通运输服务监督电话系统。通过该项目实施可以保持12328交通运输服务监督电话系统正常运行，提升电话系统服务质量，提高交通运输便民利民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F84D5">
            <w:pPr>
              <w:jc w:val="both"/>
            </w:pPr>
            <w:r>
              <w:rPr>
                <w:rFonts w:ascii="宋体" w:hAnsi="宋体" w:eastAsia="宋体"/>
                <w:sz w:val="16"/>
              </w:rPr>
              <w:t>截至2024年12月31日，该项目支出8.5万元，主要用于12328交通运输服务监督电话系统。通过该项目实施可以保持12328交通运输服务监督电话系统正常运行，提升电话系统服务质量，提高交通运输便民利民服务水平。 2024年共接3226条，其中信息咨询类1765条、投诉举报类346条、意见建议类1115条，及时办结率达100%，群众满意率97%。</w:t>
            </w:r>
          </w:p>
        </w:tc>
      </w:tr>
      <w:tr w14:paraId="731BA5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50A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7E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E1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D6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E5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BA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82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F9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33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8A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8D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CA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C2C6">
            <w:pPr>
              <w:jc w:val="center"/>
            </w:pPr>
            <w:r>
              <w:rPr>
                <w:rFonts w:ascii="宋体" w:hAnsi="宋体" w:eastAsia="宋体"/>
                <w:sz w:val="16"/>
              </w:rPr>
              <w:t>偏差原因分析及改进措施</w:t>
            </w:r>
          </w:p>
        </w:tc>
      </w:tr>
      <w:tr w14:paraId="55C7F7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F64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B7E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8A9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BEE6">
            <w:pPr>
              <w:jc w:val="center"/>
            </w:pPr>
            <w:r>
              <w:rPr>
                <w:rFonts w:ascii="宋体" w:hAnsi="宋体" w:eastAsia="宋体"/>
                <w:sz w:val="16"/>
              </w:rPr>
              <w:t>专线正常通话条数（条）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6152">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A5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D0FA">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40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B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2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27FD">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355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F77C">
            <w:pPr>
              <w:jc w:val="center"/>
            </w:pPr>
          </w:p>
        </w:tc>
      </w:tr>
      <w:tr w14:paraId="7B5CE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88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33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E5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C745">
            <w:pPr>
              <w:jc w:val="center"/>
            </w:pPr>
            <w:r>
              <w:rPr>
                <w:rFonts w:ascii="宋体" w:hAnsi="宋体" w:eastAsia="宋体"/>
                <w:sz w:val="16"/>
              </w:rPr>
              <w:t>系统专线维护次数（次）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CB4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3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4C6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8A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9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1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3F1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36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CE07">
            <w:pPr>
              <w:jc w:val="center"/>
            </w:pPr>
          </w:p>
        </w:tc>
      </w:tr>
      <w:tr w14:paraId="2A1EE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CE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7C6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7FE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87F4">
            <w:pPr>
              <w:jc w:val="center"/>
            </w:pPr>
            <w:r>
              <w:rPr>
                <w:rFonts w:ascii="宋体" w:hAnsi="宋体" w:eastAsia="宋体"/>
                <w:sz w:val="16"/>
              </w:rPr>
              <w:t>12328服务热线接通率（%）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CD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7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9F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62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5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DF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C3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9C7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FFD6A">
            <w:pPr>
              <w:jc w:val="center"/>
            </w:pPr>
          </w:p>
        </w:tc>
      </w:tr>
      <w:tr w14:paraId="7A3D3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87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F7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61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AACE">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8A12">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5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2F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2F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C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3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C6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85A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C021">
            <w:pPr>
              <w:jc w:val="center"/>
            </w:pPr>
          </w:p>
        </w:tc>
      </w:tr>
      <w:tr w14:paraId="5C05C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D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E66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0C6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D37D">
            <w:pPr>
              <w:jc w:val="center"/>
            </w:pPr>
            <w:r>
              <w:rPr>
                <w:rFonts w:ascii="宋体" w:hAnsi="宋体" w:eastAsia="宋体"/>
                <w:sz w:val="16"/>
              </w:rPr>
              <w:t>系统专项故障修复处理时间（天）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18BF">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2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49E3">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2D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2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5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668B">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56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7DFD">
            <w:pPr>
              <w:jc w:val="center"/>
            </w:pPr>
          </w:p>
        </w:tc>
      </w:tr>
      <w:tr w14:paraId="4B25E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7F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D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C5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E09E">
            <w:pPr>
              <w:jc w:val="center"/>
            </w:pPr>
            <w:r>
              <w:rPr>
                <w:rFonts w:ascii="宋体" w:hAnsi="宋体" w:eastAsia="宋体"/>
                <w:sz w:val="16"/>
              </w:rPr>
              <w:t>系统运行维护响应时间（小时）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A7F0">
            <w:pPr>
              <w:jc w:val="center"/>
            </w:pPr>
            <w:r>
              <w:rPr>
                <w:rFonts w:ascii="宋体" w:hAnsi="宋体" w:eastAsia="宋体"/>
                <w:sz w:val="16"/>
              </w:rPr>
              <w:t>&lt;=0.50小时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B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F3ED">
            <w:pPr>
              <w:jc w:val="center"/>
            </w:pPr>
            <w:r>
              <w:rPr>
                <w:rFonts w:ascii="宋体" w:hAnsi="宋体" w:eastAsia="宋体"/>
                <w:sz w:val="16"/>
              </w:rPr>
              <w:t>0.50小时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E9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E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1D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24F0">
            <w:pPr>
              <w:jc w:val="center"/>
            </w:pPr>
            <w:r>
              <w:rPr>
                <w:rFonts w:ascii="宋体" w:hAnsi="宋体" w:eastAsia="宋体"/>
                <w:sz w:val="16"/>
              </w:rPr>
              <w:t>=0.5小时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F7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9828">
            <w:pPr>
              <w:jc w:val="center"/>
            </w:pPr>
          </w:p>
        </w:tc>
      </w:tr>
      <w:tr w14:paraId="04865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4F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12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3B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F360">
            <w:pPr>
              <w:jc w:val="center"/>
            </w:pPr>
            <w:r>
              <w:rPr>
                <w:rFonts w:ascii="宋体" w:hAnsi="宋体" w:eastAsia="宋体"/>
                <w:sz w:val="16"/>
              </w:rPr>
              <w:t>业务处理及时率（%）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0D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4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73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BE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C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F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D6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72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DD2E">
            <w:pPr>
              <w:jc w:val="center"/>
            </w:pPr>
          </w:p>
        </w:tc>
      </w:tr>
      <w:tr w14:paraId="18C62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C61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136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795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D775">
            <w:pPr>
              <w:jc w:val="center"/>
            </w:pPr>
            <w:r>
              <w:rPr>
                <w:rFonts w:ascii="宋体" w:hAnsi="宋体" w:eastAsia="宋体"/>
                <w:sz w:val="16"/>
              </w:rPr>
              <w:t>系统服务专线经费（万元）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F96E">
            <w:pPr>
              <w:jc w:val="center"/>
            </w:pPr>
            <w:r>
              <w:rPr>
                <w:rFonts w:ascii="宋体" w:hAnsi="宋体" w:eastAsia="宋体"/>
                <w:sz w:val="16"/>
              </w:rPr>
              <w:t>&lt;=5.96万元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B9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211E">
            <w:pPr>
              <w:jc w:val="center"/>
            </w:pPr>
            <w:r>
              <w:rPr>
                <w:rFonts w:ascii="宋体" w:hAnsi="宋体" w:eastAsia="宋体"/>
                <w:sz w:val="16"/>
              </w:rPr>
              <w: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B8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DA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B0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5B73">
            <w:pPr>
              <w:jc w:val="center"/>
            </w:pPr>
            <w:r>
              <w:rPr>
                <w:rFonts w:ascii="宋体" w:hAnsi="宋体" w:eastAsia="宋体"/>
                <w:sz w:val="16"/>
              </w:rPr>
              <w: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9B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9776F">
            <w:pPr>
              <w:jc w:val="center"/>
            </w:pPr>
          </w:p>
        </w:tc>
      </w:tr>
      <w:tr w14:paraId="42E5B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BF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72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FF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28FB">
            <w:pPr>
              <w:jc w:val="center"/>
            </w:pPr>
            <w:r>
              <w:rPr>
                <w:rFonts w:ascii="宋体" w:hAnsi="宋体" w:eastAsia="宋体"/>
                <w:sz w:val="16"/>
              </w:rPr>
              <w:t>系统专线维护使用经费（万元）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A743">
            <w:pPr>
              <w:jc w:val="center"/>
            </w:pPr>
            <w:r>
              <w:rPr>
                <w:rFonts w:ascii="宋体" w:hAnsi="宋体" w:eastAsia="宋体"/>
                <w:sz w:val="16"/>
              </w:rPr>
              <w:t>&lt;=2.54万元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E1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1390">
            <w:pPr>
              <w:jc w:val="center"/>
            </w:pPr>
            <w:r>
              <w:rPr>
                <w:rFonts w:ascii="宋体" w:hAnsi="宋体" w:eastAsia="宋体"/>
                <w:sz w:val="16"/>
              </w:rPr>
              <w:t>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CE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1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3F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60AD">
            <w:pPr>
              <w:jc w:val="center"/>
            </w:pPr>
            <w:r>
              <w:rPr>
                <w:rFonts w:ascii="宋体" w:hAnsi="宋体" w:eastAsia="宋体"/>
                <w:sz w:val="16"/>
              </w:rPr>
              <w:t>=2.54万元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C4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196E5">
            <w:pPr>
              <w:jc w:val="center"/>
            </w:pPr>
          </w:p>
        </w:tc>
      </w:tr>
      <w:tr w14:paraId="24F5D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CB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491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AFF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5F99">
            <w:pPr>
              <w:jc w:val="center"/>
            </w:pPr>
            <w:r>
              <w:rPr>
                <w:rFonts w:ascii="宋体" w:hAnsi="宋体" w:eastAsia="宋体"/>
                <w:sz w:val="16"/>
              </w:rPr>
              <w:t>提升电话系统服务质量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48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6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D17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A5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8E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FD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D4F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4F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B772">
            <w:pPr>
              <w:jc w:val="center"/>
            </w:pPr>
          </w:p>
        </w:tc>
      </w:tr>
      <w:tr w14:paraId="4D032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BA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0E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72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429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1E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4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06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15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29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D3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B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F20CF">
            <w:pPr>
              <w:jc w:val="center"/>
            </w:pPr>
          </w:p>
        </w:tc>
      </w:tr>
      <w:tr w14:paraId="468091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C5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1A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BB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C03D50">
            <w:pPr>
              <w:jc w:val="center"/>
            </w:pPr>
            <w:r>
              <w:rPr>
                <w:rFonts w:ascii="宋体" w:hAnsi="宋体" w:eastAsia="宋体"/>
                <w:sz w:val="16"/>
              </w:rPr>
              <w:t>100分</w:t>
            </w:r>
          </w:p>
        </w:tc>
      </w:tr>
    </w:tbl>
    <w:p w14:paraId="6BD0C1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D429AC">
        <w:tblPrEx>
          <w:tblCellMar>
            <w:top w:w="0" w:type="dxa"/>
            <w:left w:w="108" w:type="dxa"/>
            <w:bottom w:w="0" w:type="dxa"/>
            <w:right w:w="108" w:type="dxa"/>
          </w:tblCellMar>
        </w:tblPrEx>
        <w:tc>
          <w:tcPr>
            <w:tcW w:w="8848" w:type="dxa"/>
            <w:gridSpan w:val="14"/>
            <w:vAlign w:val="center"/>
          </w:tcPr>
          <w:p w14:paraId="1B4B8C0B">
            <w:pPr>
              <w:jc w:val="center"/>
            </w:pPr>
            <w:r>
              <w:rPr>
                <w:rFonts w:ascii="宋体" w:hAnsi="宋体" w:eastAsia="宋体"/>
                <w:sz w:val="24"/>
              </w:rPr>
              <w:t>项目支出绩效自评表</w:t>
            </w:r>
          </w:p>
        </w:tc>
      </w:tr>
      <w:tr w14:paraId="473FA822">
        <w:tblPrEx>
          <w:tblCellMar>
            <w:top w:w="0" w:type="dxa"/>
            <w:left w:w="108" w:type="dxa"/>
            <w:bottom w:w="0" w:type="dxa"/>
            <w:right w:w="108" w:type="dxa"/>
          </w:tblCellMar>
        </w:tblPrEx>
        <w:tc>
          <w:tcPr>
            <w:tcW w:w="8848" w:type="dxa"/>
            <w:gridSpan w:val="14"/>
            <w:vAlign w:val="center"/>
          </w:tcPr>
          <w:p w14:paraId="23976E0D">
            <w:pPr>
              <w:jc w:val="center"/>
            </w:pPr>
            <w:r>
              <w:rPr>
                <w:rFonts w:ascii="宋体" w:hAnsi="宋体" w:eastAsia="宋体"/>
                <w:sz w:val="24"/>
              </w:rPr>
              <w:t>(2024年度)</w:t>
            </w:r>
          </w:p>
        </w:tc>
      </w:tr>
      <w:tr w14:paraId="020609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15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037294">
            <w:pPr>
              <w:jc w:val="center"/>
            </w:pPr>
            <w:r>
              <w:rPr>
                <w:rFonts w:ascii="宋体" w:hAnsi="宋体" w:eastAsia="宋体"/>
                <w:sz w:val="16"/>
              </w:rPr>
              <w:t>2024年第一书记及为民办事工作经费</w:t>
            </w:r>
          </w:p>
        </w:tc>
      </w:tr>
      <w:tr w14:paraId="02F64A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BE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8CE8A">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62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EAB1E6">
            <w:pPr>
              <w:jc w:val="center"/>
            </w:pPr>
            <w:r>
              <w:rPr>
                <w:rFonts w:ascii="宋体" w:hAnsi="宋体" w:eastAsia="宋体"/>
                <w:sz w:val="16"/>
              </w:rPr>
              <w:t>克孜勒苏柯尔克孜自治州交通运输局</w:t>
            </w:r>
          </w:p>
        </w:tc>
      </w:tr>
      <w:tr w14:paraId="1FC1C4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978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3B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F41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83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D57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312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AB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1E7F">
            <w:pPr>
              <w:jc w:val="center"/>
            </w:pPr>
            <w:r>
              <w:rPr>
                <w:rFonts w:ascii="宋体" w:hAnsi="宋体" w:eastAsia="宋体"/>
                <w:sz w:val="16"/>
              </w:rPr>
              <w:t>得分</w:t>
            </w:r>
          </w:p>
        </w:tc>
      </w:tr>
      <w:tr w14:paraId="0792C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44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11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9E35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9C98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6496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4C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BBC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E449">
            <w:pPr>
              <w:jc w:val="center"/>
            </w:pPr>
            <w:r>
              <w:rPr>
                <w:rFonts w:ascii="宋体" w:hAnsi="宋体" w:eastAsia="宋体"/>
                <w:sz w:val="16"/>
              </w:rPr>
              <w:t>10.00分</w:t>
            </w:r>
          </w:p>
        </w:tc>
      </w:tr>
      <w:tr w14:paraId="76A5E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EA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1A0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404B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C68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E28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D5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7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26B0">
            <w:pPr>
              <w:jc w:val="center"/>
            </w:pPr>
            <w:r>
              <w:rPr>
                <w:rFonts w:ascii="宋体" w:hAnsi="宋体" w:eastAsia="宋体"/>
                <w:sz w:val="16"/>
              </w:rPr>
              <w:t>—</w:t>
            </w:r>
          </w:p>
        </w:tc>
      </w:tr>
      <w:tr w14:paraId="02639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3E8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51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18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EFD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4A6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99F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3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1272">
            <w:pPr>
              <w:jc w:val="center"/>
            </w:pPr>
            <w:r>
              <w:rPr>
                <w:rFonts w:ascii="宋体" w:hAnsi="宋体" w:eastAsia="宋体"/>
                <w:sz w:val="16"/>
              </w:rPr>
              <w:t>—</w:t>
            </w:r>
          </w:p>
        </w:tc>
      </w:tr>
      <w:tr w14:paraId="08ABA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22F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B29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6D5C52">
            <w:pPr>
              <w:jc w:val="center"/>
              <w:rPr>
                <w:rFonts w:hint="eastAsia" w:eastAsia="宋体"/>
                <w:lang w:eastAsia="zh-CN"/>
              </w:rPr>
            </w:pPr>
            <w:r>
              <w:rPr>
                <w:rFonts w:hint="eastAsia" w:ascii="宋体" w:hAnsi="宋体"/>
                <w:sz w:val="16"/>
                <w:lang w:eastAsia="zh-CN"/>
              </w:rPr>
              <w:t>实际完成情况</w:t>
            </w:r>
          </w:p>
        </w:tc>
      </w:tr>
      <w:tr w14:paraId="53D5C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311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DF2E9D">
            <w:pPr>
              <w:jc w:val="both"/>
            </w:pPr>
            <w:r>
              <w:rPr>
                <w:rFonts w:ascii="宋体" w:hAnsi="宋体" w:eastAsia="宋体"/>
                <w:sz w:val="16"/>
              </w:rPr>
              <w:t>该项目总投资17万元，其中：财政资金17万元，其他资金0万元，用于保障阿胡乡阿其克村基层组织正常运转，做好为民办实事工作，开展宣传教育活动，积极进行普法、国语、志愿服务等工作。通过该项目的实施提升村基层组织工作质量，营造良好文化氛围，建设美丽乡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100AB4">
            <w:pPr>
              <w:jc w:val="both"/>
            </w:pPr>
            <w:r>
              <w:rPr>
                <w:rFonts w:ascii="宋体" w:hAnsi="宋体" w:eastAsia="宋体"/>
                <w:sz w:val="16"/>
              </w:rPr>
              <w:t>截至2024年12月31日，该项目支出17万元，主要用于保障阿胡乡阿其克村基层组织正常运转，为民办实事好事4件，慰问帮扶困难群众100余人次，资助返乡学生交通费40余人次，开展文体宣传活动7次，通过该项目的实施有效提升阿其克村人居环境卫生，保障安全住房，丰富群众文化生活和国语水平，助力乡村振兴。</w:t>
            </w:r>
          </w:p>
        </w:tc>
      </w:tr>
      <w:tr w14:paraId="11AA4B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9E7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A29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96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DFA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DA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E6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59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A4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5D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A2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C34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90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A387">
            <w:pPr>
              <w:jc w:val="center"/>
            </w:pPr>
            <w:r>
              <w:rPr>
                <w:rFonts w:ascii="宋体" w:hAnsi="宋体" w:eastAsia="宋体"/>
                <w:sz w:val="16"/>
              </w:rPr>
              <w:t>偏差原因分析及改进措施</w:t>
            </w:r>
          </w:p>
        </w:tc>
      </w:tr>
      <w:tr w14:paraId="71DA20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CC6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8A0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4D6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4E18">
            <w:pPr>
              <w:jc w:val="center"/>
            </w:pPr>
            <w:r>
              <w:rPr>
                <w:rFonts w:ascii="宋体" w:hAnsi="宋体" w:eastAsia="宋体"/>
                <w:sz w:val="16"/>
              </w:rPr>
              <w:t>办实事好事数量（件）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A709C">
            <w:pPr>
              <w:jc w:val="center"/>
            </w:pPr>
            <w:r>
              <w:rPr>
                <w:rFonts w:ascii="宋体" w:hAnsi="宋体" w:eastAsia="宋体"/>
                <w:sz w:val="16"/>
              </w:rPr>
              <w:t>&gt;=4件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A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AFF1">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98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C2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D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088C">
            <w:pPr>
              <w:jc w:val="center"/>
            </w:pPr>
            <w:r>
              <w:rPr>
                <w:rFonts w:ascii="宋体" w:hAnsi="宋体" w:eastAsia="宋体"/>
                <w:sz w:val="16"/>
              </w:rPr>
              <w:t>=4件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962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FD0FB">
            <w:pPr>
              <w:jc w:val="center"/>
            </w:pPr>
          </w:p>
        </w:tc>
      </w:tr>
      <w:tr w14:paraId="274B5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52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0C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D9C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EF95">
            <w:pPr>
              <w:jc w:val="center"/>
            </w:pPr>
            <w:r>
              <w:rPr>
                <w:rFonts w:ascii="宋体" w:hAnsi="宋体" w:eastAsia="宋体"/>
                <w:sz w:val="16"/>
              </w:rPr>
              <w:t>奖励或资助学生人次（人次）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42FB">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D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F6AE">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AE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E9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E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B2D1">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EB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2843">
            <w:pPr>
              <w:jc w:val="center"/>
            </w:pPr>
          </w:p>
        </w:tc>
      </w:tr>
      <w:tr w14:paraId="05398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2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9E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6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32E0">
            <w:pPr>
              <w:jc w:val="center"/>
            </w:pPr>
            <w:r>
              <w:rPr>
                <w:rFonts w:ascii="宋体" w:hAnsi="宋体" w:eastAsia="宋体"/>
                <w:sz w:val="16"/>
              </w:rPr>
              <w:t>帮扶生活困难人次（人次）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8009">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1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B170">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9F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F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1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D549">
            <w:pPr>
              <w:jc w:val="center"/>
            </w:pPr>
            <w:r>
              <w:rPr>
                <w:rFonts w:ascii="宋体" w:hAnsi="宋体" w:eastAsia="宋体"/>
                <w:sz w:val="16"/>
              </w:rPr>
              <w: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130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5865">
            <w:pPr>
              <w:jc w:val="center"/>
            </w:pPr>
          </w:p>
        </w:tc>
      </w:tr>
      <w:tr w14:paraId="24171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50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E5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5F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6F2E">
            <w:pPr>
              <w:jc w:val="center"/>
            </w:pPr>
            <w:r>
              <w:rPr>
                <w:rFonts w:ascii="宋体" w:hAnsi="宋体" w:eastAsia="宋体"/>
                <w:sz w:val="16"/>
              </w:rPr>
              <w:t>开展各类文体活动次数（次）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A203">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1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456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C8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D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6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EBF2">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594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739C4">
            <w:pPr>
              <w:jc w:val="center"/>
            </w:pPr>
          </w:p>
        </w:tc>
      </w:tr>
      <w:tr w14:paraId="04C7F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BD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4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97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08DB">
            <w:pPr>
              <w:jc w:val="center"/>
            </w:pPr>
            <w:r>
              <w:rPr>
                <w:rFonts w:ascii="宋体" w:hAnsi="宋体" w:eastAsia="宋体"/>
                <w:sz w:val="16"/>
              </w:rPr>
              <w:t>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EB8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B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619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11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4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3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7388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18A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8212">
            <w:pPr>
              <w:jc w:val="center"/>
            </w:pPr>
          </w:p>
        </w:tc>
      </w:tr>
      <w:tr w14:paraId="1569F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FC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03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D3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39EE">
            <w:pPr>
              <w:jc w:val="center"/>
            </w:pPr>
            <w:r>
              <w:rPr>
                <w:rFonts w:ascii="宋体" w:hAnsi="宋体" w:eastAsia="宋体"/>
                <w:sz w:val="16"/>
              </w:rPr>
              <w:t>奖励或补助资金发放及时性（%）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1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E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B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9F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2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1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D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4E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44DA">
            <w:pPr>
              <w:jc w:val="center"/>
            </w:pPr>
          </w:p>
        </w:tc>
      </w:tr>
      <w:tr w14:paraId="4A3C1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63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DDF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3EC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BEA3">
            <w:pPr>
              <w:jc w:val="center"/>
            </w:pPr>
            <w:r>
              <w:rPr>
                <w:rFonts w:ascii="宋体" w:hAnsi="宋体" w:eastAsia="宋体"/>
                <w:sz w:val="16"/>
              </w:rPr>
              <w:t>访贫问苦慰问等经费（万元）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C319">
            <w:pPr>
              <w:jc w:val="center"/>
            </w:pPr>
            <w:r>
              <w:rPr>
                <w:rFonts w:ascii="宋体" w:hAnsi="宋体" w:eastAsia="宋体"/>
                <w:sz w:val="16"/>
              </w:rPr>
              <w:t>&lt;=4.25万元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7F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0BE1">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CE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2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0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9890">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A4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1377D">
            <w:pPr>
              <w:jc w:val="center"/>
            </w:pPr>
          </w:p>
        </w:tc>
      </w:tr>
      <w:tr w14:paraId="4272B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B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07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BD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A032">
            <w:pPr>
              <w:jc w:val="center"/>
            </w:pPr>
            <w:r>
              <w:rPr>
                <w:rFonts w:hint="eastAsia" w:ascii="宋体" w:hAnsi="宋体"/>
                <w:sz w:val="16"/>
                <w:lang w:eastAsia="zh-CN"/>
              </w:rPr>
              <w:t>办实事</w:t>
            </w:r>
            <w:r>
              <w:rPr>
                <w:rFonts w:ascii="宋体" w:hAnsi="宋体" w:eastAsia="宋体"/>
                <w:sz w:val="16"/>
              </w:rPr>
              <w:t>好事等经费（万元）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8A2E">
            <w:pPr>
              <w:jc w:val="center"/>
            </w:pPr>
            <w:r>
              <w:rPr>
                <w:rFonts w:ascii="宋体" w:hAnsi="宋体" w:eastAsia="宋体"/>
                <w:sz w:val="16"/>
              </w:rPr>
              <w:t>&lt;=8.47万元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25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7744">
            <w:pPr>
              <w:jc w:val="center"/>
            </w:pPr>
            <w:r>
              <w:rPr>
                <w:rFonts w:ascii="宋体" w:hAnsi="宋体" w:eastAsia="宋体"/>
                <w:sz w:val="16"/>
              </w:rPr>
              <w:t>7.58万元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52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B6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3863">
            <w:pPr>
              <w:jc w:val="center"/>
            </w:pPr>
            <w:r>
              <w:rPr>
                <w:rFonts w:ascii="宋体" w:hAnsi="宋体" w:eastAsia="宋体"/>
                <w:sz w:val="16"/>
              </w:rPr>
              <w:t>=8.47万元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0A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E034C">
            <w:pPr>
              <w:jc w:val="center"/>
            </w:pPr>
            <w:r>
              <w:rPr>
                <w:rFonts w:ascii="宋体" w:hAnsi="宋体" w:eastAsia="宋体"/>
                <w:sz w:val="16"/>
              </w:rPr>
              <w:t>偏差原因：该项目按照实际使用情况支出。改进措施：加强预算编制，严格执行预算。</w:t>
            </w:r>
          </w:p>
        </w:tc>
      </w:tr>
      <w:tr w14:paraId="2CAD3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C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6D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6C9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F059">
            <w:pPr>
              <w:jc w:val="center"/>
            </w:pPr>
            <w:r>
              <w:rPr>
                <w:rFonts w:ascii="宋体" w:hAnsi="宋体" w:eastAsia="宋体"/>
                <w:sz w:val="16"/>
              </w:rPr>
              <w:t>开展各类文体活动等经费（万元）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D4D1">
            <w:pPr>
              <w:jc w:val="center"/>
            </w:pPr>
            <w:r>
              <w:rPr>
                <w:rFonts w:ascii="宋体" w:hAnsi="宋体" w:eastAsia="宋体"/>
                <w:sz w:val="16"/>
              </w:rPr>
              <w:t>&lt;=4.28万元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A2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1642">
            <w:pPr>
              <w:jc w:val="center"/>
            </w:pPr>
            <w:r>
              <w:rPr>
                <w:rFonts w:ascii="宋体" w:hAnsi="宋体" w:eastAsia="宋体"/>
                <w:sz w:val="16"/>
              </w:rPr>
              <w:t>5.67万元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8A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9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34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A0A4">
            <w:pPr>
              <w:jc w:val="center"/>
            </w:pPr>
            <w:r>
              <w:rPr>
                <w:rFonts w:ascii="宋体" w:hAnsi="宋体" w:eastAsia="宋体"/>
                <w:sz w:val="16"/>
              </w:rPr>
              <w:t>=4.28万元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B1A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2A90B">
            <w:pPr>
              <w:jc w:val="center"/>
            </w:pPr>
            <w:r>
              <w:rPr>
                <w:rFonts w:ascii="宋体" w:hAnsi="宋体" w:eastAsia="宋体"/>
                <w:sz w:val="16"/>
              </w:rPr>
              <w:t>偏差原因：该项目未到合同约定付款时间。改进措施：加强预算编制，严格执行预算。该项目按照实际使用情况支出</w:t>
            </w:r>
          </w:p>
        </w:tc>
      </w:tr>
      <w:tr w14:paraId="0E8B4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D6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74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EB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BAB4">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7A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9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F14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A4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79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02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7D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68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17E1A">
            <w:pPr>
              <w:jc w:val="center"/>
            </w:pPr>
          </w:p>
        </w:tc>
      </w:tr>
      <w:tr w14:paraId="283907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C3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C1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F6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F2B5">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C6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2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F4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65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F3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1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16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5D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8A584">
            <w:pPr>
              <w:jc w:val="center"/>
            </w:pPr>
          </w:p>
        </w:tc>
      </w:tr>
      <w:tr w14:paraId="02E84E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216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21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771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763C0C">
            <w:pPr>
              <w:jc w:val="center"/>
            </w:pPr>
            <w:r>
              <w:rPr>
                <w:rFonts w:ascii="宋体" w:hAnsi="宋体" w:eastAsia="宋体"/>
                <w:sz w:val="16"/>
              </w:rPr>
              <w:t>100分</w:t>
            </w:r>
          </w:p>
        </w:tc>
      </w:tr>
    </w:tbl>
    <w:p w14:paraId="6AB70C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FDDC53D">
        <w:tblPrEx>
          <w:tblCellMar>
            <w:top w:w="0" w:type="dxa"/>
            <w:left w:w="108" w:type="dxa"/>
            <w:bottom w:w="0" w:type="dxa"/>
            <w:right w:w="108" w:type="dxa"/>
          </w:tblCellMar>
        </w:tblPrEx>
        <w:tc>
          <w:tcPr>
            <w:tcW w:w="8848" w:type="dxa"/>
            <w:gridSpan w:val="14"/>
            <w:vAlign w:val="center"/>
          </w:tcPr>
          <w:p w14:paraId="31C6C2D3">
            <w:pPr>
              <w:jc w:val="center"/>
            </w:pPr>
            <w:r>
              <w:rPr>
                <w:rFonts w:ascii="宋体" w:hAnsi="宋体" w:eastAsia="宋体"/>
                <w:sz w:val="24"/>
              </w:rPr>
              <w:t>项目支出绩效自评表</w:t>
            </w:r>
          </w:p>
        </w:tc>
      </w:tr>
      <w:tr w14:paraId="7DD78EB1">
        <w:tblPrEx>
          <w:tblCellMar>
            <w:top w:w="0" w:type="dxa"/>
            <w:left w:w="108" w:type="dxa"/>
            <w:bottom w:w="0" w:type="dxa"/>
            <w:right w:w="108" w:type="dxa"/>
          </w:tblCellMar>
        </w:tblPrEx>
        <w:tc>
          <w:tcPr>
            <w:tcW w:w="8848" w:type="dxa"/>
            <w:gridSpan w:val="14"/>
            <w:vAlign w:val="center"/>
          </w:tcPr>
          <w:p w14:paraId="5F75182B">
            <w:pPr>
              <w:jc w:val="center"/>
            </w:pPr>
            <w:r>
              <w:rPr>
                <w:rFonts w:ascii="宋体" w:hAnsi="宋体" w:eastAsia="宋体"/>
                <w:sz w:val="24"/>
              </w:rPr>
              <w:t>(2024年度)</w:t>
            </w:r>
          </w:p>
        </w:tc>
      </w:tr>
      <w:tr w14:paraId="2667FE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66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3020F7">
            <w:pPr>
              <w:jc w:val="center"/>
            </w:pPr>
            <w:r>
              <w:rPr>
                <w:rFonts w:ascii="宋体" w:hAnsi="宋体" w:eastAsia="宋体"/>
                <w:sz w:val="16"/>
              </w:rPr>
              <w:t>2024年阿合奇县地震运送救灾物资运输费</w:t>
            </w:r>
          </w:p>
        </w:tc>
      </w:tr>
      <w:tr w14:paraId="4C746B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D5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A6BA1">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B2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BD9402">
            <w:pPr>
              <w:jc w:val="center"/>
            </w:pPr>
            <w:r>
              <w:rPr>
                <w:rFonts w:ascii="宋体" w:hAnsi="宋体" w:eastAsia="宋体"/>
                <w:sz w:val="16"/>
              </w:rPr>
              <w:t>克孜勒苏柯尔克孜自治州交通运输局</w:t>
            </w:r>
          </w:p>
        </w:tc>
      </w:tr>
      <w:tr w14:paraId="242D00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650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263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CB5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7F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2E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35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9A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1437">
            <w:pPr>
              <w:jc w:val="center"/>
            </w:pPr>
            <w:r>
              <w:rPr>
                <w:rFonts w:ascii="宋体" w:hAnsi="宋体" w:eastAsia="宋体"/>
                <w:sz w:val="16"/>
              </w:rPr>
              <w:t>得分</w:t>
            </w:r>
          </w:p>
        </w:tc>
      </w:tr>
      <w:tr w14:paraId="38B93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DE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713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6CBE">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954E5">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D788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EAD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26D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F35B">
            <w:pPr>
              <w:jc w:val="center"/>
            </w:pPr>
            <w:r>
              <w:rPr>
                <w:rFonts w:ascii="宋体" w:hAnsi="宋体" w:eastAsia="宋体"/>
                <w:sz w:val="16"/>
              </w:rPr>
              <w:t>10.00分</w:t>
            </w:r>
          </w:p>
        </w:tc>
      </w:tr>
      <w:tr w14:paraId="0E363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6EC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90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8CDF5">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8437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EE320">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BE5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5E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13E5">
            <w:pPr>
              <w:jc w:val="center"/>
            </w:pPr>
            <w:r>
              <w:rPr>
                <w:rFonts w:ascii="宋体" w:hAnsi="宋体" w:eastAsia="宋体"/>
                <w:sz w:val="16"/>
              </w:rPr>
              <w:t>—</w:t>
            </w:r>
          </w:p>
        </w:tc>
      </w:tr>
      <w:tr w14:paraId="242A9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0F8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85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06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45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1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0D5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9B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F635">
            <w:pPr>
              <w:jc w:val="center"/>
            </w:pPr>
            <w:r>
              <w:rPr>
                <w:rFonts w:ascii="宋体" w:hAnsi="宋体" w:eastAsia="宋体"/>
                <w:sz w:val="16"/>
              </w:rPr>
              <w:t>—</w:t>
            </w:r>
          </w:p>
        </w:tc>
      </w:tr>
      <w:tr w14:paraId="16EB21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1FD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195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92C2F">
            <w:pPr>
              <w:jc w:val="center"/>
              <w:rPr>
                <w:rFonts w:hint="eastAsia" w:eastAsia="宋体"/>
                <w:lang w:eastAsia="zh-CN"/>
              </w:rPr>
            </w:pPr>
            <w:r>
              <w:rPr>
                <w:rFonts w:hint="eastAsia" w:ascii="宋体" w:hAnsi="宋体"/>
                <w:sz w:val="16"/>
                <w:lang w:eastAsia="zh-CN"/>
              </w:rPr>
              <w:t>实际完成情况</w:t>
            </w:r>
          </w:p>
        </w:tc>
      </w:tr>
      <w:tr w14:paraId="4C91A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D54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68941">
            <w:pPr>
              <w:jc w:val="both"/>
            </w:pPr>
            <w:r>
              <w:rPr>
                <w:rFonts w:ascii="宋体" w:hAnsi="宋体" w:eastAsia="宋体"/>
                <w:sz w:val="16"/>
              </w:rPr>
              <w:t>该项目总投资4.7万元，其中：财政资金4.7万元。主要用于协调社会车辆向阿合奇县地震灾区运送救援物资，通过该项目有力地解决当地救援物资紧缺的现状，帮助受灾群众及时得到救援，通过该项目实施达到救助群众、缓解政府救灾压力、赢得群众认可的良好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97E638">
            <w:pPr>
              <w:jc w:val="both"/>
            </w:pPr>
            <w:r>
              <w:rPr>
                <w:rFonts w:ascii="宋体" w:hAnsi="宋体" w:eastAsia="宋体"/>
                <w:sz w:val="16"/>
              </w:rPr>
              <w:t>截至2024年12月31日，该项目支出4.7万元</w:t>
            </w:r>
            <w:r>
              <w:rPr>
                <w:rFonts w:hint="eastAsia" w:ascii="宋体" w:hAnsi="宋体"/>
                <w:sz w:val="16"/>
                <w:lang w:eastAsia="zh-CN"/>
              </w:rPr>
              <w:t>，</w:t>
            </w:r>
            <w:r>
              <w:rPr>
                <w:rFonts w:ascii="宋体" w:hAnsi="宋体" w:eastAsia="宋体"/>
                <w:sz w:val="16"/>
              </w:rPr>
              <w:t>主要用于救灾车辆运输费。通过该项目调集救灾物资车辆12辆，向灾区运送物资150余吨，有力地解决了阿合奇县救援物资紧缺的现状，帮助受灾群众及时得到了救援，赢得了群众的认可。</w:t>
            </w:r>
          </w:p>
        </w:tc>
      </w:tr>
      <w:tr w14:paraId="49ACE2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FEB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07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7C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36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57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F8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91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CA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72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4B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02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A9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F9064">
            <w:pPr>
              <w:jc w:val="center"/>
            </w:pPr>
            <w:r>
              <w:rPr>
                <w:rFonts w:ascii="宋体" w:hAnsi="宋体" w:eastAsia="宋体"/>
                <w:sz w:val="16"/>
              </w:rPr>
              <w:t>偏差原因分析及改进措施</w:t>
            </w:r>
          </w:p>
        </w:tc>
      </w:tr>
      <w:tr w14:paraId="2A53E0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B7C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47E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F2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25E2">
            <w:pPr>
              <w:jc w:val="center"/>
            </w:pPr>
            <w:r>
              <w:rPr>
                <w:rFonts w:ascii="宋体" w:hAnsi="宋体" w:eastAsia="宋体"/>
                <w:sz w:val="16"/>
              </w:rPr>
              <w:t>运输救灾物资车辆（辆）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BB5B">
            <w:pPr>
              <w:jc w:val="center"/>
            </w:pPr>
            <w:r>
              <w:rPr>
                <w:rFonts w:ascii="宋体" w:hAnsi="宋体" w:eastAsia="宋体"/>
                <w:sz w:val="16"/>
              </w:rPr>
              <w:t>&gt;=12辆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5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0A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667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0C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BA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89A3">
            <w:pPr>
              <w:jc w:val="center"/>
            </w:pPr>
            <w:r>
              <w:rPr>
                <w:rFonts w:ascii="宋体" w:hAnsi="宋体" w:eastAsia="宋体"/>
                <w:sz w:val="16"/>
              </w:rPr>
              <w:t>=12辆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9F78">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B8717">
            <w:pPr>
              <w:jc w:val="center"/>
            </w:pPr>
          </w:p>
        </w:tc>
      </w:tr>
      <w:tr w14:paraId="7BFBB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5B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E9B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FF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136C">
            <w:pPr>
              <w:jc w:val="center"/>
            </w:pPr>
            <w:r>
              <w:rPr>
                <w:rFonts w:ascii="宋体" w:hAnsi="宋体" w:eastAsia="宋体"/>
                <w:sz w:val="16"/>
              </w:rPr>
              <w:t>救灾物资安全运抵率（%）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7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5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A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569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3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5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1887">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F75AC">
            <w:pPr>
              <w:jc w:val="center"/>
            </w:pPr>
          </w:p>
        </w:tc>
      </w:tr>
      <w:tr w14:paraId="68C19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93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9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9E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B9D7">
            <w:pPr>
              <w:jc w:val="center"/>
            </w:pPr>
            <w:r>
              <w:rPr>
                <w:rFonts w:ascii="宋体" w:hAnsi="宋体" w:eastAsia="宋体"/>
                <w:sz w:val="16"/>
              </w:rPr>
              <w:t>完成运输任务及时率（%）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5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9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5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FE1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D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D9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5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18D8">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B298E">
            <w:pPr>
              <w:jc w:val="center"/>
            </w:pPr>
          </w:p>
        </w:tc>
      </w:tr>
      <w:tr w14:paraId="4E26D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1CD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CAC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F85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4ADA">
            <w:pPr>
              <w:jc w:val="center"/>
            </w:pPr>
            <w:r>
              <w:rPr>
                <w:rFonts w:ascii="宋体" w:hAnsi="宋体" w:eastAsia="宋体"/>
                <w:sz w:val="16"/>
              </w:rPr>
              <w:t>物资运输成本（万元）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854F">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EE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39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1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D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80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1FE7">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09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F996">
            <w:pPr>
              <w:jc w:val="center"/>
            </w:pPr>
          </w:p>
        </w:tc>
      </w:tr>
      <w:tr w14:paraId="3FCF5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03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28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7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CFE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4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DD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9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AB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4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F6A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D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61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810AC">
            <w:pPr>
              <w:jc w:val="center"/>
            </w:pPr>
          </w:p>
        </w:tc>
      </w:tr>
      <w:tr w14:paraId="4B693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8C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CF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B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F92">
            <w:pPr>
              <w:jc w:val="center"/>
            </w:pPr>
            <w:r>
              <w:rPr>
                <w:rFonts w:ascii="宋体" w:hAnsi="宋体" w:eastAsia="宋体"/>
                <w:sz w:val="16"/>
              </w:rPr>
              <w:t>保障工作开展需要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A14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7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82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1C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61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5A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905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A0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96065">
            <w:pPr>
              <w:jc w:val="center"/>
            </w:pPr>
          </w:p>
        </w:tc>
      </w:tr>
      <w:tr w14:paraId="62ED3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04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26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A9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7DD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7D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B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E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C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D1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C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5A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B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8D95">
            <w:pPr>
              <w:jc w:val="center"/>
            </w:pPr>
          </w:p>
        </w:tc>
      </w:tr>
      <w:tr w14:paraId="623B56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E0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1B6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D56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B1A69">
            <w:pPr>
              <w:jc w:val="center"/>
            </w:pPr>
            <w:r>
              <w:rPr>
                <w:rFonts w:ascii="宋体" w:hAnsi="宋体" w:eastAsia="宋体"/>
                <w:sz w:val="16"/>
              </w:rPr>
              <w:t>100分</w:t>
            </w:r>
          </w:p>
        </w:tc>
      </w:tr>
    </w:tbl>
    <w:p w14:paraId="4EA32F2D">
      <w:r>
        <w:br w:type="page"/>
      </w:r>
    </w:p>
    <w:tbl>
      <w:tblPr>
        <w:tblStyle w:val="9"/>
        <w:tblW w:w="0" w:type="auto"/>
        <w:tblInd w:w="0" w:type="dxa"/>
        <w:tblLayout w:type="autofit"/>
        <w:tblCellMar>
          <w:top w:w="0" w:type="dxa"/>
          <w:left w:w="108" w:type="dxa"/>
          <w:bottom w:w="0" w:type="dxa"/>
          <w:right w:w="108" w:type="dxa"/>
        </w:tblCellMar>
      </w:tblPr>
      <w:tblGrid>
        <w:gridCol w:w="623"/>
        <w:gridCol w:w="611"/>
        <w:gridCol w:w="611"/>
        <w:gridCol w:w="631"/>
        <w:gridCol w:w="856"/>
        <w:gridCol w:w="625"/>
        <w:gridCol w:w="620"/>
        <w:gridCol w:w="625"/>
        <w:gridCol w:w="620"/>
        <w:gridCol w:w="612"/>
        <w:gridCol w:w="776"/>
        <w:gridCol w:w="630"/>
        <w:gridCol w:w="589"/>
        <w:gridCol w:w="631"/>
      </w:tblGrid>
      <w:tr w14:paraId="79173C53">
        <w:tblPrEx>
          <w:tblCellMar>
            <w:top w:w="0" w:type="dxa"/>
            <w:left w:w="108" w:type="dxa"/>
            <w:bottom w:w="0" w:type="dxa"/>
            <w:right w:w="108" w:type="dxa"/>
          </w:tblCellMar>
        </w:tblPrEx>
        <w:tc>
          <w:tcPr>
            <w:tcW w:w="8848" w:type="dxa"/>
            <w:gridSpan w:val="14"/>
            <w:vAlign w:val="center"/>
          </w:tcPr>
          <w:p w14:paraId="3EDA6C77">
            <w:pPr>
              <w:jc w:val="center"/>
            </w:pPr>
            <w:r>
              <w:rPr>
                <w:rFonts w:ascii="宋体" w:hAnsi="宋体" w:eastAsia="宋体"/>
                <w:sz w:val="24"/>
              </w:rPr>
              <w:t>项目支出绩效自评表</w:t>
            </w:r>
          </w:p>
        </w:tc>
      </w:tr>
      <w:tr w14:paraId="55F246CD">
        <w:tblPrEx>
          <w:tblCellMar>
            <w:top w:w="0" w:type="dxa"/>
            <w:left w:w="108" w:type="dxa"/>
            <w:bottom w:w="0" w:type="dxa"/>
            <w:right w:w="108" w:type="dxa"/>
          </w:tblCellMar>
        </w:tblPrEx>
        <w:tc>
          <w:tcPr>
            <w:tcW w:w="8848" w:type="dxa"/>
            <w:gridSpan w:val="14"/>
            <w:vAlign w:val="center"/>
          </w:tcPr>
          <w:p w14:paraId="1AFA6417">
            <w:pPr>
              <w:jc w:val="center"/>
            </w:pPr>
            <w:r>
              <w:rPr>
                <w:rFonts w:ascii="宋体" w:hAnsi="宋体" w:eastAsia="宋体"/>
                <w:sz w:val="24"/>
              </w:rPr>
              <w:t>(2024年度)</w:t>
            </w:r>
          </w:p>
        </w:tc>
      </w:tr>
      <w:tr w14:paraId="49A604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C0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DC7ED7">
            <w:pPr>
              <w:jc w:val="center"/>
            </w:pPr>
            <w:r>
              <w:rPr>
                <w:rFonts w:ascii="宋体" w:hAnsi="宋体" w:eastAsia="宋体"/>
                <w:sz w:val="16"/>
              </w:rPr>
              <w:t>G315线托帕至吐尔尕特口岸公路建设项目(第二批）</w:t>
            </w:r>
          </w:p>
        </w:tc>
      </w:tr>
      <w:tr w14:paraId="7AF2DF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9F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21112">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0D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575DFD">
            <w:pPr>
              <w:jc w:val="center"/>
            </w:pPr>
            <w:r>
              <w:rPr>
                <w:rFonts w:ascii="宋体" w:hAnsi="宋体" w:eastAsia="宋体"/>
                <w:sz w:val="16"/>
              </w:rPr>
              <w:t>克孜勒苏柯尔克孜自治州交通运输局</w:t>
            </w:r>
          </w:p>
        </w:tc>
      </w:tr>
      <w:tr w14:paraId="615B96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6A7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F5A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1A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89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F28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B2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E3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D58D">
            <w:pPr>
              <w:jc w:val="center"/>
            </w:pPr>
            <w:r>
              <w:rPr>
                <w:rFonts w:ascii="宋体" w:hAnsi="宋体" w:eastAsia="宋体"/>
                <w:sz w:val="16"/>
              </w:rPr>
              <w:t>得分</w:t>
            </w:r>
          </w:p>
        </w:tc>
      </w:tr>
      <w:tr w14:paraId="5F67B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D5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46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E950">
            <w:pPr>
              <w:jc w:val="center"/>
            </w:pPr>
            <w:r>
              <w:rPr>
                <w:rFonts w:ascii="宋体" w:hAnsi="宋体" w:eastAsia="宋体"/>
                <w:sz w:val="16"/>
              </w:rPr>
              <w:t>130,000.00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AD305">
            <w:pPr>
              <w:jc w:val="center"/>
            </w:pPr>
            <w:r>
              <w:rPr>
                <w:rFonts w:ascii="宋体" w:hAnsi="宋体" w:eastAsia="宋体"/>
                <w:sz w:val="16"/>
              </w:rPr>
              <w:t>130,000.00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4AC96">
            <w:pPr>
              <w:jc w:val="center"/>
            </w:pPr>
            <w:r>
              <w:rPr>
                <w:rFonts w:ascii="宋体" w:hAnsi="宋体" w:eastAsia="宋体"/>
                <w:sz w:val="16"/>
              </w:rPr>
              <w:t>130,000.00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3F6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19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3055">
            <w:pPr>
              <w:jc w:val="center"/>
            </w:pPr>
            <w:r>
              <w:rPr>
                <w:rFonts w:ascii="宋体" w:hAnsi="宋体" w:eastAsia="宋体"/>
                <w:sz w:val="16"/>
              </w:rPr>
              <w:t>10.00分</w:t>
            </w:r>
          </w:p>
        </w:tc>
      </w:tr>
      <w:tr w14:paraId="6A9CD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470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7E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CD629">
            <w:pPr>
              <w:jc w:val="center"/>
            </w:pPr>
            <w:r>
              <w:rPr>
                <w:rFonts w:ascii="宋体" w:hAnsi="宋体" w:eastAsia="宋体"/>
                <w:sz w:val="16"/>
              </w:rPr>
              <w:t>130,000.00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39147">
            <w:pPr>
              <w:jc w:val="center"/>
            </w:pPr>
            <w:r>
              <w:rPr>
                <w:rFonts w:ascii="宋体" w:hAnsi="宋体" w:eastAsia="宋体"/>
                <w:sz w:val="16"/>
              </w:rPr>
              <w:t>130,000.00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8D7F">
            <w:pPr>
              <w:jc w:val="center"/>
            </w:pPr>
            <w:r>
              <w:rPr>
                <w:rFonts w:ascii="宋体" w:hAnsi="宋体" w:eastAsia="宋体"/>
                <w:sz w:val="16"/>
              </w:rPr>
              <w:t>130,000.00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E9E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8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7D51">
            <w:pPr>
              <w:jc w:val="center"/>
            </w:pPr>
            <w:r>
              <w:rPr>
                <w:rFonts w:ascii="宋体" w:hAnsi="宋体" w:eastAsia="宋体"/>
                <w:sz w:val="16"/>
              </w:rPr>
              <w:t>—</w:t>
            </w:r>
          </w:p>
        </w:tc>
      </w:tr>
      <w:tr w14:paraId="0DA2F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108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208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F2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F5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08A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B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9D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0045">
            <w:pPr>
              <w:jc w:val="center"/>
            </w:pPr>
            <w:r>
              <w:rPr>
                <w:rFonts w:ascii="宋体" w:hAnsi="宋体" w:eastAsia="宋体"/>
                <w:sz w:val="16"/>
              </w:rPr>
              <w:t>—</w:t>
            </w:r>
          </w:p>
        </w:tc>
      </w:tr>
      <w:tr w14:paraId="08FF8A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E65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805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FB7F3">
            <w:pPr>
              <w:jc w:val="center"/>
              <w:rPr>
                <w:rFonts w:hint="eastAsia" w:eastAsia="宋体"/>
                <w:lang w:eastAsia="zh-CN"/>
              </w:rPr>
            </w:pPr>
            <w:r>
              <w:rPr>
                <w:rFonts w:hint="eastAsia" w:ascii="宋体" w:hAnsi="宋体"/>
                <w:sz w:val="16"/>
                <w:lang w:eastAsia="zh-CN"/>
              </w:rPr>
              <w:t>实际完成情况</w:t>
            </w:r>
          </w:p>
        </w:tc>
      </w:tr>
      <w:tr w14:paraId="5AAFB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6E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CC3922">
            <w:pPr>
              <w:jc w:val="both"/>
            </w:pPr>
            <w:r>
              <w:rPr>
                <w:rFonts w:ascii="宋体" w:hAnsi="宋体" w:eastAsia="宋体"/>
                <w:sz w:val="16"/>
              </w:rPr>
              <w:t>该项目总投资130000万元，其中：财政资金130000万元，其他资金0万元，主要</w:t>
            </w:r>
            <w:r>
              <w:rPr>
                <w:rFonts w:hint="eastAsia" w:ascii="宋体" w:hAnsi="宋体"/>
                <w:sz w:val="16"/>
                <w:lang w:eastAsia="zh-CN"/>
              </w:rPr>
              <w:t>用于</w:t>
            </w:r>
            <w:r>
              <w:rPr>
                <w:rFonts w:ascii="宋体" w:hAnsi="宋体" w:eastAsia="宋体"/>
                <w:sz w:val="16"/>
              </w:rPr>
              <w:t>完成“十四五”现代综合交通运输体系发展规划范围内的公路建设任务，改善群众出行。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E6A1B">
            <w:pPr>
              <w:jc w:val="both"/>
            </w:pPr>
            <w:r>
              <w:rPr>
                <w:rFonts w:ascii="宋体" w:hAnsi="宋体" w:eastAsia="宋体"/>
                <w:sz w:val="16"/>
              </w:rPr>
              <w:t>截至2024年12月31日，该项目支出13亿元，主要用于建设G315线托帕至吐尔尕特口岸公路建设项目。通过该项目实施，有序开展建设路基、桥梁、涵洞、隧道等施工工程，有助于完成“十四五”现代综合交通运输体系发展规划范围内的公路建设任务，改善了沿线乡镇群众的出行条件。</w:t>
            </w:r>
          </w:p>
        </w:tc>
      </w:tr>
      <w:tr w14:paraId="0A24AB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40E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35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48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42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DC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34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EBE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49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B4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FC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02C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E8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3DE8">
            <w:pPr>
              <w:jc w:val="center"/>
            </w:pPr>
            <w:r>
              <w:rPr>
                <w:rFonts w:ascii="宋体" w:hAnsi="宋体" w:eastAsia="宋体"/>
                <w:sz w:val="16"/>
              </w:rPr>
              <w:t>偏差原因分析及改进措施</w:t>
            </w:r>
          </w:p>
        </w:tc>
      </w:tr>
      <w:tr w14:paraId="1E9F4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30E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9243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AA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A665">
            <w:pPr>
              <w:jc w:val="center"/>
            </w:pPr>
            <w:r>
              <w:rPr>
                <w:rFonts w:ascii="宋体" w:hAnsi="宋体" w:eastAsia="宋体"/>
                <w:sz w:val="16"/>
              </w:rPr>
              <w:t>支持普通国道建设（公里）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4D84">
            <w:pPr>
              <w:jc w:val="center"/>
            </w:pPr>
            <w:r>
              <w:rPr>
                <w:rFonts w:ascii="宋体" w:hAnsi="宋体" w:eastAsia="宋体"/>
                <w:sz w:val="16"/>
              </w:rPr>
              <w:t>=111公里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C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8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EE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D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B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6CD">
            <w:pPr>
              <w:jc w:val="center"/>
            </w:pPr>
            <w:r>
              <w:rPr>
                <w:rFonts w:ascii="宋体" w:hAnsi="宋体" w:eastAsia="宋体"/>
                <w:sz w:val="16"/>
              </w:rPr>
              <w:t>=111公里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11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6AD77">
            <w:pPr>
              <w:jc w:val="center"/>
            </w:pPr>
          </w:p>
        </w:tc>
      </w:tr>
      <w:tr w14:paraId="4705E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AC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EF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7B4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A2B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B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74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82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01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D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3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6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F0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0261">
            <w:pPr>
              <w:jc w:val="center"/>
            </w:pPr>
          </w:p>
        </w:tc>
      </w:tr>
      <w:tr w14:paraId="17065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84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D4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D3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F8A7">
            <w:pPr>
              <w:jc w:val="center"/>
            </w:pPr>
            <w:r>
              <w:rPr>
                <w:rFonts w:ascii="宋体" w:hAnsi="宋体" w:eastAsia="宋体"/>
                <w:sz w:val="16"/>
              </w:rPr>
              <w:t>当年工程验收合格率（%)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6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F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71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21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A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C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A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B2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583C">
            <w:pPr>
              <w:jc w:val="center"/>
            </w:pPr>
          </w:p>
        </w:tc>
      </w:tr>
      <w:tr w14:paraId="6CDBE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FF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AA6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A0E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5366">
            <w:pPr>
              <w:jc w:val="center"/>
            </w:pPr>
            <w:r>
              <w:rPr>
                <w:rFonts w:ascii="宋体" w:hAnsi="宋体" w:eastAsia="宋体"/>
                <w:sz w:val="16"/>
              </w:rPr>
              <w:t>工程建设按期完工比率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BEA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E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06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4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A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F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893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4E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11390">
            <w:pPr>
              <w:jc w:val="center"/>
            </w:pPr>
          </w:p>
        </w:tc>
      </w:tr>
      <w:tr w14:paraId="77225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B3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67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3A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9D72">
            <w:pPr>
              <w:jc w:val="center"/>
            </w:pPr>
            <w:r>
              <w:rPr>
                <w:rFonts w:ascii="宋体" w:hAnsi="宋体" w:eastAsia="宋体"/>
                <w:sz w:val="16"/>
              </w:rPr>
              <w:t>当年投资完成率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23E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8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1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67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C3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2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889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B5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ACE63">
            <w:pPr>
              <w:jc w:val="center"/>
            </w:pPr>
          </w:p>
        </w:tc>
      </w:tr>
      <w:tr w14:paraId="5A320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B78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DC5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8CF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50F3">
            <w:pPr>
              <w:jc w:val="center"/>
            </w:pPr>
            <w:r>
              <w:rPr>
                <w:rFonts w:ascii="宋体" w:hAnsi="宋体" w:eastAsia="宋体"/>
                <w:sz w:val="16"/>
              </w:rPr>
              <w:t>项目支出符合概算批复的标准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4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E9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8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94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6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24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9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C4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5004">
            <w:pPr>
              <w:jc w:val="center"/>
            </w:pPr>
          </w:p>
        </w:tc>
      </w:tr>
      <w:tr w14:paraId="16291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0D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B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693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76AD">
            <w:pPr>
              <w:jc w:val="center"/>
            </w:pPr>
            <w:r>
              <w:rPr>
                <w:rFonts w:ascii="宋体" w:hAnsi="宋体" w:eastAsia="宋体"/>
                <w:sz w:val="16"/>
              </w:rPr>
              <w:t>公路项目建设工程款（万元）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47AD">
            <w:pPr>
              <w:jc w:val="center"/>
            </w:pPr>
            <w:r>
              <w:rPr>
                <w:rFonts w:ascii="宋体" w:hAnsi="宋体" w:eastAsia="宋体"/>
                <w:sz w:val="16"/>
              </w:rPr>
              <w:t>&lt;=130000万元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A4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64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42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E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CC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3B45">
            <w:pPr>
              <w:jc w:val="center"/>
            </w:pPr>
            <w:r>
              <w:rPr>
                <w:rFonts w:ascii="宋体" w:hAnsi="宋体" w:eastAsia="宋体"/>
                <w:sz w:val="16"/>
              </w:rPr>
              <w:t>=130000万元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AE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EFCD">
            <w:pPr>
              <w:jc w:val="center"/>
            </w:pPr>
          </w:p>
        </w:tc>
      </w:tr>
      <w:tr w14:paraId="13D3F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600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BD1C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A2B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3BA3">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700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DC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2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D0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08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013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D41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D4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6AF68">
            <w:pPr>
              <w:jc w:val="center"/>
            </w:pPr>
          </w:p>
        </w:tc>
      </w:tr>
      <w:tr w14:paraId="5D53F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CB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A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ED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3677">
            <w:pPr>
              <w:jc w:val="center"/>
            </w:pPr>
            <w:r>
              <w:rPr>
                <w:rFonts w:ascii="宋体" w:hAnsi="宋体" w:eastAsia="宋体"/>
                <w:sz w:val="16"/>
              </w:rPr>
              <w:t>项目符合设计标准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918E">
            <w:pPr>
              <w:jc w:val="center"/>
            </w:pPr>
            <w:r>
              <w:rPr>
                <w:rFonts w:ascii="宋体" w:hAnsi="宋体" w:eastAsia="宋体"/>
                <w:sz w:val="16"/>
              </w:rPr>
              <w:t>符合标准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4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77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46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F3D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026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ED18">
            <w:pPr>
              <w:jc w:val="center"/>
            </w:pPr>
            <w:r>
              <w:rPr>
                <w:rFonts w:ascii="宋体" w:hAnsi="宋体" w:eastAsia="宋体"/>
                <w:sz w:val="16"/>
              </w:rPr>
              <w:t>符合标准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EE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26C9">
            <w:pPr>
              <w:jc w:val="center"/>
            </w:pPr>
          </w:p>
        </w:tc>
      </w:tr>
      <w:tr w14:paraId="7FC13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97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47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325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8659">
            <w:pPr>
              <w:jc w:val="center"/>
            </w:pPr>
            <w:r>
              <w:rPr>
                <w:rFonts w:ascii="宋体" w:hAnsi="宋体" w:eastAsia="宋体"/>
                <w:sz w:val="16"/>
              </w:rPr>
              <w:t>交通建设符合环评审批要求（%）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C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1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4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B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D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8ED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6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3A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DEC71">
            <w:pPr>
              <w:jc w:val="center"/>
            </w:pPr>
          </w:p>
        </w:tc>
      </w:tr>
      <w:tr w14:paraId="06F0A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17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A7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B4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4491">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D70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4D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24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9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D4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4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590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6B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C5382">
            <w:pPr>
              <w:jc w:val="center"/>
            </w:pPr>
          </w:p>
        </w:tc>
      </w:tr>
      <w:tr w14:paraId="2E14FC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6E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E5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5B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F2204F">
            <w:pPr>
              <w:jc w:val="center"/>
            </w:pPr>
            <w:r>
              <w:rPr>
                <w:rFonts w:ascii="宋体" w:hAnsi="宋体" w:eastAsia="宋体"/>
                <w:sz w:val="16"/>
              </w:rPr>
              <w:t>100分</w:t>
            </w:r>
          </w:p>
        </w:tc>
      </w:tr>
    </w:tbl>
    <w:p w14:paraId="463F2666">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630"/>
        <w:gridCol w:w="856"/>
        <w:gridCol w:w="619"/>
        <w:gridCol w:w="609"/>
        <w:gridCol w:w="612"/>
        <w:gridCol w:w="605"/>
        <w:gridCol w:w="595"/>
        <w:gridCol w:w="936"/>
        <w:gridCol w:w="627"/>
        <w:gridCol w:w="544"/>
        <w:gridCol w:w="619"/>
      </w:tblGrid>
      <w:tr w14:paraId="59A33D4B">
        <w:tblPrEx>
          <w:tblCellMar>
            <w:top w:w="0" w:type="dxa"/>
            <w:left w:w="108" w:type="dxa"/>
            <w:bottom w:w="0" w:type="dxa"/>
            <w:right w:w="108" w:type="dxa"/>
          </w:tblCellMar>
        </w:tblPrEx>
        <w:tc>
          <w:tcPr>
            <w:tcW w:w="8848" w:type="dxa"/>
            <w:gridSpan w:val="14"/>
            <w:vAlign w:val="center"/>
          </w:tcPr>
          <w:p w14:paraId="71D5DB03">
            <w:pPr>
              <w:jc w:val="center"/>
            </w:pPr>
            <w:r>
              <w:rPr>
                <w:rFonts w:ascii="宋体" w:hAnsi="宋体" w:eastAsia="宋体"/>
                <w:sz w:val="24"/>
              </w:rPr>
              <w:t>项目支出绩效自评表</w:t>
            </w:r>
          </w:p>
        </w:tc>
      </w:tr>
      <w:tr w14:paraId="2712B5AD">
        <w:tblPrEx>
          <w:tblCellMar>
            <w:top w:w="0" w:type="dxa"/>
            <w:left w:w="108" w:type="dxa"/>
            <w:bottom w:w="0" w:type="dxa"/>
            <w:right w:w="108" w:type="dxa"/>
          </w:tblCellMar>
        </w:tblPrEx>
        <w:tc>
          <w:tcPr>
            <w:tcW w:w="8848" w:type="dxa"/>
            <w:gridSpan w:val="14"/>
            <w:vAlign w:val="center"/>
          </w:tcPr>
          <w:p w14:paraId="3BF5486A">
            <w:pPr>
              <w:jc w:val="center"/>
            </w:pPr>
            <w:r>
              <w:rPr>
                <w:rFonts w:ascii="宋体" w:hAnsi="宋体" w:eastAsia="宋体"/>
                <w:sz w:val="24"/>
              </w:rPr>
              <w:t>(2024年度)</w:t>
            </w:r>
          </w:p>
        </w:tc>
      </w:tr>
      <w:tr w14:paraId="75F5DC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CD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71980F">
            <w:pPr>
              <w:jc w:val="center"/>
            </w:pPr>
            <w:r>
              <w:rPr>
                <w:rFonts w:ascii="宋体" w:hAnsi="宋体" w:eastAsia="宋体"/>
                <w:sz w:val="16"/>
              </w:rPr>
              <w:t>G315线托帕至吐尔尕特口岸公路建设项目</w:t>
            </w:r>
          </w:p>
        </w:tc>
      </w:tr>
      <w:tr w14:paraId="2B1B4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9F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D51D7">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3E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68000">
            <w:pPr>
              <w:jc w:val="center"/>
            </w:pPr>
            <w:r>
              <w:rPr>
                <w:rFonts w:ascii="宋体" w:hAnsi="宋体" w:eastAsia="宋体"/>
                <w:sz w:val="16"/>
              </w:rPr>
              <w:t>克孜勒苏柯尔克孜自治州交通运输局</w:t>
            </w:r>
          </w:p>
        </w:tc>
      </w:tr>
      <w:tr w14:paraId="6AF62D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E02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DB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61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F19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20A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75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E7B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F093">
            <w:pPr>
              <w:jc w:val="center"/>
            </w:pPr>
            <w:r>
              <w:rPr>
                <w:rFonts w:ascii="宋体" w:hAnsi="宋体" w:eastAsia="宋体"/>
                <w:sz w:val="16"/>
              </w:rPr>
              <w:t>得分</w:t>
            </w:r>
          </w:p>
        </w:tc>
      </w:tr>
      <w:tr w14:paraId="3E37E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EF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C55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78D0">
            <w:pPr>
              <w:jc w:val="center"/>
            </w:pPr>
            <w:r>
              <w:rPr>
                <w:rFonts w:ascii="宋体" w:hAnsi="宋体" w:eastAsia="宋体"/>
                <w:sz w:val="16"/>
              </w:rPr>
              <w:t>100,000.00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91433">
            <w:pPr>
              <w:jc w:val="center"/>
            </w:pPr>
            <w:r>
              <w:rPr>
                <w:rFonts w:ascii="宋体" w:hAnsi="宋体" w:eastAsia="宋体"/>
                <w:sz w:val="16"/>
              </w:rPr>
              <w:t>100,000.00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A287">
            <w:pPr>
              <w:jc w:val="center"/>
            </w:pPr>
            <w:r>
              <w:rPr>
                <w:rFonts w:ascii="宋体" w:hAnsi="宋体" w:eastAsia="宋体"/>
                <w:sz w:val="16"/>
              </w:rPr>
              <w:t>85,750.05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F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CB70">
            <w:pPr>
              <w:jc w:val="center"/>
            </w:pPr>
            <w:r>
              <w:rPr>
                <w:rFonts w:ascii="宋体" w:hAnsi="宋体" w:eastAsia="宋体"/>
                <w:sz w:val="16"/>
              </w:rPr>
              <w:t>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12A4">
            <w:pPr>
              <w:jc w:val="center"/>
            </w:pPr>
            <w:r>
              <w:rPr>
                <w:rFonts w:ascii="宋体" w:hAnsi="宋体" w:eastAsia="宋体"/>
                <w:sz w:val="16"/>
              </w:rPr>
              <w:t>6.44分</w:t>
            </w:r>
          </w:p>
        </w:tc>
      </w:tr>
      <w:tr w14:paraId="08879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46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BD1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D4149">
            <w:pPr>
              <w:jc w:val="center"/>
            </w:pPr>
            <w:r>
              <w:rPr>
                <w:rFonts w:ascii="宋体" w:hAnsi="宋体" w:eastAsia="宋体"/>
                <w:sz w:val="16"/>
              </w:rPr>
              <w:t>100,000.00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D9BA">
            <w:pPr>
              <w:jc w:val="center"/>
            </w:pPr>
            <w:r>
              <w:rPr>
                <w:rFonts w:ascii="宋体" w:hAnsi="宋体" w:eastAsia="宋体"/>
                <w:sz w:val="16"/>
              </w:rPr>
              <w:t>100,000.00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188D">
            <w:pPr>
              <w:jc w:val="center"/>
            </w:pPr>
            <w:r>
              <w:rPr>
                <w:rFonts w:ascii="宋体" w:hAnsi="宋体" w:eastAsia="宋体"/>
                <w:sz w:val="16"/>
              </w:rPr>
              <w:t>85,750.05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8BA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0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FF07">
            <w:pPr>
              <w:jc w:val="center"/>
            </w:pPr>
            <w:r>
              <w:rPr>
                <w:rFonts w:ascii="宋体" w:hAnsi="宋体" w:eastAsia="宋体"/>
                <w:sz w:val="16"/>
              </w:rPr>
              <w:t>—</w:t>
            </w:r>
          </w:p>
        </w:tc>
      </w:tr>
      <w:tr w14:paraId="42ECC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A00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C4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EA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1F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D75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65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22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A9AF">
            <w:pPr>
              <w:jc w:val="center"/>
            </w:pPr>
            <w:r>
              <w:rPr>
                <w:rFonts w:ascii="宋体" w:hAnsi="宋体" w:eastAsia="宋体"/>
                <w:sz w:val="16"/>
              </w:rPr>
              <w:t>—</w:t>
            </w:r>
          </w:p>
        </w:tc>
      </w:tr>
      <w:tr w14:paraId="70E6A8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72D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82E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DAB010">
            <w:pPr>
              <w:jc w:val="center"/>
              <w:rPr>
                <w:rFonts w:hint="eastAsia" w:eastAsia="宋体"/>
                <w:lang w:eastAsia="zh-CN"/>
              </w:rPr>
            </w:pPr>
            <w:r>
              <w:rPr>
                <w:rFonts w:hint="eastAsia" w:ascii="宋体" w:hAnsi="宋体"/>
                <w:sz w:val="16"/>
                <w:lang w:eastAsia="zh-CN"/>
              </w:rPr>
              <w:t>实际完成情况</w:t>
            </w:r>
          </w:p>
        </w:tc>
      </w:tr>
      <w:tr w14:paraId="6FC67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FE0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9A521">
            <w:pPr>
              <w:jc w:val="both"/>
            </w:pPr>
            <w:r>
              <w:rPr>
                <w:rFonts w:ascii="宋体" w:hAnsi="宋体" w:eastAsia="宋体"/>
                <w:sz w:val="16"/>
              </w:rPr>
              <w:t>项目资金10亿元，其中：财政资金10亿元，其他资金0元，主要用于完成“十四五”现代综合交通运输体系发展规划范围内的公路建设任务，改善群众出行条件。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40B5E6">
            <w:pPr>
              <w:jc w:val="both"/>
            </w:pPr>
            <w:r>
              <w:rPr>
                <w:rFonts w:ascii="宋体" w:hAnsi="宋体" w:eastAsia="宋体"/>
                <w:sz w:val="16"/>
              </w:rPr>
              <w:t>截至2024年12月31日，该项目支出85750.05万元，主要用于建设G315线托帕至吐尔尕特口岸公路建设项目。通过该项目实施，有序开展建设路基、桥梁、涵洞、隧道等施工工程，有助于完成“十四五”现代综合交通运输体系发展规划范围内的公路建设任务，改善了沿线乡镇群众的出行条件。</w:t>
            </w:r>
          </w:p>
        </w:tc>
      </w:tr>
      <w:tr w14:paraId="527AEB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43EE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1D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55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D4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82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70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88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01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A8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AC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72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B8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FA36">
            <w:pPr>
              <w:jc w:val="center"/>
            </w:pPr>
            <w:r>
              <w:rPr>
                <w:rFonts w:ascii="宋体" w:hAnsi="宋体" w:eastAsia="宋体"/>
                <w:sz w:val="16"/>
              </w:rPr>
              <w:t>偏差原因分析及改进措施</w:t>
            </w:r>
          </w:p>
        </w:tc>
      </w:tr>
      <w:tr w14:paraId="305298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98D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1FA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9A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738A">
            <w:pPr>
              <w:jc w:val="center"/>
            </w:pPr>
            <w:r>
              <w:rPr>
                <w:rFonts w:ascii="宋体" w:hAnsi="宋体" w:eastAsia="宋体"/>
                <w:sz w:val="16"/>
              </w:rPr>
              <w:t>支持普通国道建设（公里）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593C">
            <w:pPr>
              <w:jc w:val="center"/>
            </w:pPr>
            <w:r>
              <w:rPr>
                <w:rFonts w:ascii="宋体" w:hAnsi="宋体" w:eastAsia="宋体"/>
                <w:sz w:val="16"/>
              </w:rPr>
              <w:t>=111公里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6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616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DB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4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D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6080">
            <w:pPr>
              <w:jc w:val="center"/>
            </w:pPr>
            <w:r>
              <w:rPr>
                <w:rFonts w:ascii="宋体" w:hAnsi="宋体" w:eastAsia="宋体"/>
                <w:sz w:val="16"/>
              </w:rPr>
              <w:t>=111公里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118A">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2535">
            <w:pPr>
              <w:jc w:val="center"/>
            </w:pPr>
            <w:r>
              <w:rPr>
                <w:rFonts w:ascii="宋体" w:hAnsi="宋体" w:eastAsia="宋体"/>
                <w:sz w:val="16"/>
              </w:rPr>
              <w:t>偏差原因：该项目按照项目进度支付资金。改进措施：加快施工进度，严格执行预算。</w:t>
            </w:r>
          </w:p>
        </w:tc>
      </w:tr>
      <w:tr w14:paraId="3641C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28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019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A54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801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0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E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3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37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A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3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A806">
            <w:pPr>
              <w:jc w:val="center"/>
            </w:pPr>
            <w:r>
              <w:rPr>
                <w:rFonts w:ascii="宋体" w:hAnsi="宋体" w:eastAsia="宋体"/>
                <w:sz w:val="16"/>
              </w:rPr>
              <w:t>=85.8%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BBF6">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398A">
            <w:pPr>
              <w:jc w:val="center"/>
            </w:pPr>
            <w:r>
              <w:rPr>
                <w:rFonts w:ascii="宋体" w:hAnsi="宋体" w:eastAsia="宋体"/>
                <w:sz w:val="16"/>
              </w:rPr>
              <w:t>偏差原因：该项目按照项目进度支付资金。改进措施：加快施工进度，严格执行预算。</w:t>
            </w:r>
          </w:p>
        </w:tc>
      </w:tr>
      <w:tr w14:paraId="47726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EE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A4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FE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A43A">
            <w:pPr>
              <w:jc w:val="center"/>
            </w:pPr>
            <w:r>
              <w:rPr>
                <w:rFonts w:ascii="宋体" w:hAnsi="宋体" w:eastAsia="宋体"/>
                <w:sz w:val="16"/>
              </w:rPr>
              <w:t>当年工程验收合格率（%）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5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4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FE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23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0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3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C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73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E032F">
            <w:pPr>
              <w:jc w:val="center"/>
            </w:pPr>
          </w:p>
        </w:tc>
      </w:tr>
      <w:tr w14:paraId="27ADE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45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E43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270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7EFE">
            <w:pPr>
              <w:jc w:val="center"/>
            </w:pPr>
            <w:r>
              <w:rPr>
                <w:rFonts w:ascii="宋体" w:hAnsi="宋体" w:eastAsia="宋体"/>
                <w:sz w:val="16"/>
              </w:rPr>
              <w:t>工程建设按期完工比率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216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9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7F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6A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C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4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743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42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3786">
            <w:pPr>
              <w:jc w:val="center"/>
            </w:pPr>
          </w:p>
        </w:tc>
      </w:tr>
      <w:tr w14:paraId="43E40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D9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16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80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7923">
            <w:pPr>
              <w:jc w:val="center"/>
            </w:pPr>
            <w:r>
              <w:rPr>
                <w:rFonts w:ascii="宋体" w:hAnsi="宋体" w:eastAsia="宋体"/>
                <w:sz w:val="16"/>
              </w:rPr>
              <w:t>当年投资完成率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487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6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9B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C98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BE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F8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39D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51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1F8D">
            <w:pPr>
              <w:jc w:val="center"/>
            </w:pPr>
          </w:p>
        </w:tc>
      </w:tr>
      <w:tr w14:paraId="30554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AF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A10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7D3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BB6E">
            <w:pPr>
              <w:jc w:val="center"/>
            </w:pPr>
            <w:r>
              <w:rPr>
                <w:rFonts w:ascii="宋体" w:hAnsi="宋体" w:eastAsia="宋体"/>
                <w:sz w:val="16"/>
              </w:rPr>
              <w:t>项目支出符合概算批复的标准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BF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5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40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C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7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B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7280">
            <w:pPr>
              <w:jc w:val="center"/>
            </w:pPr>
            <w:r>
              <w:rPr>
                <w:rFonts w:ascii="宋体" w:hAnsi="宋体" w:eastAsia="宋体"/>
                <w:sz w:val="16"/>
              </w:rPr>
              <w:t>=85.8%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0720">
            <w:pPr>
              <w:jc w:val="center"/>
            </w:pPr>
            <w:r>
              <w:rPr>
                <w:rFonts w:ascii="宋体" w:hAnsi="宋体" w:eastAsia="宋体"/>
                <w:sz w:val="16"/>
              </w:rPr>
              <w:t>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B5B7">
            <w:pPr>
              <w:jc w:val="center"/>
            </w:pPr>
            <w:r>
              <w:rPr>
                <w:rFonts w:ascii="宋体" w:hAnsi="宋体" w:eastAsia="宋体"/>
                <w:sz w:val="16"/>
              </w:rPr>
              <w:t>偏差原因：该项目按照项目进度支付资金。改进措施：加快施工进度，严格执行预算。</w:t>
            </w:r>
          </w:p>
        </w:tc>
      </w:tr>
      <w:tr w14:paraId="5D0DD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40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D2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0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E614">
            <w:pPr>
              <w:jc w:val="center"/>
            </w:pPr>
            <w:r>
              <w:rPr>
                <w:rFonts w:ascii="宋体" w:hAnsi="宋体" w:eastAsia="宋体"/>
                <w:sz w:val="16"/>
              </w:rPr>
              <w:t>公路项目建设工程款（万元）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9C0D">
            <w:pPr>
              <w:jc w:val="center"/>
            </w:pPr>
            <w:r>
              <w:rPr>
                <w:rFonts w:ascii="宋体" w:hAnsi="宋体" w:eastAsia="宋体"/>
                <w:sz w:val="16"/>
              </w:rPr>
              <w:t>&lt;=100000万元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AF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9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79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4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87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FB5F">
            <w:pPr>
              <w:jc w:val="center"/>
            </w:pPr>
            <w:r>
              <w:rPr>
                <w:rFonts w:ascii="宋体" w:hAnsi="宋体" w:eastAsia="宋体"/>
                <w:sz w:val="16"/>
              </w:rPr>
              <w:t>=85750.05万元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6610">
            <w:pPr>
              <w:jc w:val="center"/>
            </w:pPr>
            <w:r>
              <w:rPr>
                <w:rFonts w:ascii="宋体" w:hAnsi="宋体" w:eastAsia="宋体"/>
                <w:sz w:val="16"/>
              </w:rPr>
              <w:t>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2A69E">
            <w:pPr>
              <w:jc w:val="center"/>
            </w:pPr>
            <w:r>
              <w:rPr>
                <w:rFonts w:ascii="宋体" w:hAnsi="宋体" w:eastAsia="宋体"/>
                <w:sz w:val="16"/>
              </w:rPr>
              <w:t>偏差原因：该项目未到合同约定付款时间。改进措施：加强预算编制，严格执行预算。</w:t>
            </w:r>
          </w:p>
        </w:tc>
      </w:tr>
      <w:tr w14:paraId="08E19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69F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844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567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7620">
            <w:pPr>
              <w:jc w:val="center"/>
            </w:pPr>
            <w:r>
              <w:rPr>
                <w:rFonts w:ascii="宋体" w:hAnsi="宋体" w:eastAsia="宋体"/>
                <w:sz w:val="16"/>
              </w:rPr>
              <w:t>项目符合设计标准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2E62">
            <w:pPr>
              <w:jc w:val="center"/>
            </w:pPr>
            <w:r>
              <w:rPr>
                <w:rFonts w:ascii="宋体" w:hAnsi="宋体" w:eastAsia="宋体"/>
                <w:sz w:val="16"/>
              </w:rPr>
              <w:t>符合标准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F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8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5E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2C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BA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DDFF">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7F1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D741">
            <w:pPr>
              <w:jc w:val="center"/>
            </w:pPr>
            <w:r>
              <w:rPr>
                <w:rFonts w:ascii="宋体" w:hAnsi="宋体" w:eastAsia="宋体"/>
                <w:sz w:val="16"/>
              </w:rPr>
              <w:t>偏差原因：该项目按照项目进度支付资金。改进措施：加快施工进度，严格执行预算。</w:t>
            </w:r>
          </w:p>
        </w:tc>
      </w:tr>
      <w:tr w14:paraId="7C234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12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6B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52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1BC5">
            <w:pPr>
              <w:jc w:val="center"/>
            </w:pPr>
            <w:r>
              <w:rPr>
                <w:rFonts w:ascii="宋体" w:hAnsi="宋体" w:eastAsia="宋体"/>
                <w:sz w:val="16"/>
              </w:rPr>
              <w:t>公路安全水平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2D4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7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0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7A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FC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DAD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C571">
            <w:pPr>
              <w:jc w:val="center"/>
            </w:pPr>
            <w:r>
              <w:rPr>
                <w:rFonts w:ascii="宋体" w:hAnsi="宋体" w:eastAsia="宋体"/>
                <w:sz w:val="16"/>
              </w:rPr>
              <w:t>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E63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0D708">
            <w:pPr>
              <w:jc w:val="center"/>
            </w:pPr>
            <w:r>
              <w:rPr>
                <w:rFonts w:ascii="宋体" w:hAnsi="宋体" w:eastAsia="宋体"/>
                <w:sz w:val="16"/>
              </w:rPr>
              <w:t>偏差原因：该项目按照项目进度支付资金。改进措施：加快施工进度，严格执行预算。</w:t>
            </w:r>
          </w:p>
        </w:tc>
      </w:tr>
      <w:tr w14:paraId="04256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C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E2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3F7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E863">
            <w:pPr>
              <w:jc w:val="center"/>
            </w:pPr>
            <w:r>
              <w:rPr>
                <w:rFonts w:ascii="宋体" w:hAnsi="宋体" w:eastAsia="宋体"/>
                <w:sz w:val="16"/>
              </w:rPr>
              <w:t>交通建设符合环评审批要求（%）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1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F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3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D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32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6FD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5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11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D84D7">
            <w:pPr>
              <w:jc w:val="center"/>
            </w:pPr>
          </w:p>
        </w:tc>
      </w:tr>
      <w:tr w14:paraId="6AFBB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8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68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56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AB76">
            <w:pPr>
              <w:jc w:val="center"/>
            </w:pPr>
            <w:r>
              <w:rPr>
                <w:rFonts w:ascii="宋体" w:hAnsi="宋体" w:eastAsia="宋体"/>
                <w:sz w:val="16"/>
              </w:rPr>
              <w:t>改善通行服务水平群众满意度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DFE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4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08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2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75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1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12D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36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DB21">
            <w:pPr>
              <w:jc w:val="center"/>
            </w:pPr>
          </w:p>
        </w:tc>
      </w:tr>
      <w:tr w14:paraId="045C6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926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377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DA6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E7DDE">
            <w:pPr>
              <w:jc w:val="center"/>
            </w:pPr>
            <w:r>
              <w:rPr>
                <w:rFonts w:ascii="宋体" w:hAnsi="宋体" w:eastAsia="宋体"/>
                <w:sz w:val="16"/>
              </w:rPr>
              <w:t>81.65分</w:t>
            </w:r>
          </w:p>
        </w:tc>
      </w:tr>
    </w:tbl>
    <w:p w14:paraId="554F55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A950D1E">
        <w:tblPrEx>
          <w:tblCellMar>
            <w:top w:w="0" w:type="dxa"/>
            <w:left w:w="108" w:type="dxa"/>
            <w:bottom w:w="0" w:type="dxa"/>
            <w:right w:w="108" w:type="dxa"/>
          </w:tblCellMar>
        </w:tblPrEx>
        <w:tc>
          <w:tcPr>
            <w:tcW w:w="8848" w:type="dxa"/>
            <w:gridSpan w:val="14"/>
            <w:vAlign w:val="center"/>
          </w:tcPr>
          <w:p w14:paraId="4E2303DB">
            <w:pPr>
              <w:jc w:val="center"/>
            </w:pPr>
            <w:r>
              <w:rPr>
                <w:rFonts w:ascii="宋体" w:hAnsi="宋体" w:eastAsia="宋体"/>
                <w:sz w:val="24"/>
              </w:rPr>
              <w:t>项目支出绩效自评表</w:t>
            </w:r>
          </w:p>
        </w:tc>
      </w:tr>
      <w:tr w14:paraId="54B3F79F">
        <w:tblPrEx>
          <w:tblCellMar>
            <w:top w:w="0" w:type="dxa"/>
            <w:left w:w="108" w:type="dxa"/>
            <w:bottom w:w="0" w:type="dxa"/>
            <w:right w:w="108" w:type="dxa"/>
          </w:tblCellMar>
        </w:tblPrEx>
        <w:tc>
          <w:tcPr>
            <w:tcW w:w="8848" w:type="dxa"/>
            <w:gridSpan w:val="14"/>
            <w:vAlign w:val="center"/>
          </w:tcPr>
          <w:p w14:paraId="5462795A">
            <w:pPr>
              <w:jc w:val="center"/>
            </w:pPr>
            <w:r>
              <w:rPr>
                <w:rFonts w:ascii="宋体" w:hAnsi="宋体" w:eastAsia="宋体"/>
                <w:sz w:val="24"/>
              </w:rPr>
              <w:t>(2024年度)</w:t>
            </w:r>
          </w:p>
        </w:tc>
      </w:tr>
      <w:tr w14:paraId="77C0AC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DA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67DE28">
            <w:pPr>
              <w:jc w:val="center"/>
            </w:pPr>
            <w:r>
              <w:rPr>
                <w:rFonts w:ascii="宋体" w:hAnsi="宋体" w:eastAsia="宋体"/>
                <w:sz w:val="16"/>
              </w:rPr>
              <w:t>G315线托帕至吐尔尕特口岸公路项目建设管理经费</w:t>
            </w:r>
          </w:p>
        </w:tc>
      </w:tr>
      <w:tr w14:paraId="42CE2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7D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25825">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208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C0738">
            <w:pPr>
              <w:jc w:val="center"/>
            </w:pPr>
            <w:r>
              <w:rPr>
                <w:rFonts w:ascii="宋体" w:hAnsi="宋体" w:eastAsia="宋体"/>
                <w:sz w:val="16"/>
              </w:rPr>
              <w:t>克孜勒苏柯尔克孜自治州交通运输局</w:t>
            </w:r>
          </w:p>
        </w:tc>
      </w:tr>
      <w:tr w14:paraId="656DE9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1C3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F54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C8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5FB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258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E5A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E1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144F">
            <w:pPr>
              <w:jc w:val="center"/>
            </w:pPr>
            <w:r>
              <w:rPr>
                <w:rFonts w:ascii="宋体" w:hAnsi="宋体" w:eastAsia="宋体"/>
                <w:sz w:val="16"/>
              </w:rPr>
              <w:t>得分</w:t>
            </w:r>
          </w:p>
        </w:tc>
      </w:tr>
      <w:tr w14:paraId="2ADE9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0BA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619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2E95">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C510">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3F13">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FEB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FDD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A4C1">
            <w:pPr>
              <w:jc w:val="center"/>
            </w:pPr>
            <w:r>
              <w:rPr>
                <w:rFonts w:ascii="宋体" w:hAnsi="宋体" w:eastAsia="宋体"/>
                <w:sz w:val="16"/>
              </w:rPr>
              <w:t>10.00分</w:t>
            </w:r>
          </w:p>
        </w:tc>
      </w:tr>
      <w:tr w14:paraId="4ED9F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C19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543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1FB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E42B">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E50D">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82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B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6BE1">
            <w:pPr>
              <w:jc w:val="center"/>
            </w:pPr>
            <w:r>
              <w:rPr>
                <w:rFonts w:ascii="宋体" w:hAnsi="宋体" w:eastAsia="宋体"/>
                <w:sz w:val="16"/>
              </w:rPr>
              <w:t>—</w:t>
            </w:r>
          </w:p>
        </w:tc>
      </w:tr>
      <w:tr w14:paraId="77A04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56D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BD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AB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FC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6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7EF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B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A395">
            <w:pPr>
              <w:jc w:val="center"/>
            </w:pPr>
            <w:r>
              <w:rPr>
                <w:rFonts w:ascii="宋体" w:hAnsi="宋体" w:eastAsia="宋体"/>
                <w:sz w:val="16"/>
              </w:rPr>
              <w:t>—</w:t>
            </w:r>
          </w:p>
        </w:tc>
      </w:tr>
      <w:tr w14:paraId="6259E9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A72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85D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4ADB5">
            <w:pPr>
              <w:jc w:val="center"/>
              <w:rPr>
                <w:rFonts w:hint="eastAsia" w:eastAsia="宋体"/>
                <w:lang w:eastAsia="zh-CN"/>
              </w:rPr>
            </w:pPr>
            <w:r>
              <w:rPr>
                <w:rFonts w:hint="eastAsia" w:ascii="宋体" w:hAnsi="宋体"/>
                <w:sz w:val="16"/>
                <w:lang w:eastAsia="zh-CN"/>
              </w:rPr>
              <w:t>实际完成情况</w:t>
            </w:r>
          </w:p>
        </w:tc>
      </w:tr>
      <w:tr w14:paraId="603FC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171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223AF">
            <w:pPr>
              <w:jc w:val="both"/>
            </w:pPr>
            <w:r>
              <w:rPr>
                <w:rFonts w:ascii="宋体" w:hAnsi="宋体" w:eastAsia="宋体"/>
                <w:sz w:val="16"/>
              </w:rPr>
              <w:t>该项目总投资2.4万元，其中：财政资金2.4万元，其他资金0万元，主要用于开展G315线托帕至吐尔尕特口岸公路项目日常管理、施工进度等相关检查指导工作经费保障。通过该项目实施确保完成G315线托帕至吐尔尕特口岸公路项目的年度计划任务，保障项目的施工进度及工程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A2A546">
            <w:pPr>
              <w:jc w:val="both"/>
            </w:pPr>
            <w:r>
              <w:rPr>
                <w:rFonts w:hint="eastAsia" w:ascii="宋体" w:hAnsi="宋体"/>
                <w:sz w:val="16"/>
                <w:lang w:eastAsia="zh-CN"/>
              </w:rPr>
              <w:t>截至</w:t>
            </w:r>
            <w:r>
              <w:rPr>
                <w:rFonts w:ascii="宋体" w:hAnsi="宋体" w:eastAsia="宋体"/>
                <w:sz w:val="16"/>
              </w:rPr>
              <w:t>2024年12月31日，已完成资金支付2.4万元。G315线托帕至吐尔尕特口岸公路项目于2024年3月复工建设，有序开展路基、桥梁、涵洞、隧道等工程施工，2024年度累计完成固定资产投资20.04亿元，通过开展日常管理指导服务，有效保障了项目的施工进度及工程质量。</w:t>
            </w:r>
          </w:p>
        </w:tc>
      </w:tr>
      <w:tr w14:paraId="775918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13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0A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8D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EBE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2E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2A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FB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33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3C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63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C4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9F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88B31">
            <w:pPr>
              <w:jc w:val="center"/>
            </w:pPr>
            <w:r>
              <w:rPr>
                <w:rFonts w:ascii="宋体" w:hAnsi="宋体" w:eastAsia="宋体"/>
                <w:sz w:val="16"/>
              </w:rPr>
              <w:t>偏差原因分析及改进措施</w:t>
            </w:r>
          </w:p>
        </w:tc>
      </w:tr>
      <w:tr w14:paraId="728FD0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B30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DEC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EC0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6283">
            <w:pPr>
              <w:jc w:val="center"/>
            </w:pPr>
            <w:r>
              <w:rPr>
                <w:rFonts w:ascii="宋体" w:hAnsi="宋体" w:eastAsia="宋体"/>
                <w:sz w:val="16"/>
              </w:rPr>
              <w:t>保障出行车辆(辆）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3B92">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4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E1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65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5B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F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405F">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BE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5DB5B">
            <w:pPr>
              <w:jc w:val="center"/>
            </w:pPr>
          </w:p>
        </w:tc>
      </w:tr>
      <w:tr w14:paraId="564E9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B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0F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2C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A257">
            <w:pPr>
              <w:jc w:val="center"/>
            </w:pPr>
            <w:r>
              <w:rPr>
                <w:rFonts w:ascii="宋体" w:hAnsi="宋体" w:eastAsia="宋体"/>
                <w:sz w:val="16"/>
              </w:rPr>
              <w:t>开展项目督促检查指导次数（次）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C8E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CD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30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E6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2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5C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EE4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6B5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B5E99">
            <w:pPr>
              <w:jc w:val="center"/>
            </w:pPr>
          </w:p>
        </w:tc>
      </w:tr>
      <w:tr w14:paraId="18E8E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27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0A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3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97BD">
            <w:pPr>
              <w:jc w:val="center"/>
            </w:pPr>
            <w:r>
              <w:rPr>
                <w:rFonts w:ascii="宋体" w:hAnsi="宋体" w:eastAsia="宋体"/>
                <w:sz w:val="16"/>
              </w:rPr>
              <w:t>开展项目检查工作、调研人次（次）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B665">
            <w:pPr>
              <w:jc w:val="center"/>
            </w:pPr>
            <w:r>
              <w:rPr>
                <w:rFonts w:ascii="宋体" w:hAnsi="宋体" w:eastAsia="宋体"/>
                <w:sz w:val="16"/>
              </w:rPr>
              <w:t>&gt;=18次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C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8D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B2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4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0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9FF8">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30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E967E">
            <w:pPr>
              <w:jc w:val="center"/>
            </w:pPr>
          </w:p>
        </w:tc>
      </w:tr>
      <w:tr w14:paraId="72446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D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E6C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67F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8992">
            <w:pPr>
              <w:jc w:val="center"/>
            </w:pPr>
            <w:r>
              <w:rPr>
                <w:rFonts w:ascii="宋体" w:hAnsi="宋体" w:eastAsia="宋体"/>
                <w:sz w:val="16"/>
              </w:rPr>
              <w:t>项目检查完成率（%）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AA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0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7F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EE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5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A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32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04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506C8">
            <w:pPr>
              <w:jc w:val="center"/>
            </w:pPr>
          </w:p>
        </w:tc>
      </w:tr>
      <w:tr w14:paraId="67247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58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2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6C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9B3F">
            <w:pPr>
              <w:jc w:val="center"/>
            </w:pPr>
            <w:r>
              <w:rPr>
                <w:rFonts w:ascii="宋体" w:hAnsi="宋体" w:eastAsia="宋体"/>
                <w:sz w:val="16"/>
              </w:rPr>
              <w:t>检查出勤率（%）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5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C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37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4A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F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0F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4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BC6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5248">
            <w:pPr>
              <w:jc w:val="center"/>
            </w:pPr>
          </w:p>
        </w:tc>
      </w:tr>
      <w:tr w14:paraId="02085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F2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369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79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777A">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A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6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87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F3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0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1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B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661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0A81B">
            <w:pPr>
              <w:jc w:val="center"/>
            </w:pPr>
          </w:p>
        </w:tc>
      </w:tr>
      <w:tr w14:paraId="2C70A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7B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6AC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927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ECA2">
            <w:pPr>
              <w:jc w:val="center"/>
            </w:pPr>
            <w:r>
              <w:rPr>
                <w:rFonts w:ascii="宋体" w:hAnsi="宋体" w:eastAsia="宋体"/>
                <w:sz w:val="16"/>
              </w:rPr>
              <w:t>公务用车经费（万元）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3C82">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99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A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07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9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F5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804">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F5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2C96">
            <w:pPr>
              <w:jc w:val="center"/>
            </w:pPr>
          </w:p>
        </w:tc>
      </w:tr>
      <w:tr w14:paraId="16A6C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A6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65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7E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8412">
            <w:pPr>
              <w:jc w:val="center"/>
            </w:pPr>
            <w:r>
              <w:rPr>
                <w:rFonts w:ascii="宋体" w:hAnsi="宋体" w:eastAsia="宋体"/>
                <w:sz w:val="16"/>
              </w:rPr>
              <w:t>督促检查经费（万元）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5DF9">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9A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9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4E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F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33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9450">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67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DB8E">
            <w:pPr>
              <w:jc w:val="center"/>
            </w:pPr>
          </w:p>
        </w:tc>
      </w:tr>
      <w:tr w14:paraId="6DC09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AED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FB1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BFD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AAB1">
            <w:pPr>
              <w:jc w:val="center"/>
            </w:pPr>
            <w:r>
              <w:rPr>
                <w:rFonts w:hint="eastAsia" w:ascii="宋体" w:hAnsi="宋体"/>
                <w:sz w:val="16"/>
                <w:lang w:eastAsia="zh-CN"/>
              </w:rPr>
              <w:t>促进</w:t>
            </w:r>
            <w:r>
              <w:rPr>
                <w:rFonts w:ascii="宋体" w:hAnsi="宋体" w:eastAsia="宋体"/>
                <w:sz w:val="16"/>
              </w:rPr>
              <w:t>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923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9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0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9C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58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C4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FAD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5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91827">
            <w:pPr>
              <w:jc w:val="center"/>
            </w:pPr>
          </w:p>
        </w:tc>
      </w:tr>
      <w:tr w14:paraId="7D87E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7D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9D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45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2AEB">
            <w:pPr>
              <w:jc w:val="center"/>
            </w:pPr>
            <w:r>
              <w:rPr>
                <w:rFonts w:ascii="宋体" w:hAnsi="宋体" w:eastAsia="宋体"/>
                <w:sz w:val="16"/>
              </w:rPr>
              <w:t>保障工作开展需要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251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0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E6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8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1C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47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4A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2E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F382B">
            <w:pPr>
              <w:jc w:val="center"/>
            </w:pPr>
          </w:p>
        </w:tc>
      </w:tr>
      <w:tr w14:paraId="372BF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FF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7F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95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77F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4E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8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66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73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0E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7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44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7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E294E">
            <w:pPr>
              <w:jc w:val="center"/>
            </w:pPr>
          </w:p>
        </w:tc>
      </w:tr>
      <w:tr w14:paraId="258B3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E2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A9E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E0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5D027">
            <w:pPr>
              <w:jc w:val="center"/>
            </w:pPr>
            <w:r>
              <w:rPr>
                <w:rFonts w:ascii="宋体" w:hAnsi="宋体" w:eastAsia="宋体"/>
                <w:sz w:val="16"/>
              </w:rPr>
              <w:t>100分</w:t>
            </w:r>
          </w:p>
        </w:tc>
      </w:tr>
    </w:tbl>
    <w:p w14:paraId="2160383B">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05931FE4">
        <w:tblPrEx>
          <w:tblCellMar>
            <w:top w:w="0" w:type="dxa"/>
            <w:left w:w="108" w:type="dxa"/>
            <w:bottom w:w="0" w:type="dxa"/>
            <w:right w:w="108" w:type="dxa"/>
          </w:tblCellMar>
        </w:tblPrEx>
        <w:tc>
          <w:tcPr>
            <w:tcW w:w="8848" w:type="dxa"/>
            <w:gridSpan w:val="14"/>
            <w:vAlign w:val="center"/>
          </w:tcPr>
          <w:p w14:paraId="687FFF64">
            <w:pPr>
              <w:jc w:val="center"/>
            </w:pPr>
            <w:r>
              <w:rPr>
                <w:rFonts w:ascii="宋体" w:hAnsi="宋体" w:eastAsia="宋体"/>
                <w:sz w:val="24"/>
              </w:rPr>
              <w:t>项目支出绩效自评表</w:t>
            </w:r>
          </w:p>
        </w:tc>
      </w:tr>
      <w:tr w14:paraId="7CA897D2">
        <w:tblPrEx>
          <w:tblCellMar>
            <w:top w:w="0" w:type="dxa"/>
            <w:left w:w="108" w:type="dxa"/>
            <w:bottom w:w="0" w:type="dxa"/>
            <w:right w:w="108" w:type="dxa"/>
          </w:tblCellMar>
        </w:tblPrEx>
        <w:tc>
          <w:tcPr>
            <w:tcW w:w="8848" w:type="dxa"/>
            <w:gridSpan w:val="14"/>
            <w:vAlign w:val="center"/>
          </w:tcPr>
          <w:p w14:paraId="5B48B6B0">
            <w:pPr>
              <w:jc w:val="center"/>
            </w:pPr>
            <w:r>
              <w:rPr>
                <w:rFonts w:ascii="宋体" w:hAnsi="宋体" w:eastAsia="宋体"/>
                <w:sz w:val="24"/>
              </w:rPr>
              <w:t>(2024年度)</w:t>
            </w:r>
          </w:p>
        </w:tc>
      </w:tr>
      <w:tr w14:paraId="5A871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F0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48DE99">
            <w:pPr>
              <w:jc w:val="center"/>
            </w:pPr>
            <w:r>
              <w:rPr>
                <w:rFonts w:ascii="宋体" w:hAnsi="宋体" w:eastAsia="宋体"/>
                <w:sz w:val="16"/>
              </w:rPr>
              <w:t>克州交通运输2023年单位其他资金结转结余</w:t>
            </w:r>
          </w:p>
        </w:tc>
      </w:tr>
      <w:tr w14:paraId="1182F5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57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CF3B4">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7B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B79745">
            <w:pPr>
              <w:jc w:val="center"/>
            </w:pPr>
            <w:r>
              <w:rPr>
                <w:rFonts w:ascii="宋体" w:hAnsi="宋体" w:eastAsia="宋体"/>
                <w:sz w:val="16"/>
              </w:rPr>
              <w:t>克孜勒苏柯尔克孜自治州交通运输局</w:t>
            </w:r>
          </w:p>
        </w:tc>
      </w:tr>
      <w:tr w14:paraId="63E1BB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92A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EE2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69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B37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44E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1C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43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8AF">
            <w:pPr>
              <w:jc w:val="center"/>
            </w:pPr>
            <w:r>
              <w:rPr>
                <w:rFonts w:ascii="宋体" w:hAnsi="宋体" w:eastAsia="宋体"/>
                <w:sz w:val="16"/>
              </w:rPr>
              <w:t>得分</w:t>
            </w:r>
          </w:p>
        </w:tc>
      </w:tr>
      <w:tr w14:paraId="2F1CEA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3B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30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FA5C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13D31">
            <w:pPr>
              <w:jc w:val="center"/>
            </w:pPr>
            <w:r>
              <w:rPr>
                <w:rFonts w:ascii="宋体" w:hAnsi="宋体" w:eastAsia="宋体"/>
                <w:sz w:val="16"/>
              </w:rPr>
              <w:t>37.38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5BB0">
            <w:pPr>
              <w:jc w:val="center"/>
            </w:pPr>
            <w:r>
              <w:rPr>
                <w:rFonts w:ascii="宋体" w:hAnsi="宋体" w:eastAsia="宋体"/>
                <w:sz w:val="16"/>
              </w:rPr>
              <w:t>32.57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9D2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8396D">
            <w:pPr>
              <w:jc w:val="center"/>
            </w:pPr>
            <w:r>
              <w:rPr>
                <w:rFonts w:ascii="宋体" w:hAnsi="宋体" w:eastAsia="宋体"/>
                <w:sz w:val="16"/>
              </w:rPr>
              <w:t>87.1%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AC43">
            <w:pPr>
              <w:jc w:val="center"/>
            </w:pPr>
            <w:r>
              <w:rPr>
                <w:rFonts w:ascii="宋体" w:hAnsi="宋体" w:eastAsia="宋体"/>
                <w:sz w:val="16"/>
              </w:rPr>
              <w:t>6.78分</w:t>
            </w:r>
          </w:p>
        </w:tc>
      </w:tr>
      <w:tr w14:paraId="53E91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24D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CFA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E89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EA8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6C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37C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7E8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D60E">
            <w:pPr>
              <w:jc w:val="center"/>
            </w:pPr>
            <w:r>
              <w:rPr>
                <w:rFonts w:ascii="宋体" w:hAnsi="宋体" w:eastAsia="宋体"/>
                <w:sz w:val="16"/>
              </w:rPr>
              <w:t>—</w:t>
            </w:r>
          </w:p>
        </w:tc>
      </w:tr>
      <w:tr w14:paraId="083BF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D1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48C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5582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2EEEF">
            <w:pPr>
              <w:jc w:val="center"/>
            </w:pPr>
            <w:r>
              <w:rPr>
                <w:rFonts w:ascii="宋体" w:hAnsi="宋体" w:eastAsia="宋体"/>
                <w:sz w:val="16"/>
              </w:rPr>
              <w:t>37.38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151B">
            <w:pPr>
              <w:jc w:val="center"/>
            </w:pPr>
            <w:r>
              <w:rPr>
                <w:rFonts w:ascii="宋体" w:hAnsi="宋体" w:eastAsia="宋体"/>
                <w:sz w:val="16"/>
              </w:rPr>
              <w:t>32.57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1F8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2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49B2">
            <w:pPr>
              <w:jc w:val="center"/>
            </w:pPr>
            <w:r>
              <w:rPr>
                <w:rFonts w:ascii="宋体" w:hAnsi="宋体" w:eastAsia="宋体"/>
                <w:sz w:val="16"/>
              </w:rPr>
              <w:t>—</w:t>
            </w:r>
          </w:p>
        </w:tc>
      </w:tr>
      <w:tr w14:paraId="1B367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91EB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05D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5139C">
            <w:pPr>
              <w:jc w:val="center"/>
              <w:rPr>
                <w:rFonts w:hint="eastAsia" w:eastAsia="宋体"/>
                <w:lang w:eastAsia="zh-CN"/>
              </w:rPr>
            </w:pPr>
            <w:r>
              <w:rPr>
                <w:rFonts w:hint="eastAsia" w:ascii="宋体" w:hAnsi="宋体"/>
                <w:sz w:val="16"/>
                <w:lang w:eastAsia="zh-CN"/>
              </w:rPr>
              <w:t>实际完成情况</w:t>
            </w:r>
          </w:p>
        </w:tc>
      </w:tr>
      <w:tr w14:paraId="4286A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3BE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0407D">
            <w:pPr>
              <w:jc w:val="both"/>
            </w:pPr>
            <w:r>
              <w:rPr>
                <w:rFonts w:ascii="宋体" w:hAnsi="宋体" w:eastAsia="宋体"/>
                <w:sz w:val="16"/>
              </w:rPr>
              <w:t>该项目总投资37.38万元，其中：财政资金0万元，其他资金37.38万元。主要用于开展业务工作经费保障。通过该项目实施加强交通运输安全管理，推进交通项目建设，保障道路运输安全畅通，做好州党委、州人民政府交办的各项工作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5E667">
            <w:pPr>
              <w:jc w:val="both"/>
            </w:pPr>
            <w:r>
              <w:rPr>
                <w:rFonts w:ascii="宋体" w:hAnsi="宋体" w:eastAsia="宋体"/>
                <w:sz w:val="16"/>
              </w:rPr>
              <w:t>截至2024年12月31日，该项目支出32.57万元，主要用于保障工作人员赴自治区对接项目，进行行业审查，赴各县市、企业开展指导工作。通过该项目实施确保2024年交通基础设施建设稳步推进，提升交通运输安全管理水平，改善工作环境，全面完成州党委、州人民政府交办的各项工作任务。</w:t>
            </w:r>
          </w:p>
        </w:tc>
      </w:tr>
      <w:tr w14:paraId="1BEF39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BF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50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C2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15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34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CD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5B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C08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5A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CAE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3B7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160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5D5C4">
            <w:pPr>
              <w:jc w:val="center"/>
            </w:pPr>
            <w:r>
              <w:rPr>
                <w:rFonts w:ascii="宋体" w:hAnsi="宋体" w:eastAsia="宋体"/>
                <w:sz w:val="16"/>
              </w:rPr>
              <w:t>偏差原因分析及改进措施</w:t>
            </w:r>
          </w:p>
        </w:tc>
      </w:tr>
      <w:tr w14:paraId="71452E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76A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46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610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D779">
            <w:pPr>
              <w:jc w:val="center"/>
            </w:pPr>
            <w:r>
              <w:rPr>
                <w:rFonts w:ascii="宋体" w:hAnsi="宋体" w:eastAsia="宋体"/>
                <w:sz w:val="16"/>
              </w:rPr>
              <w:t>保障工作人员数量（人次）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D86A">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3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14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CA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7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D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BA29">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47D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B9E39">
            <w:pPr>
              <w:jc w:val="center"/>
            </w:pPr>
          </w:p>
        </w:tc>
      </w:tr>
      <w:tr w14:paraId="6A784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F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DA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8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4C0E">
            <w:pPr>
              <w:jc w:val="center"/>
            </w:pPr>
            <w:r>
              <w:rPr>
                <w:rFonts w:ascii="宋体" w:hAnsi="宋体" w:eastAsia="宋体"/>
                <w:sz w:val="16"/>
              </w:rPr>
              <w:t>督促指导协调次数（次）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13E6">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3C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7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A9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E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C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F53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EC5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F0182">
            <w:pPr>
              <w:jc w:val="center"/>
            </w:pPr>
          </w:p>
        </w:tc>
      </w:tr>
      <w:tr w14:paraId="66F49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45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174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575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771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4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7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D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49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8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B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B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B32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F7F3F">
            <w:pPr>
              <w:jc w:val="center"/>
            </w:pPr>
          </w:p>
        </w:tc>
      </w:tr>
      <w:tr w14:paraId="29B6E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A89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E7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12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26B7">
            <w:pPr>
              <w:jc w:val="center"/>
            </w:pPr>
            <w:r>
              <w:rPr>
                <w:rFonts w:ascii="宋体" w:hAnsi="宋体" w:eastAsia="宋体"/>
                <w:sz w:val="16"/>
              </w:rPr>
              <w:t>交通基础设施建设工程质量合格率（%）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8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A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25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15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2A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3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9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4A7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A013">
            <w:pPr>
              <w:jc w:val="center"/>
            </w:pPr>
          </w:p>
        </w:tc>
      </w:tr>
      <w:tr w14:paraId="12C16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2E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28A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19E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AC5C">
            <w:pPr>
              <w:jc w:val="center"/>
            </w:pPr>
            <w:r>
              <w:rPr>
                <w:rFonts w:ascii="宋体" w:hAnsi="宋体" w:eastAsia="宋体"/>
                <w:sz w:val="16"/>
              </w:rPr>
              <w:t>重点工作完成时效（%）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1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33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0A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03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1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C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2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480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EEEF7">
            <w:pPr>
              <w:jc w:val="center"/>
            </w:pPr>
          </w:p>
        </w:tc>
      </w:tr>
      <w:tr w14:paraId="3135A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9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FC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55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5655">
            <w:pPr>
              <w:jc w:val="center"/>
            </w:pPr>
            <w:r>
              <w:rPr>
                <w:rFonts w:ascii="宋体" w:hAnsi="宋体" w:eastAsia="宋体"/>
                <w:sz w:val="16"/>
              </w:rPr>
              <w:t>工作经费支出及时率（%）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8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D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C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BC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0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F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7B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C343C">
            <w:pPr>
              <w:jc w:val="center"/>
            </w:pPr>
          </w:p>
        </w:tc>
      </w:tr>
      <w:tr w14:paraId="11461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A35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523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47A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0F9E">
            <w:pPr>
              <w:jc w:val="center"/>
            </w:pPr>
            <w:r>
              <w:rPr>
                <w:rFonts w:ascii="宋体" w:hAnsi="宋体" w:eastAsia="宋体"/>
                <w:sz w:val="16"/>
              </w:rPr>
              <w:t>保障工作开展经费(万元）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72D2">
            <w:pPr>
              <w:jc w:val="center"/>
            </w:pPr>
            <w:r>
              <w:rPr>
                <w:rFonts w:ascii="宋体" w:hAnsi="宋体" w:eastAsia="宋体"/>
                <w:sz w:val="16"/>
              </w:rPr>
              <w:t>&lt;=8.1万元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B1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A1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22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3C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5A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C292">
            <w:pPr>
              <w:jc w:val="center"/>
            </w:pPr>
            <w:r>
              <w:rPr>
                <w:rFonts w:ascii="宋体" w:hAnsi="宋体" w:eastAsia="宋体"/>
                <w:sz w:val="16"/>
              </w:rPr>
              <w: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05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FEDF">
            <w:pPr>
              <w:jc w:val="center"/>
            </w:pPr>
          </w:p>
        </w:tc>
      </w:tr>
      <w:tr w14:paraId="560C6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12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06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90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ED47">
            <w:pPr>
              <w:jc w:val="center"/>
            </w:pPr>
            <w:r>
              <w:rPr>
                <w:rFonts w:ascii="宋体" w:hAnsi="宋体" w:eastAsia="宋体"/>
                <w:sz w:val="16"/>
              </w:rPr>
              <w:t>制作费和办公设备购置（万元）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5F6F">
            <w:pPr>
              <w:jc w:val="center"/>
            </w:pPr>
            <w:r>
              <w:rPr>
                <w:rFonts w:ascii="宋体" w:hAnsi="宋体" w:eastAsia="宋体"/>
                <w:sz w:val="16"/>
              </w:rPr>
              <w:t>&lt;=8.5万元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86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D9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20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9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AA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036F">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BF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68680">
            <w:pPr>
              <w:jc w:val="center"/>
            </w:pPr>
          </w:p>
        </w:tc>
      </w:tr>
      <w:tr w14:paraId="7502A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F0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39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FB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C16D">
            <w:pPr>
              <w:jc w:val="center"/>
            </w:pPr>
            <w:r>
              <w:rPr>
                <w:rFonts w:ascii="宋体" w:hAnsi="宋体" w:eastAsia="宋体"/>
                <w:sz w:val="16"/>
              </w:rPr>
              <w:t>参加业务开展和项目评审等经费（万元）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10BD">
            <w:pPr>
              <w:jc w:val="center"/>
            </w:pPr>
            <w:r>
              <w:rPr>
                <w:rFonts w:ascii="宋体" w:hAnsi="宋体" w:eastAsia="宋体"/>
                <w:sz w:val="16"/>
              </w:rPr>
              <w:t>&lt;=20.78万元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74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2D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93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B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2C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92B0">
            <w:pPr>
              <w:jc w:val="center"/>
            </w:pPr>
            <w:r>
              <w:rPr>
                <w:rFonts w:ascii="宋体" w:hAnsi="宋体" w:eastAsia="宋体"/>
                <w:sz w:val="16"/>
              </w:rPr>
              <w:t>=15.97万元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E208">
            <w:pPr>
              <w:jc w:val="center"/>
            </w:pPr>
            <w:r>
              <w:rPr>
                <w:rFonts w:ascii="宋体" w:hAnsi="宋体" w:eastAsia="宋体"/>
                <w:sz w:val="16"/>
              </w:rPr>
              <w:t>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1B9B4">
            <w:pPr>
              <w:jc w:val="center"/>
            </w:pPr>
            <w:r>
              <w:rPr>
                <w:rFonts w:ascii="宋体" w:hAnsi="宋体" w:eastAsia="宋体"/>
                <w:sz w:val="16"/>
              </w:rPr>
              <w:t>偏差原因：该项目实报实销，按照实际情况支出。改进措施：加强预算编制，严格执行预算。</w:t>
            </w:r>
          </w:p>
        </w:tc>
      </w:tr>
      <w:tr w14:paraId="3BC7E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0CE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16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77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EAA8">
            <w:pPr>
              <w:jc w:val="center"/>
            </w:pPr>
            <w:r>
              <w:rPr>
                <w:rFonts w:ascii="宋体" w:hAnsi="宋体" w:eastAsia="宋体"/>
                <w:sz w:val="16"/>
              </w:rPr>
              <w:t>提高交通运输管理水平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72B7">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C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E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D2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0A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C8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F067">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E0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00FE">
            <w:pPr>
              <w:jc w:val="center"/>
            </w:pPr>
          </w:p>
        </w:tc>
      </w:tr>
      <w:tr w14:paraId="55DB7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48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52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44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CC3C">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39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7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E2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F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5F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6F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47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69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52E5">
            <w:pPr>
              <w:jc w:val="center"/>
            </w:pPr>
          </w:p>
        </w:tc>
      </w:tr>
      <w:tr w14:paraId="5DD4C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25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53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3E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5D004">
            <w:pPr>
              <w:jc w:val="center"/>
            </w:pPr>
            <w:r>
              <w:rPr>
                <w:rFonts w:ascii="宋体" w:hAnsi="宋体" w:eastAsia="宋体"/>
                <w:sz w:val="16"/>
              </w:rPr>
              <w:t>92.73分</w:t>
            </w:r>
          </w:p>
        </w:tc>
      </w:tr>
    </w:tbl>
    <w:p w14:paraId="1B9B9B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EAAF182">
        <w:tblPrEx>
          <w:tblCellMar>
            <w:top w:w="0" w:type="dxa"/>
            <w:left w:w="108" w:type="dxa"/>
            <w:bottom w:w="0" w:type="dxa"/>
            <w:right w:w="108" w:type="dxa"/>
          </w:tblCellMar>
        </w:tblPrEx>
        <w:tc>
          <w:tcPr>
            <w:tcW w:w="8848" w:type="dxa"/>
            <w:gridSpan w:val="14"/>
            <w:vAlign w:val="center"/>
          </w:tcPr>
          <w:p w14:paraId="5834B9A0">
            <w:pPr>
              <w:jc w:val="center"/>
            </w:pPr>
            <w:r>
              <w:rPr>
                <w:rFonts w:ascii="宋体" w:hAnsi="宋体" w:eastAsia="宋体"/>
                <w:sz w:val="24"/>
              </w:rPr>
              <w:t>项目支出绩效自评表</w:t>
            </w:r>
          </w:p>
        </w:tc>
      </w:tr>
      <w:tr w14:paraId="7E282F54">
        <w:tblPrEx>
          <w:tblCellMar>
            <w:top w:w="0" w:type="dxa"/>
            <w:left w:w="108" w:type="dxa"/>
            <w:bottom w:w="0" w:type="dxa"/>
            <w:right w:w="108" w:type="dxa"/>
          </w:tblCellMar>
        </w:tblPrEx>
        <w:tc>
          <w:tcPr>
            <w:tcW w:w="8848" w:type="dxa"/>
            <w:gridSpan w:val="14"/>
            <w:vAlign w:val="center"/>
          </w:tcPr>
          <w:p w14:paraId="5DBE1604">
            <w:pPr>
              <w:jc w:val="center"/>
            </w:pPr>
            <w:r>
              <w:rPr>
                <w:rFonts w:ascii="宋体" w:hAnsi="宋体" w:eastAsia="宋体"/>
                <w:sz w:val="24"/>
              </w:rPr>
              <w:t>(2024年度)</w:t>
            </w:r>
          </w:p>
        </w:tc>
      </w:tr>
      <w:tr w14:paraId="1630C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DA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23A85A">
            <w:pPr>
              <w:jc w:val="center"/>
            </w:pPr>
            <w:r>
              <w:rPr>
                <w:rFonts w:ascii="宋体" w:hAnsi="宋体" w:eastAsia="宋体"/>
                <w:sz w:val="16"/>
              </w:rPr>
              <w:t>克州重点项目前期费（交通）</w:t>
            </w:r>
          </w:p>
        </w:tc>
      </w:tr>
      <w:tr w14:paraId="5A2180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ED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4845D">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7E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28545">
            <w:pPr>
              <w:jc w:val="center"/>
            </w:pPr>
            <w:r>
              <w:rPr>
                <w:rFonts w:ascii="宋体" w:hAnsi="宋体" w:eastAsia="宋体"/>
                <w:sz w:val="16"/>
              </w:rPr>
              <w:t>克孜勒苏柯尔克孜自治州交通运输局</w:t>
            </w:r>
          </w:p>
        </w:tc>
      </w:tr>
      <w:tr w14:paraId="71B4E2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ADE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335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070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1EA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793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BB7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E0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CC38">
            <w:pPr>
              <w:jc w:val="center"/>
            </w:pPr>
            <w:r>
              <w:rPr>
                <w:rFonts w:ascii="宋体" w:hAnsi="宋体" w:eastAsia="宋体"/>
                <w:sz w:val="16"/>
              </w:rPr>
              <w:t>得分</w:t>
            </w:r>
          </w:p>
        </w:tc>
      </w:tr>
      <w:tr w14:paraId="3168B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D0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EAC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226D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0E77">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00E1">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B1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3C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D183">
            <w:pPr>
              <w:jc w:val="center"/>
            </w:pPr>
            <w:r>
              <w:rPr>
                <w:rFonts w:ascii="宋体" w:hAnsi="宋体" w:eastAsia="宋体"/>
                <w:sz w:val="16"/>
              </w:rPr>
              <w:t>10.00分</w:t>
            </w:r>
          </w:p>
        </w:tc>
      </w:tr>
      <w:tr w14:paraId="143EB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7E3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945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B9DA">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532C2">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2BB6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8AE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04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383">
            <w:pPr>
              <w:jc w:val="center"/>
            </w:pPr>
            <w:r>
              <w:rPr>
                <w:rFonts w:ascii="宋体" w:hAnsi="宋体" w:eastAsia="宋体"/>
                <w:sz w:val="16"/>
              </w:rPr>
              <w:t>—</w:t>
            </w:r>
          </w:p>
        </w:tc>
      </w:tr>
      <w:tr w14:paraId="22A58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9FE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DB4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17A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E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22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D4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4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61CB">
            <w:pPr>
              <w:jc w:val="center"/>
            </w:pPr>
            <w:r>
              <w:rPr>
                <w:rFonts w:ascii="宋体" w:hAnsi="宋体" w:eastAsia="宋体"/>
                <w:sz w:val="16"/>
              </w:rPr>
              <w:t>—</w:t>
            </w:r>
          </w:p>
        </w:tc>
      </w:tr>
      <w:tr w14:paraId="75CE50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C5A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DA60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529A69">
            <w:pPr>
              <w:jc w:val="center"/>
              <w:rPr>
                <w:rFonts w:hint="eastAsia" w:eastAsia="宋体"/>
                <w:lang w:eastAsia="zh-CN"/>
              </w:rPr>
            </w:pPr>
            <w:r>
              <w:rPr>
                <w:rFonts w:hint="eastAsia" w:ascii="宋体" w:hAnsi="宋体"/>
                <w:sz w:val="16"/>
                <w:lang w:eastAsia="zh-CN"/>
              </w:rPr>
              <w:t>实际完成情况</w:t>
            </w:r>
          </w:p>
        </w:tc>
      </w:tr>
      <w:tr w14:paraId="04E37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7C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0A101">
            <w:pPr>
              <w:jc w:val="both"/>
            </w:pPr>
            <w:r>
              <w:rPr>
                <w:rFonts w:ascii="宋体" w:hAnsi="宋体" w:eastAsia="宋体"/>
                <w:sz w:val="16"/>
              </w:rPr>
              <w:t>该项目总投资80万元，其中财政资金80万元，其他资金0万元。主要用于S227 阿图什市至喀什公路新建工程、S209线乌鲁克恰提乡至穆呼至木吉乡公路项目前期编制可研报告、初步设计等补助资金，积极推进交通基础设施项目前期工作，促使完善克州交通基础设施网络。通过该项目实施促进克州、喀什交通一体化建设，助力保障地区经济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8149D">
            <w:pPr>
              <w:jc w:val="both"/>
            </w:pPr>
            <w:r>
              <w:rPr>
                <w:rFonts w:ascii="宋体" w:hAnsi="宋体" w:eastAsia="宋体"/>
                <w:sz w:val="16"/>
              </w:rPr>
              <w:t>截至2024年12月31日，该项目支出80万元，主要用于S227阿图什市至喀什公路新建工程和S209线乌鲁克恰提乡至穆呼至木吉乡公路项目前期费。通过该项目实施完善项目初步设计文件编制、用地手续、环评等前期手续，能够加快推进项目取得立项批复，争取国家、自治区专项资金，使建设项目早日落地，完善克州交通基础设施网络。</w:t>
            </w:r>
          </w:p>
        </w:tc>
      </w:tr>
      <w:tr w14:paraId="7E73DC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B4F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71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1A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7A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0D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A7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BC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51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20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63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A5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71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C6764">
            <w:pPr>
              <w:jc w:val="center"/>
            </w:pPr>
            <w:r>
              <w:rPr>
                <w:rFonts w:ascii="宋体" w:hAnsi="宋体" w:eastAsia="宋体"/>
                <w:sz w:val="16"/>
              </w:rPr>
              <w:t>偏差原因分析及改进措施</w:t>
            </w:r>
          </w:p>
        </w:tc>
      </w:tr>
      <w:tr w14:paraId="012E7E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B7C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D21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BD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444A">
            <w:pPr>
              <w:jc w:val="center"/>
            </w:pPr>
            <w:r>
              <w:rPr>
                <w:rFonts w:ascii="宋体" w:hAnsi="宋体" w:eastAsia="宋体"/>
                <w:sz w:val="16"/>
              </w:rPr>
              <w:t>支持公路项目个数（个）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2EE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FB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1C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22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A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C5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404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03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D5301">
            <w:pPr>
              <w:jc w:val="center"/>
            </w:pPr>
          </w:p>
        </w:tc>
      </w:tr>
      <w:tr w14:paraId="51205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80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7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4A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A0E5">
            <w:pPr>
              <w:jc w:val="center"/>
            </w:pPr>
            <w:r>
              <w:rPr>
                <w:rFonts w:ascii="宋体" w:hAnsi="宋体" w:eastAsia="宋体"/>
                <w:sz w:val="16"/>
              </w:rPr>
              <w:t>项目支出符合合同约定（%）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7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D1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7D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1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0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0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CA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FBF1">
            <w:pPr>
              <w:jc w:val="center"/>
            </w:pPr>
          </w:p>
        </w:tc>
      </w:tr>
      <w:tr w14:paraId="00DBC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4C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4DB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5BF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8D79">
            <w:pPr>
              <w:jc w:val="center"/>
            </w:pPr>
            <w:r>
              <w:rPr>
                <w:rFonts w:ascii="宋体" w:hAnsi="宋体" w:eastAsia="宋体"/>
                <w:sz w:val="16"/>
              </w:rPr>
              <w:t>项目按期推进率（%）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0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4E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3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6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9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8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3E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D5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38EFA">
            <w:pPr>
              <w:jc w:val="center"/>
            </w:pPr>
          </w:p>
        </w:tc>
      </w:tr>
      <w:tr w14:paraId="3BA98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C4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AC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83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A6E5">
            <w:pPr>
              <w:jc w:val="center"/>
            </w:pPr>
            <w:r>
              <w:rPr>
                <w:rFonts w:ascii="宋体" w:hAnsi="宋体" w:eastAsia="宋体"/>
                <w:sz w:val="16"/>
              </w:rPr>
              <w:t>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DD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4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7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A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2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E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0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B0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CECA1">
            <w:pPr>
              <w:jc w:val="center"/>
            </w:pPr>
          </w:p>
        </w:tc>
      </w:tr>
      <w:tr w14:paraId="0147F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A9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AF7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1BC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AEB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1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AB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9B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C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7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F2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18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F1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5329">
            <w:pPr>
              <w:jc w:val="center"/>
            </w:pPr>
          </w:p>
        </w:tc>
      </w:tr>
      <w:tr w14:paraId="16B64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03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0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E3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4EC2">
            <w:pPr>
              <w:jc w:val="center"/>
            </w:pPr>
            <w:r>
              <w:rPr>
                <w:rFonts w:ascii="宋体" w:hAnsi="宋体" w:eastAsia="宋体"/>
                <w:sz w:val="16"/>
              </w:rPr>
              <w:t>完成支付资金额度（万元）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E6EE">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AA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5D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7B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A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5B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7F79">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6D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0D6A">
            <w:pPr>
              <w:jc w:val="center"/>
            </w:pPr>
          </w:p>
        </w:tc>
      </w:tr>
      <w:tr w14:paraId="5CA45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07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D7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609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449F">
            <w:pPr>
              <w:jc w:val="center"/>
            </w:pPr>
            <w:r>
              <w:rPr>
                <w:rFonts w:ascii="宋体" w:hAnsi="宋体" w:eastAsia="宋体"/>
                <w:sz w:val="16"/>
              </w:rPr>
              <w:t>项目符合设计标准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C241">
            <w:pPr>
              <w:jc w:val="center"/>
            </w:pPr>
            <w:r>
              <w:rPr>
                <w:rFonts w:ascii="宋体" w:hAnsi="宋体" w:eastAsia="宋体"/>
                <w:sz w:val="16"/>
              </w:rPr>
              <w:t>基本符合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7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81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E3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BC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9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D24A">
            <w:pPr>
              <w:jc w:val="center"/>
            </w:pPr>
            <w:r>
              <w:rPr>
                <w:rFonts w:ascii="宋体" w:hAnsi="宋体" w:eastAsia="宋体"/>
                <w:sz w:val="16"/>
              </w:rPr>
              <w:t>基本符合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C9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52CF6">
            <w:pPr>
              <w:jc w:val="center"/>
            </w:pPr>
          </w:p>
        </w:tc>
      </w:tr>
      <w:tr w14:paraId="3CB1A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37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4B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D2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0D7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4D4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3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7C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2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1A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C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BA6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83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7F5F">
            <w:pPr>
              <w:jc w:val="center"/>
            </w:pPr>
          </w:p>
        </w:tc>
      </w:tr>
      <w:tr w14:paraId="05321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8B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A8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48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CC0B5">
            <w:pPr>
              <w:jc w:val="center"/>
            </w:pPr>
            <w:r>
              <w:rPr>
                <w:rFonts w:ascii="宋体" w:hAnsi="宋体" w:eastAsia="宋体"/>
                <w:sz w:val="16"/>
              </w:rPr>
              <w:t>100分</w:t>
            </w:r>
          </w:p>
        </w:tc>
      </w:tr>
    </w:tbl>
    <w:p w14:paraId="6B55F01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1841255">
        <w:tblPrEx>
          <w:tblCellMar>
            <w:top w:w="0" w:type="dxa"/>
            <w:left w:w="108" w:type="dxa"/>
            <w:bottom w:w="0" w:type="dxa"/>
            <w:right w:w="108" w:type="dxa"/>
          </w:tblCellMar>
        </w:tblPrEx>
        <w:tc>
          <w:tcPr>
            <w:tcW w:w="8848" w:type="dxa"/>
            <w:gridSpan w:val="14"/>
            <w:vAlign w:val="center"/>
          </w:tcPr>
          <w:p w14:paraId="5F4D002A">
            <w:pPr>
              <w:jc w:val="center"/>
            </w:pPr>
            <w:r>
              <w:rPr>
                <w:rFonts w:ascii="宋体" w:hAnsi="宋体" w:eastAsia="宋体"/>
                <w:sz w:val="24"/>
              </w:rPr>
              <w:t>项目支出绩效自评表</w:t>
            </w:r>
          </w:p>
        </w:tc>
      </w:tr>
      <w:tr w14:paraId="098E228A">
        <w:tblPrEx>
          <w:tblCellMar>
            <w:top w:w="0" w:type="dxa"/>
            <w:left w:w="108" w:type="dxa"/>
            <w:bottom w:w="0" w:type="dxa"/>
            <w:right w:w="108" w:type="dxa"/>
          </w:tblCellMar>
        </w:tblPrEx>
        <w:tc>
          <w:tcPr>
            <w:tcW w:w="8848" w:type="dxa"/>
            <w:gridSpan w:val="14"/>
            <w:vAlign w:val="center"/>
          </w:tcPr>
          <w:p w14:paraId="74B98439">
            <w:pPr>
              <w:jc w:val="center"/>
            </w:pPr>
            <w:r>
              <w:rPr>
                <w:rFonts w:ascii="宋体" w:hAnsi="宋体" w:eastAsia="宋体"/>
                <w:sz w:val="24"/>
              </w:rPr>
              <w:t>(2024年度)</w:t>
            </w:r>
          </w:p>
        </w:tc>
      </w:tr>
      <w:tr w14:paraId="3E94F7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01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54497D">
            <w:pPr>
              <w:jc w:val="center"/>
            </w:pPr>
            <w:r>
              <w:rPr>
                <w:rFonts w:ascii="宋体" w:hAnsi="宋体" w:eastAsia="宋体"/>
                <w:sz w:val="16"/>
              </w:rPr>
              <w:t>重大公路建设项目前期费</w:t>
            </w:r>
          </w:p>
        </w:tc>
      </w:tr>
      <w:tr w14:paraId="49B3A6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67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E3D9F">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8F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D1D75">
            <w:pPr>
              <w:jc w:val="center"/>
            </w:pPr>
            <w:r>
              <w:rPr>
                <w:rFonts w:ascii="宋体" w:hAnsi="宋体" w:eastAsia="宋体"/>
                <w:sz w:val="16"/>
              </w:rPr>
              <w:t>克孜勒苏柯尔克孜自治州交通运输局</w:t>
            </w:r>
          </w:p>
        </w:tc>
      </w:tr>
      <w:tr w14:paraId="3A31BC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FA7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13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7B1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35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9B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2F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723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9460">
            <w:pPr>
              <w:jc w:val="center"/>
            </w:pPr>
            <w:r>
              <w:rPr>
                <w:rFonts w:ascii="宋体" w:hAnsi="宋体" w:eastAsia="宋体"/>
                <w:sz w:val="16"/>
              </w:rPr>
              <w:t>得分</w:t>
            </w:r>
          </w:p>
        </w:tc>
      </w:tr>
      <w:tr w14:paraId="218DB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07A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5B3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8895">
            <w:pPr>
              <w:jc w:val="center"/>
            </w:pPr>
            <w:r>
              <w:rPr>
                <w:rFonts w:ascii="宋体" w:hAnsi="宋体" w:eastAsia="宋体"/>
                <w:sz w:val="16"/>
              </w:rPr>
              <w:t>290.40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CCC2">
            <w:pPr>
              <w:jc w:val="center"/>
            </w:pPr>
            <w:r>
              <w:rPr>
                <w:rFonts w:ascii="宋体" w:hAnsi="宋体" w:eastAsia="宋体"/>
                <w:sz w:val="16"/>
              </w:rPr>
              <w:t>290.40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C6530">
            <w:pPr>
              <w:jc w:val="center"/>
            </w:pPr>
            <w:r>
              <w:rPr>
                <w:rFonts w:ascii="宋体" w:hAnsi="宋体" w:eastAsia="宋体"/>
                <w:sz w:val="16"/>
              </w:rPr>
              <w:t>290.40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89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A38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30A3">
            <w:pPr>
              <w:jc w:val="center"/>
            </w:pPr>
            <w:r>
              <w:rPr>
                <w:rFonts w:ascii="宋体" w:hAnsi="宋体" w:eastAsia="宋体"/>
                <w:sz w:val="16"/>
              </w:rPr>
              <w:t>10.00分</w:t>
            </w:r>
          </w:p>
        </w:tc>
      </w:tr>
      <w:tr w14:paraId="2914C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536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39E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8D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8B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169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22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9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017E">
            <w:pPr>
              <w:jc w:val="center"/>
            </w:pPr>
            <w:r>
              <w:rPr>
                <w:rFonts w:ascii="宋体" w:hAnsi="宋体" w:eastAsia="宋体"/>
                <w:sz w:val="16"/>
              </w:rPr>
              <w:t>—</w:t>
            </w:r>
          </w:p>
        </w:tc>
      </w:tr>
      <w:tr w14:paraId="017A9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9A8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D6A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CECD5">
            <w:pPr>
              <w:jc w:val="center"/>
            </w:pPr>
            <w:r>
              <w:rPr>
                <w:rFonts w:ascii="宋体" w:hAnsi="宋体" w:eastAsia="宋体"/>
                <w:sz w:val="16"/>
              </w:rPr>
              <w:t>290.40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B9FC8">
            <w:pPr>
              <w:jc w:val="center"/>
            </w:pPr>
            <w:r>
              <w:rPr>
                <w:rFonts w:ascii="宋体" w:hAnsi="宋体" w:eastAsia="宋体"/>
                <w:sz w:val="16"/>
              </w:rPr>
              <w:t>290.40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07B32">
            <w:pPr>
              <w:jc w:val="center"/>
            </w:pPr>
            <w:r>
              <w:rPr>
                <w:rFonts w:ascii="宋体" w:hAnsi="宋体" w:eastAsia="宋体"/>
                <w:sz w:val="16"/>
              </w:rPr>
              <w:t>290.40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9AC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8A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9867">
            <w:pPr>
              <w:jc w:val="center"/>
            </w:pPr>
            <w:r>
              <w:rPr>
                <w:rFonts w:ascii="宋体" w:hAnsi="宋体" w:eastAsia="宋体"/>
                <w:sz w:val="16"/>
              </w:rPr>
              <w:t>—</w:t>
            </w:r>
          </w:p>
        </w:tc>
      </w:tr>
      <w:tr w14:paraId="14C960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D81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46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502AB0">
            <w:pPr>
              <w:jc w:val="center"/>
              <w:rPr>
                <w:rFonts w:hint="eastAsia" w:eastAsia="宋体"/>
                <w:lang w:eastAsia="zh-CN"/>
              </w:rPr>
            </w:pPr>
            <w:r>
              <w:rPr>
                <w:rFonts w:hint="eastAsia" w:ascii="宋体" w:hAnsi="宋体"/>
                <w:sz w:val="16"/>
                <w:lang w:eastAsia="zh-CN"/>
              </w:rPr>
              <w:t>实际完成情况</w:t>
            </w:r>
          </w:p>
        </w:tc>
      </w:tr>
      <w:tr w14:paraId="37C15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83F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DCCBC">
            <w:pPr>
              <w:jc w:val="both"/>
            </w:pPr>
            <w:r>
              <w:rPr>
                <w:rFonts w:ascii="宋体" w:hAnsi="宋体" w:eastAsia="宋体"/>
                <w:sz w:val="16"/>
              </w:rPr>
              <w:t>该项目总投资290.4万元，其中财政资金0万元，其他资金290.4万元。</w:t>
            </w:r>
            <w:r>
              <w:rPr>
                <w:rFonts w:hint="eastAsia" w:ascii="宋体" w:hAnsi="宋体"/>
                <w:sz w:val="16"/>
                <w:lang w:eastAsia="zh-CN"/>
              </w:rPr>
              <w:t>主要用于</w:t>
            </w:r>
            <w:r>
              <w:rPr>
                <w:rFonts w:ascii="宋体" w:hAnsi="宋体" w:eastAsia="宋体"/>
                <w:sz w:val="16"/>
              </w:rPr>
              <w:t>重点公路工程项目的前期手续办理，积极推进交通基础设施项目前期工作，促使完善克州交通基础设施网络。通过该项目实施促进克州、喀什交通一体化建设，助力保障地区经济高质量发展的效果。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7E609">
            <w:pPr>
              <w:jc w:val="both"/>
            </w:pPr>
            <w:r>
              <w:rPr>
                <w:rFonts w:ascii="宋体" w:hAnsi="宋体" w:eastAsia="宋体"/>
                <w:sz w:val="16"/>
              </w:rPr>
              <w:t>截至2024年12月31日，该项目支出290.4万元，主要用于S209线乌鲁克恰提乡至穆呼至木吉乡公路</w:t>
            </w:r>
            <w:r>
              <w:rPr>
                <w:rFonts w:hint="eastAsia" w:ascii="宋体" w:hAnsi="宋体"/>
                <w:sz w:val="16"/>
                <w:lang w:eastAsia="zh-CN"/>
              </w:rPr>
              <w:t>项目</w:t>
            </w:r>
            <w:r>
              <w:rPr>
                <w:rFonts w:ascii="宋体" w:hAnsi="宋体" w:eastAsia="宋体"/>
                <w:sz w:val="16"/>
              </w:rPr>
              <w:t>初步设计文件编制等前期手续。通过该项目实施完善重大交通项目初步设计文件编制、用地手续、环评等前期手续，有序推进前期工作。</w:t>
            </w:r>
          </w:p>
        </w:tc>
      </w:tr>
      <w:tr w14:paraId="141A1A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6C8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B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4E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7E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D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4A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77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24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CE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C5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5F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0E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F502">
            <w:pPr>
              <w:jc w:val="center"/>
            </w:pPr>
            <w:r>
              <w:rPr>
                <w:rFonts w:ascii="宋体" w:hAnsi="宋体" w:eastAsia="宋体"/>
                <w:sz w:val="16"/>
              </w:rPr>
              <w:t>偏差原因分析及改进措施</w:t>
            </w:r>
          </w:p>
        </w:tc>
      </w:tr>
      <w:tr w14:paraId="67965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23C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4AF8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EF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7C7F">
            <w:pPr>
              <w:jc w:val="center"/>
            </w:pPr>
            <w:r>
              <w:rPr>
                <w:rFonts w:ascii="宋体" w:hAnsi="宋体" w:eastAsia="宋体"/>
                <w:sz w:val="16"/>
              </w:rPr>
              <w:t>支持项目个数（个）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F1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6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00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E9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8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D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0C3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BB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F29C1">
            <w:pPr>
              <w:jc w:val="center"/>
            </w:pPr>
          </w:p>
        </w:tc>
      </w:tr>
      <w:tr w14:paraId="68774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52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57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36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6A86">
            <w:pPr>
              <w:jc w:val="center"/>
            </w:pPr>
            <w:r>
              <w:rPr>
                <w:rFonts w:ascii="宋体" w:hAnsi="宋体" w:eastAsia="宋体"/>
                <w:sz w:val="16"/>
              </w:rPr>
              <w:t>项目支出符合合同约定（%）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0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C2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A3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61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0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D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5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10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512F7">
            <w:pPr>
              <w:jc w:val="center"/>
            </w:pPr>
          </w:p>
        </w:tc>
      </w:tr>
      <w:tr w14:paraId="3FE08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C6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C4E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3AB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49EB">
            <w:pPr>
              <w:jc w:val="center"/>
            </w:pPr>
            <w:r>
              <w:rPr>
                <w:rFonts w:ascii="宋体" w:hAnsi="宋体" w:eastAsia="宋体"/>
                <w:sz w:val="16"/>
              </w:rPr>
              <w:t>项目按期推进率（%）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F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2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20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BD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51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E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2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D2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E3BF">
            <w:pPr>
              <w:jc w:val="center"/>
            </w:pPr>
          </w:p>
        </w:tc>
      </w:tr>
      <w:tr w14:paraId="4B481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BF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12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C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C1F6">
            <w:pPr>
              <w:jc w:val="center"/>
            </w:pPr>
            <w:r>
              <w:rPr>
                <w:rFonts w:ascii="宋体" w:hAnsi="宋体" w:eastAsia="宋体"/>
                <w:sz w:val="16"/>
              </w:rPr>
              <w:t>项目达标率（%）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1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5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06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2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8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5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F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4D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8210">
            <w:pPr>
              <w:jc w:val="center"/>
            </w:pPr>
          </w:p>
        </w:tc>
      </w:tr>
      <w:tr w14:paraId="72328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E40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C27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B9E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8A1A">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4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52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ED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0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1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0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4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B5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FD569">
            <w:pPr>
              <w:jc w:val="center"/>
            </w:pPr>
          </w:p>
        </w:tc>
      </w:tr>
      <w:tr w14:paraId="5F90A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ED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BD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D4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A49B">
            <w:pPr>
              <w:jc w:val="center"/>
            </w:pPr>
            <w:r>
              <w:rPr>
                <w:rFonts w:ascii="宋体" w:hAnsi="宋体" w:eastAsia="宋体"/>
                <w:sz w:val="16"/>
              </w:rPr>
              <w:t>完成支付资金额度（万元）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BF8D">
            <w:pPr>
              <w:jc w:val="center"/>
            </w:pPr>
            <w:r>
              <w:rPr>
                <w:rFonts w:ascii="宋体" w:hAnsi="宋体" w:eastAsia="宋体"/>
                <w:sz w:val="16"/>
              </w:rPr>
              <w:t>=290.40万元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62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4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B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D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1D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6EAB">
            <w:pPr>
              <w:jc w:val="center"/>
            </w:pPr>
            <w:r>
              <w:rPr>
                <w:rFonts w:ascii="宋体" w:hAnsi="宋体" w:eastAsia="宋体"/>
                <w:sz w:val="16"/>
              </w:rPr>
              <w:t>=290.4万元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65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0C9A">
            <w:pPr>
              <w:jc w:val="center"/>
            </w:pPr>
          </w:p>
        </w:tc>
      </w:tr>
      <w:tr w14:paraId="5BB80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90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8F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7F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693D">
            <w:pPr>
              <w:jc w:val="center"/>
            </w:pPr>
            <w:r>
              <w:rPr>
                <w:rFonts w:ascii="宋体" w:hAnsi="宋体" w:eastAsia="宋体"/>
                <w:sz w:val="16"/>
              </w:rPr>
              <w:t>项目符合设计标准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9FAE">
            <w:pPr>
              <w:jc w:val="center"/>
            </w:pPr>
            <w:r>
              <w:rPr>
                <w:rFonts w:ascii="宋体" w:hAnsi="宋体" w:eastAsia="宋体"/>
                <w:sz w:val="16"/>
              </w:rPr>
              <w:t>基本符合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E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24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3D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EF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9B0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9C11">
            <w:pPr>
              <w:jc w:val="center"/>
            </w:pPr>
            <w:r>
              <w:rPr>
                <w:rFonts w:ascii="宋体" w:hAnsi="宋体" w:eastAsia="宋体"/>
                <w:sz w:val="16"/>
              </w:rPr>
              <w:t>基本符合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F5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913E0">
            <w:pPr>
              <w:jc w:val="center"/>
            </w:pPr>
          </w:p>
        </w:tc>
      </w:tr>
      <w:tr w14:paraId="37B83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A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54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BD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AF03">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7A6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E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08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50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FB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7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A67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188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398EA">
            <w:pPr>
              <w:jc w:val="center"/>
            </w:pPr>
          </w:p>
        </w:tc>
      </w:tr>
      <w:tr w14:paraId="115B2D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57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43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FA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3DA499">
            <w:pPr>
              <w:jc w:val="center"/>
            </w:pPr>
            <w:r>
              <w:rPr>
                <w:rFonts w:ascii="宋体" w:hAnsi="宋体" w:eastAsia="宋体"/>
                <w:sz w:val="16"/>
              </w:rPr>
              <w:t>100分</w:t>
            </w:r>
          </w:p>
        </w:tc>
      </w:tr>
    </w:tbl>
    <w:p w14:paraId="246C648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0"/>
        <w:gridCol w:w="626"/>
        <w:gridCol w:w="626"/>
        <w:gridCol w:w="626"/>
        <w:gridCol w:w="696"/>
        <w:gridCol w:w="631"/>
        <w:gridCol w:w="617"/>
        <w:gridCol w:w="632"/>
      </w:tblGrid>
      <w:tr w14:paraId="66838317">
        <w:tblPrEx>
          <w:tblCellMar>
            <w:top w:w="0" w:type="dxa"/>
            <w:left w:w="108" w:type="dxa"/>
            <w:bottom w:w="0" w:type="dxa"/>
            <w:right w:w="108" w:type="dxa"/>
          </w:tblCellMar>
        </w:tblPrEx>
        <w:tc>
          <w:tcPr>
            <w:tcW w:w="8848" w:type="dxa"/>
            <w:gridSpan w:val="14"/>
            <w:vAlign w:val="center"/>
          </w:tcPr>
          <w:p w14:paraId="3EADE1A2">
            <w:pPr>
              <w:jc w:val="center"/>
            </w:pPr>
            <w:r>
              <w:rPr>
                <w:rFonts w:ascii="宋体" w:hAnsi="宋体" w:eastAsia="宋体"/>
                <w:sz w:val="24"/>
              </w:rPr>
              <w:t>项目支出绩效自评表</w:t>
            </w:r>
          </w:p>
        </w:tc>
      </w:tr>
      <w:tr w14:paraId="0B540FDF">
        <w:tblPrEx>
          <w:tblCellMar>
            <w:top w:w="0" w:type="dxa"/>
            <w:left w:w="108" w:type="dxa"/>
            <w:bottom w:w="0" w:type="dxa"/>
            <w:right w:w="108" w:type="dxa"/>
          </w:tblCellMar>
        </w:tblPrEx>
        <w:tc>
          <w:tcPr>
            <w:tcW w:w="8848" w:type="dxa"/>
            <w:gridSpan w:val="14"/>
            <w:vAlign w:val="center"/>
          </w:tcPr>
          <w:p w14:paraId="22C149DE">
            <w:pPr>
              <w:jc w:val="center"/>
            </w:pPr>
            <w:r>
              <w:rPr>
                <w:rFonts w:ascii="宋体" w:hAnsi="宋体" w:eastAsia="宋体"/>
                <w:sz w:val="24"/>
              </w:rPr>
              <w:t>(2024年度)</w:t>
            </w:r>
          </w:p>
        </w:tc>
      </w:tr>
      <w:tr w14:paraId="27FA5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D1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5A2164">
            <w:pPr>
              <w:jc w:val="center"/>
            </w:pPr>
            <w:r>
              <w:rPr>
                <w:rFonts w:ascii="宋体" w:hAnsi="宋体" w:eastAsia="宋体"/>
                <w:sz w:val="16"/>
              </w:rPr>
              <w:t>项目管理及检查经费</w:t>
            </w:r>
          </w:p>
        </w:tc>
      </w:tr>
      <w:tr w14:paraId="494F4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E3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BB5E0">
            <w:pPr>
              <w:jc w:val="center"/>
            </w:pPr>
            <w:r>
              <w:rPr>
                <w:rFonts w:ascii="宋体" w:hAnsi="宋体" w:eastAsia="宋体"/>
                <w:sz w:val="16"/>
              </w:rPr>
              <w:t>克孜勒苏柯尔克孜自治州交通运输局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DA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AA16F">
            <w:pPr>
              <w:jc w:val="center"/>
            </w:pPr>
            <w:r>
              <w:rPr>
                <w:rFonts w:ascii="宋体" w:hAnsi="宋体" w:eastAsia="宋体"/>
                <w:sz w:val="16"/>
              </w:rPr>
              <w:t>克孜勒苏柯尔克孜自治州交通运输局</w:t>
            </w:r>
          </w:p>
        </w:tc>
      </w:tr>
      <w:tr w14:paraId="1F1171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8C1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9C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AB2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255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910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F3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47D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7864">
            <w:pPr>
              <w:jc w:val="center"/>
            </w:pPr>
            <w:r>
              <w:rPr>
                <w:rFonts w:ascii="宋体" w:hAnsi="宋体" w:eastAsia="宋体"/>
                <w:sz w:val="16"/>
              </w:rPr>
              <w:t>得分</w:t>
            </w:r>
          </w:p>
        </w:tc>
      </w:tr>
      <w:tr w14:paraId="46677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79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53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C13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B077">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93C9E">
            <w:pPr>
              <w:jc w:val="center"/>
            </w:pPr>
            <w:r>
              <w:rPr>
                <w:rFonts w:ascii="宋体" w:hAnsi="宋体" w:eastAsia="宋体"/>
                <w:sz w:val="16"/>
              </w:rPr>
              <w:t>39.24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98C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B2836">
            <w:pPr>
              <w:jc w:val="center"/>
            </w:pPr>
            <w:r>
              <w:rPr>
                <w:rFonts w:ascii="宋体" w:hAnsi="宋体" w:eastAsia="宋体"/>
                <w:sz w:val="16"/>
              </w:rPr>
              <w:t>98.1%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E9C9">
            <w:pPr>
              <w:jc w:val="center"/>
            </w:pPr>
            <w:r>
              <w:rPr>
                <w:rFonts w:ascii="宋体" w:hAnsi="宋体" w:eastAsia="宋体"/>
                <w:sz w:val="16"/>
              </w:rPr>
              <w:t>10.00分</w:t>
            </w:r>
          </w:p>
        </w:tc>
      </w:tr>
      <w:tr w14:paraId="0AB9A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1E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5F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8D32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735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3829C">
            <w:pPr>
              <w:jc w:val="center"/>
            </w:pPr>
            <w:r>
              <w:rPr>
                <w:rFonts w:ascii="宋体" w:hAnsi="宋体" w:eastAsia="宋体"/>
                <w:sz w:val="16"/>
              </w:rPr>
              <w:t>39.24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1D0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8B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78A3">
            <w:pPr>
              <w:jc w:val="center"/>
            </w:pPr>
            <w:r>
              <w:rPr>
                <w:rFonts w:ascii="宋体" w:hAnsi="宋体" w:eastAsia="宋体"/>
                <w:sz w:val="16"/>
              </w:rPr>
              <w:t>—</w:t>
            </w:r>
          </w:p>
        </w:tc>
      </w:tr>
      <w:tr w14:paraId="5E4E0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129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C7D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50B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6E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26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C4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89F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9D54">
            <w:pPr>
              <w:jc w:val="center"/>
            </w:pPr>
            <w:r>
              <w:rPr>
                <w:rFonts w:ascii="宋体" w:hAnsi="宋体" w:eastAsia="宋体"/>
                <w:sz w:val="16"/>
              </w:rPr>
              <w:t>—</w:t>
            </w:r>
          </w:p>
        </w:tc>
      </w:tr>
      <w:tr w14:paraId="6ADB57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274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E368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18EBB">
            <w:pPr>
              <w:jc w:val="center"/>
              <w:rPr>
                <w:rFonts w:hint="eastAsia" w:eastAsia="宋体"/>
                <w:lang w:eastAsia="zh-CN"/>
              </w:rPr>
            </w:pPr>
            <w:r>
              <w:rPr>
                <w:rFonts w:hint="eastAsia" w:ascii="宋体" w:hAnsi="宋体"/>
                <w:sz w:val="16"/>
                <w:lang w:eastAsia="zh-CN"/>
              </w:rPr>
              <w:t>实际完成情况</w:t>
            </w:r>
          </w:p>
        </w:tc>
      </w:tr>
      <w:tr w14:paraId="72FE4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54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95B88">
            <w:pPr>
              <w:jc w:val="both"/>
            </w:pPr>
            <w:r>
              <w:rPr>
                <w:rFonts w:ascii="宋体" w:hAnsi="宋体" w:eastAsia="宋体"/>
                <w:sz w:val="16"/>
              </w:rPr>
              <w:t>该项目总投资40万元，其中：财政资金40万元，其他资金0万元，主要用于开展业务工作，有利于机关正常运行，通过该项目实施确保完成2024年交通专班14个项目建设任务，督促各县（市）抓好农村公路和危桥改造项目建设，为深化“放管服”改革，着力优化交通运输市场营商环境提供保障，督促加大交通执法巡查力度，加大宣传力度，不断提高从业人员法律意识，做好克州交通运输领域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8AED9">
            <w:pPr>
              <w:jc w:val="both"/>
            </w:pPr>
            <w:r>
              <w:rPr>
                <w:rFonts w:ascii="宋体" w:hAnsi="宋体" w:eastAsia="宋体"/>
                <w:sz w:val="16"/>
              </w:rPr>
              <w:t>截至2024年12月31日，该项目支出39.24万元，主要用于保障公务用车维护车辆3辆，开展督促检查次数30余次，置办公自动化耗材、办公用品批次12批。通过该项目实施确保2024年交通基础设施建设稳步推进，织密织强交通四张网，行业监管持续优化，安全管理水平不断提升，全面完成州党委、州人民政府交办的各项工作任务，为我州经济高质量发展提供更加坚实有力的交通保障。</w:t>
            </w:r>
          </w:p>
        </w:tc>
      </w:tr>
      <w:tr w14:paraId="41996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B19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71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8B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E5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A70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56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BE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70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0E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EE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82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ED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2C77D">
            <w:pPr>
              <w:jc w:val="center"/>
            </w:pPr>
            <w:r>
              <w:rPr>
                <w:rFonts w:ascii="宋体" w:hAnsi="宋体" w:eastAsia="宋体"/>
                <w:sz w:val="16"/>
              </w:rPr>
              <w:t>偏差原因分析及改进措施</w:t>
            </w:r>
          </w:p>
        </w:tc>
      </w:tr>
      <w:tr w14:paraId="7B4D2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FA6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BE5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E96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A8D3">
            <w:pPr>
              <w:jc w:val="center"/>
            </w:pPr>
            <w:r>
              <w:rPr>
                <w:rFonts w:ascii="宋体" w:hAnsi="宋体" w:eastAsia="宋体"/>
                <w:sz w:val="16"/>
              </w:rPr>
              <w:t>保障公务用车维护车辆(辆）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3621">
            <w:pPr>
              <w:jc w:val="center"/>
            </w:pPr>
            <w:r>
              <w:rPr>
                <w:rFonts w:ascii="宋体" w:hAnsi="宋体" w:eastAsia="宋体"/>
                <w:sz w:val="16"/>
              </w:rPr>
              <w:t>&gt;=3辆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8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EBC9">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A8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D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1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A56B">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3FC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21D93">
            <w:pPr>
              <w:jc w:val="center"/>
            </w:pPr>
          </w:p>
        </w:tc>
      </w:tr>
      <w:tr w14:paraId="538E6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56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FC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DD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F178">
            <w:pPr>
              <w:jc w:val="center"/>
            </w:pPr>
            <w:r>
              <w:rPr>
                <w:rFonts w:ascii="宋体" w:hAnsi="宋体" w:eastAsia="宋体"/>
                <w:sz w:val="16"/>
              </w:rPr>
              <w:t>开展政策宣传次数（次）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396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3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8BC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68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F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5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CF1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593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8C86">
            <w:pPr>
              <w:jc w:val="center"/>
            </w:pPr>
          </w:p>
        </w:tc>
      </w:tr>
      <w:tr w14:paraId="2178B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27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19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40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2285">
            <w:pPr>
              <w:jc w:val="center"/>
            </w:pPr>
            <w:r>
              <w:rPr>
                <w:rFonts w:ascii="宋体" w:hAnsi="宋体" w:eastAsia="宋体"/>
                <w:sz w:val="16"/>
              </w:rPr>
              <w:t>开展项目评审和协调推进会次数（次）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286F">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B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E9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D1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9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1A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9B9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8A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DEBE">
            <w:pPr>
              <w:jc w:val="center"/>
            </w:pPr>
          </w:p>
        </w:tc>
      </w:tr>
      <w:tr w14:paraId="48D70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F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C4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CA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72B9">
            <w:pPr>
              <w:jc w:val="center"/>
            </w:pPr>
            <w:r>
              <w:rPr>
                <w:rFonts w:ascii="宋体" w:hAnsi="宋体" w:eastAsia="宋体"/>
                <w:sz w:val="16"/>
              </w:rPr>
              <w:t>督促检查次数（次）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061E">
            <w:pPr>
              <w:jc w:val="center"/>
            </w:pPr>
            <w:r>
              <w:rPr>
                <w:rFonts w:ascii="宋体" w:hAnsi="宋体" w:eastAsia="宋体"/>
                <w:sz w:val="16"/>
              </w:rPr>
              <w:t>&gt;=30次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0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4A51">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C6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F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6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5DE1">
            <w:pPr>
              <w:jc w:val="center"/>
            </w:pPr>
            <w:r>
              <w:rPr>
                <w:rFonts w:ascii="宋体" w:hAnsi="宋体" w:eastAsia="宋体"/>
                <w:sz w:val="16"/>
              </w:rPr>
              <w:t>=30次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617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4357">
            <w:pPr>
              <w:jc w:val="center"/>
            </w:pPr>
          </w:p>
        </w:tc>
      </w:tr>
      <w:tr w14:paraId="19BF5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75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8F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834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0A27">
            <w:pPr>
              <w:jc w:val="center"/>
            </w:pPr>
            <w:r>
              <w:rPr>
                <w:rFonts w:ascii="宋体" w:hAnsi="宋体" w:eastAsia="宋体"/>
                <w:sz w:val="16"/>
              </w:rPr>
              <w:t>购置办公自动化耗材、办公用品（批次）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C56D">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4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E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F4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C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4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DAD0">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540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5E37">
            <w:pPr>
              <w:jc w:val="center"/>
            </w:pPr>
          </w:p>
        </w:tc>
      </w:tr>
      <w:tr w14:paraId="16FA5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7C1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6DD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7F5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5938">
            <w:pPr>
              <w:jc w:val="center"/>
            </w:pPr>
            <w:r>
              <w:rPr>
                <w:rFonts w:ascii="宋体" w:hAnsi="宋体" w:eastAsia="宋体"/>
                <w:sz w:val="16"/>
              </w:rPr>
              <w:t>通讯工具畅通率（%）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2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8C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9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1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9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0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0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583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2E70E">
            <w:pPr>
              <w:jc w:val="center"/>
            </w:pPr>
          </w:p>
        </w:tc>
      </w:tr>
      <w:tr w14:paraId="3B60A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D0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8C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08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9BD5">
            <w:pPr>
              <w:jc w:val="center"/>
            </w:pPr>
            <w:r>
              <w:rPr>
                <w:rFonts w:ascii="宋体" w:hAnsi="宋体" w:eastAsia="宋体"/>
                <w:sz w:val="16"/>
              </w:rPr>
              <w:t>政策宣传知晓率（%）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2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F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B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CA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4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2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7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821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AA69">
            <w:pPr>
              <w:jc w:val="center"/>
            </w:pPr>
          </w:p>
        </w:tc>
      </w:tr>
      <w:tr w14:paraId="34418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1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67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A0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9FD5">
            <w:pPr>
              <w:jc w:val="center"/>
            </w:pPr>
            <w:r>
              <w:rPr>
                <w:rFonts w:ascii="宋体" w:hAnsi="宋体" w:eastAsia="宋体"/>
                <w:sz w:val="16"/>
              </w:rPr>
              <w:t>购置办公自动化耗材、办公用品质量合格率（%）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A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4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D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F8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2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A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67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382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07BA">
            <w:pPr>
              <w:jc w:val="center"/>
            </w:pPr>
          </w:p>
        </w:tc>
      </w:tr>
      <w:tr w14:paraId="76992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D0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8D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936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4842">
            <w:pPr>
              <w:jc w:val="center"/>
            </w:pPr>
            <w:r>
              <w:rPr>
                <w:rFonts w:ascii="宋体" w:hAnsi="宋体" w:eastAsia="宋体"/>
                <w:sz w:val="16"/>
              </w:rPr>
              <w:t>宣传开展政策宣传活动按期完成率（%）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4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0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F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751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8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E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29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A0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699FE">
            <w:pPr>
              <w:jc w:val="center"/>
            </w:pPr>
          </w:p>
        </w:tc>
      </w:tr>
      <w:tr w14:paraId="73829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6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ED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8C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991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F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F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9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43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1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DB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3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9F4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250AE">
            <w:pPr>
              <w:jc w:val="center"/>
            </w:pPr>
          </w:p>
        </w:tc>
      </w:tr>
      <w:tr w14:paraId="397D8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0CB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B3F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E78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517D">
            <w:pPr>
              <w:jc w:val="center"/>
            </w:pPr>
            <w:r>
              <w:rPr>
                <w:rFonts w:ascii="宋体" w:hAnsi="宋体" w:eastAsia="宋体"/>
                <w:sz w:val="16"/>
              </w:rPr>
              <w:t>公务用车经费（万元）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B1B6">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31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56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D9E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F5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2BB6">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9C4E">
            <w:pPr>
              <w:jc w:val="center"/>
            </w:pPr>
            <w:r>
              <w:rPr>
                <w:rFonts w:ascii="宋体" w:hAnsi="宋体" w:eastAsia="宋体"/>
                <w:sz w:val="16"/>
              </w:rPr>
              <w:t>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77AC">
            <w:pPr>
              <w:jc w:val="center"/>
            </w:pPr>
            <w:r>
              <w:rPr>
                <w:rFonts w:ascii="宋体" w:hAnsi="宋体" w:eastAsia="宋体"/>
                <w:sz w:val="16"/>
              </w:rPr>
              <w:t>偏差原因：该项目按照实际使用情况支付资金。改进措施：精准编制预算，严格执行预算。</w:t>
            </w:r>
          </w:p>
        </w:tc>
      </w:tr>
      <w:tr w14:paraId="0A266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AF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8F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F0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3737">
            <w:pPr>
              <w:jc w:val="center"/>
            </w:pPr>
            <w:r>
              <w:rPr>
                <w:rFonts w:ascii="宋体" w:hAnsi="宋体" w:eastAsia="宋体"/>
                <w:sz w:val="16"/>
              </w:rPr>
              <w:t>开展政策宣传印刷经费（万元）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3D38">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F4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C3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D0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3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07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E217">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A18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18AC8">
            <w:pPr>
              <w:jc w:val="center"/>
            </w:pPr>
          </w:p>
        </w:tc>
      </w:tr>
      <w:tr w14:paraId="3F5C2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94A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9C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9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6EFE">
            <w:pPr>
              <w:jc w:val="center"/>
            </w:pPr>
            <w:r>
              <w:rPr>
                <w:rFonts w:ascii="宋体" w:hAnsi="宋体" w:eastAsia="宋体"/>
                <w:sz w:val="16"/>
              </w:rPr>
              <w:t>保障机关正常运行经费（万元）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16CE">
            <w:pPr>
              <w:jc w:val="center"/>
            </w:pPr>
            <w:r>
              <w:rPr>
                <w:rFonts w:ascii="宋体" w:hAnsi="宋体" w:eastAsia="宋体"/>
                <w:sz w:val="16"/>
              </w:rPr>
              <w:t>&lt;=5.31万元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BC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7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82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A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D7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7EBC">
            <w:pPr>
              <w:jc w:val="center"/>
            </w:pPr>
            <w:r>
              <w:rPr>
                <w:rFonts w:ascii="宋体" w:hAnsi="宋体" w:eastAsia="宋体"/>
                <w:sz w:val="16"/>
              </w:rPr>
              <w:t>=7.62万元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101E">
            <w:pPr>
              <w:jc w:val="center"/>
            </w:pPr>
            <w:r>
              <w:rPr>
                <w:rFonts w:ascii="宋体" w:hAnsi="宋体" w:eastAsia="宋体"/>
                <w:sz w:val="16"/>
              </w:rPr>
              <w:t>2.26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CD924">
            <w:pPr>
              <w:jc w:val="center"/>
            </w:pPr>
            <w:r>
              <w:rPr>
                <w:rFonts w:ascii="宋体" w:hAnsi="宋体" w:eastAsia="宋体"/>
                <w:sz w:val="16"/>
              </w:rPr>
              <w:t>偏差原因：该项目按照实际使用情况支付资金。改进措施：精准编制预算，严格执行预算。</w:t>
            </w:r>
          </w:p>
        </w:tc>
      </w:tr>
      <w:tr w14:paraId="69B06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F9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16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AD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816B">
            <w:pPr>
              <w:jc w:val="center"/>
            </w:pPr>
            <w:r>
              <w:rPr>
                <w:rFonts w:ascii="宋体" w:hAnsi="宋体" w:eastAsia="宋体"/>
                <w:sz w:val="16"/>
              </w:rPr>
              <w:t>督促检查协调项目经费（万元）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DF3E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08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A8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9A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9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24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6B2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50F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8D92F">
            <w:pPr>
              <w:jc w:val="center"/>
            </w:pPr>
          </w:p>
        </w:tc>
      </w:tr>
      <w:tr w14:paraId="641AB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1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8D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E2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E59B">
            <w:pPr>
              <w:jc w:val="center"/>
            </w:pPr>
            <w:r>
              <w:rPr>
                <w:rFonts w:ascii="宋体" w:hAnsi="宋体" w:eastAsia="宋体"/>
                <w:sz w:val="16"/>
              </w:rPr>
              <w:t>购置办公自动化耗材、办公用品等经费（万元）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892B">
            <w:pPr>
              <w:jc w:val="center"/>
            </w:pPr>
            <w:r>
              <w:rPr>
                <w:rFonts w:ascii="宋体" w:hAnsi="宋体" w:eastAsia="宋体"/>
                <w:sz w:val="16"/>
              </w:rPr>
              <w:t>&lt;=12.49万元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D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1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45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9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D1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1E40">
            <w:pPr>
              <w:jc w:val="center"/>
            </w:pPr>
            <w:r>
              <w:rPr>
                <w:rFonts w:ascii="宋体" w:hAnsi="宋体" w:eastAsia="宋体"/>
                <w:sz w:val="16"/>
              </w:rPr>
              <w:t>=11.92万元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8010">
            <w:pPr>
              <w:jc w:val="center"/>
            </w:pPr>
            <w:r>
              <w:rPr>
                <w:rFonts w:ascii="宋体" w:hAnsi="宋体" w:eastAsia="宋体"/>
                <w:sz w:val="16"/>
              </w:rPr>
              <w:t>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36E70">
            <w:pPr>
              <w:jc w:val="center"/>
            </w:pPr>
            <w:r>
              <w:rPr>
                <w:rFonts w:ascii="宋体" w:hAnsi="宋体" w:eastAsia="宋体"/>
                <w:sz w:val="16"/>
              </w:rPr>
              <w:t>偏差原因：该项目按照实际使用情况支付资金。改进措施：精准编制预算，严格执行预算。</w:t>
            </w:r>
          </w:p>
        </w:tc>
      </w:tr>
      <w:tr w14:paraId="2C601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709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6E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6E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FD51">
            <w:pPr>
              <w:jc w:val="center"/>
            </w:pPr>
            <w:r>
              <w:rPr>
                <w:rFonts w:ascii="宋体" w:hAnsi="宋体" w:eastAsia="宋体"/>
                <w:sz w:val="16"/>
              </w:rPr>
              <w:t>保障工作开展需要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FDE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8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9F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C5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CE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0D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050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7CF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AF89B">
            <w:pPr>
              <w:jc w:val="center"/>
            </w:pPr>
          </w:p>
        </w:tc>
      </w:tr>
      <w:tr w14:paraId="6A99B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81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C5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7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EB8B">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29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0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65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08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19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2B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56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A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3BE7">
            <w:pPr>
              <w:jc w:val="center"/>
            </w:pPr>
          </w:p>
        </w:tc>
      </w:tr>
      <w:tr w14:paraId="3C740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5D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3D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6F8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6345B3">
            <w:pPr>
              <w:jc w:val="center"/>
            </w:pPr>
            <w:r>
              <w:rPr>
                <w:rFonts w:ascii="宋体" w:hAnsi="宋体" w:eastAsia="宋体"/>
                <w:sz w:val="16"/>
              </w:rPr>
              <w:t>95.72分</w:t>
            </w:r>
          </w:p>
        </w:tc>
      </w:tr>
    </w:tbl>
    <w:p w14:paraId="07369B4E">
      <w:r>
        <w:br w:type="page"/>
      </w:r>
    </w:p>
    <w:p w14:paraId="4B8D51F6">
      <w:pPr>
        <w:spacing w:line="640" w:lineRule="exact"/>
        <w:ind w:firstLine="640"/>
        <w:jc w:val="both"/>
        <w:outlineLvl w:val="2"/>
      </w:pPr>
      <w:r>
        <w:rPr>
          <w:rFonts w:ascii="黑体" w:hAnsi="黑体" w:eastAsia="黑体"/>
          <w:sz w:val="32"/>
        </w:rPr>
        <w:t>十二、其他需说明的事项</w:t>
      </w:r>
    </w:p>
    <w:p w14:paraId="3DDC514F">
      <w:pPr>
        <w:spacing w:line="580" w:lineRule="exact"/>
        <w:ind w:firstLine="640"/>
        <w:jc w:val="both"/>
      </w:pPr>
      <w:r>
        <w:rPr>
          <w:rFonts w:ascii="仿宋_GB2312" w:hAnsi="仿宋_GB2312" w:eastAsia="仿宋_GB2312"/>
          <w:b w:val="0"/>
          <w:sz w:val="32"/>
        </w:rPr>
        <w:t>本年本单位SM项目2个，全年预算数1</w:t>
      </w:r>
      <w:r>
        <w:rPr>
          <w:rFonts w:hint="eastAsia" w:ascii="仿宋_GB2312" w:hAnsi="仿宋_GB2312" w:eastAsia="仿宋_GB2312"/>
          <w:b w:val="0"/>
          <w:sz w:val="32"/>
          <w:lang w:val="en-US" w:eastAsia="zh-CN"/>
        </w:rPr>
        <w:t>,</w:t>
      </w:r>
      <w:r>
        <w:rPr>
          <w:rFonts w:ascii="仿宋_GB2312" w:hAnsi="仿宋_GB2312" w:eastAsia="仿宋_GB2312"/>
          <w:b w:val="0"/>
          <w:sz w:val="32"/>
        </w:rPr>
        <w:t>324.83万元，全年执行数1</w:t>
      </w:r>
      <w:r>
        <w:rPr>
          <w:rFonts w:hint="eastAsia" w:ascii="仿宋_GB2312" w:hAnsi="仿宋_GB2312" w:eastAsia="仿宋_GB2312"/>
          <w:b w:val="0"/>
          <w:sz w:val="32"/>
          <w:lang w:val="en-US" w:eastAsia="zh-CN"/>
        </w:rPr>
        <w:t>,</w:t>
      </w:r>
      <w:bookmarkStart w:id="0" w:name="_GoBack"/>
      <w:bookmarkEnd w:id="0"/>
      <w:r>
        <w:rPr>
          <w:rFonts w:ascii="仿宋_GB2312" w:hAnsi="仿宋_GB2312" w:eastAsia="仿宋_GB2312"/>
          <w:b w:val="0"/>
          <w:sz w:val="32"/>
        </w:rPr>
        <w:t>324.83万元。</w:t>
      </w:r>
    </w:p>
    <w:p w14:paraId="320F2186">
      <w:r>
        <w:br w:type="page"/>
      </w:r>
    </w:p>
    <w:p w14:paraId="0DB8C066">
      <w:pPr>
        <w:spacing w:line="240" w:lineRule="auto"/>
        <w:jc w:val="center"/>
        <w:outlineLvl w:val="1"/>
      </w:pPr>
      <w:r>
        <w:rPr>
          <w:rFonts w:ascii="黑体" w:hAnsi="黑体" w:eastAsia="黑体"/>
          <w:sz w:val="32"/>
        </w:rPr>
        <w:t>第三部分 专业名词解释</w:t>
      </w:r>
    </w:p>
    <w:p w14:paraId="5BA13D6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E97C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AAA3A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C309F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7D594D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8F18D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7EC5F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D7A0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9EA0C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60E2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3168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89D9F0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F9A507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2601E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8748D0">
      <w:r>
        <w:br w:type="page"/>
      </w:r>
    </w:p>
    <w:p w14:paraId="7972E7F8">
      <w:pPr>
        <w:spacing w:line="240" w:lineRule="auto"/>
        <w:jc w:val="center"/>
        <w:outlineLvl w:val="1"/>
      </w:pPr>
      <w:r>
        <w:rPr>
          <w:rFonts w:ascii="黑体" w:hAnsi="黑体" w:eastAsia="黑体"/>
          <w:sz w:val="32"/>
        </w:rPr>
        <w:t>第四部分 部门决算报表（见附表）</w:t>
      </w:r>
    </w:p>
    <w:p w14:paraId="43FDADB0">
      <w:pPr>
        <w:spacing w:line="240" w:lineRule="auto"/>
        <w:ind w:firstLine="640"/>
        <w:jc w:val="both"/>
      </w:pPr>
      <w:r>
        <w:rPr>
          <w:rFonts w:ascii="仿宋_GB2312" w:hAnsi="仿宋_GB2312" w:eastAsia="仿宋_GB2312"/>
          <w:b w:val="0"/>
          <w:sz w:val="32"/>
        </w:rPr>
        <w:t>一、《收入支出决算总表》</w:t>
      </w:r>
    </w:p>
    <w:p w14:paraId="25204144">
      <w:pPr>
        <w:spacing w:line="240" w:lineRule="auto"/>
        <w:ind w:firstLine="640"/>
        <w:jc w:val="both"/>
      </w:pPr>
      <w:r>
        <w:rPr>
          <w:rFonts w:ascii="仿宋_GB2312" w:hAnsi="仿宋_GB2312" w:eastAsia="仿宋_GB2312"/>
          <w:b w:val="0"/>
          <w:sz w:val="32"/>
        </w:rPr>
        <w:t>二、《收入决算表》</w:t>
      </w:r>
    </w:p>
    <w:p w14:paraId="74E1A667">
      <w:pPr>
        <w:spacing w:line="240" w:lineRule="auto"/>
        <w:ind w:firstLine="640"/>
        <w:jc w:val="both"/>
      </w:pPr>
      <w:r>
        <w:rPr>
          <w:rFonts w:ascii="仿宋_GB2312" w:hAnsi="仿宋_GB2312" w:eastAsia="仿宋_GB2312"/>
          <w:b w:val="0"/>
          <w:sz w:val="32"/>
        </w:rPr>
        <w:t>三、《支出决算表》</w:t>
      </w:r>
    </w:p>
    <w:p w14:paraId="5584929D">
      <w:pPr>
        <w:spacing w:line="240" w:lineRule="auto"/>
        <w:ind w:firstLine="640"/>
        <w:jc w:val="both"/>
      </w:pPr>
      <w:r>
        <w:rPr>
          <w:rFonts w:ascii="仿宋_GB2312" w:hAnsi="仿宋_GB2312" w:eastAsia="仿宋_GB2312"/>
          <w:b w:val="0"/>
          <w:sz w:val="32"/>
        </w:rPr>
        <w:t>四、《财政拨款收入支出决算总表》</w:t>
      </w:r>
    </w:p>
    <w:p w14:paraId="04D86F25">
      <w:pPr>
        <w:spacing w:line="240" w:lineRule="auto"/>
        <w:ind w:firstLine="640"/>
        <w:jc w:val="both"/>
      </w:pPr>
      <w:r>
        <w:rPr>
          <w:rFonts w:ascii="仿宋_GB2312" w:hAnsi="仿宋_GB2312" w:eastAsia="仿宋_GB2312"/>
          <w:b w:val="0"/>
          <w:sz w:val="32"/>
        </w:rPr>
        <w:t>五、《一般公共预算财政拨款支出决算表》</w:t>
      </w:r>
    </w:p>
    <w:p w14:paraId="0C336693">
      <w:pPr>
        <w:spacing w:line="240" w:lineRule="auto"/>
        <w:ind w:firstLine="640"/>
        <w:jc w:val="both"/>
      </w:pPr>
      <w:r>
        <w:rPr>
          <w:rFonts w:ascii="仿宋_GB2312" w:hAnsi="仿宋_GB2312" w:eastAsia="仿宋_GB2312"/>
          <w:b w:val="0"/>
          <w:sz w:val="32"/>
        </w:rPr>
        <w:t>六、《一般公共预算财政拨款基本支出决算表》</w:t>
      </w:r>
    </w:p>
    <w:p w14:paraId="761048A5">
      <w:pPr>
        <w:spacing w:line="240" w:lineRule="auto"/>
        <w:ind w:firstLine="640"/>
        <w:jc w:val="both"/>
      </w:pPr>
      <w:r>
        <w:rPr>
          <w:rFonts w:ascii="仿宋_GB2312" w:hAnsi="仿宋_GB2312" w:eastAsia="仿宋_GB2312"/>
          <w:b w:val="0"/>
          <w:sz w:val="32"/>
        </w:rPr>
        <w:t>七、《政府性基金预算财政拨款收入支出决算表》</w:t>
      </w:r>
    </w:p>
    <w:p w14:paraId="3ABAEEA6">
      <w:pPr>
        <w:spacing w:line="240" w:lineRule="auto"/>
        <w:ind w:firstLine="640"/>
        <w:jc w:val="both"/>
      </w:pPr>
      <w:r>
        <w:rPr>
          <w:rFonts w:ascii="仿宋_GB2312" w:hAnsi="仿宋_GB2312" w:eastAsia="仿宋_GB2312"/>
          <w:b w:val="0"/>
          <w:sz w:val="32"/>
        </w:rPr>
        <w:t>八、《国有资本经营预算财政拨款收入支出决算表》</w:t>
      </w:r>
    </w:p>
    <w:p w14:paraId="7B463196">
      <w:pPr>
        <w:spacing w:line="240" w:lineRule="auto"/>
        <w:ind w:firstLine="640"/>
        <w:jc w:val="both"/>
      </w:pPr>
      <w:r>
        <w:rPr>
          <w:rFonts w:ascii="仿宋_GB2312" w:hAnsi="仿宋_GB2312" w:eastAsia="仿宋_GB2312"/>
          <w:b w:val="0"/>
          <w:sz w:val="32"/>
        </w:rPr>
        <w:t>九、《财政拨款“三公”经费支出决算表》</w:t>
      </w:r>
    </w:p>
    <w:p w14:paraId="3A536DB9">
      <w:pPr>
        <w:spacing w:line="240" w:lineRule="auto"/>
        <w:ind w:firstLine="640"/>
        <w:jc w:val="both"/>
      </w:pPr>
    </w:p>
    <w:p w14:paraId="1747CC78">
      <w:pPr>
        <w:spacing w:line="240" w:lineRule="auto"/>
        <w:ind w:firstLine="640"/>
        <w:jc w:val="both"/>
      </w:pPr>
    </w:p>
    <w:p w14:paraId="62A6963C">
      <w:pPr>
        <w:spacing w:line="240" w:lineRule="auto"/>
        <w:ind w:firstLine="640"/>
        <w:jc w:val="both"/>
      </w:pPr>
    </w:p>
    <w:p w14:paraId="3F4574CF">
      <w:pPr>
        <w:spacing w:line="240" w:lineRule="auto"/>
        <w:ind w:firstLine="640"/>
        <w:jc w:val="both"/>
      </w:pPr>
    </w:p>
    <w:p w14:paraId="2EB8ED9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23AB85-C55C-40E3-9BA3-1785F2EAB5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FE89909-7F83-4A22-A5C5-66EB518CF743}"/>
  </w:font>
  <w:font w:name="仿宋_GB2312">
    <w:altName w:val="仿宋"/>
    <w:panose1 w:val="02010609030101010101"/>
    <w:charset w:val="86"/>
    <w:family w:val="modern"/>
    <w:pitch w:val="default"/>
    <w:sig w:usb0="00000000" w:usb1="00000000" w:usb2="00000000" w:usb3="00000000" w:csb0="00040000" w:csb1="00000000"/>
    <w:embedRegular r:id="rId3" w:fontKey="{4281C9C9-B68F-4B19-A153-D77DFDD3FC6D}"/>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BFA1649C-D516-47F5-9E73-26BA394D0EB3}"/>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C77FEF"/>
    <w:rsid w:val="19071D6C"/>
    <w:rsid w:val="19B5554D"/>
    <w:rsid w:val="19BA0D3C"/>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AF1075"/>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3E458A"/>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5948</Words>
  <Characters>6830</Characters>
  <Lines>0</Lines>
  <Paragraphs>0</Paragraphs>
  <TotalTime>12</TotalTime>
  <ScaleCrop>false</ScaleCrop>
  <LinksUpToDate>false</LinksUpToDate>
  <CharactersWithSpaces>6838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2025-09-02T05:29:46Z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