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阿合奇县人民法院2024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D53B39">
      <w:r>
        <w:br w:type="page"/>
      </w:r>
    </w:p>
    <w:p w14:paraId="7A604249">
      <w:pPr>
        <w:spacing w:line="640" w:lineRule="exact"/>
        <w:jc w:val="center"/>
        <w:outlineLvl w:val="1"/>
      </w:pPr>
      <w:r>
        <w:rPr>
          <w:rFonts w:ascii="黑体" w:hAnsi="黑体" w:eastAsia="黑体"/>
          <w:sz w:val="32"/>
        </w:rPr>
        <w:t>第一部分 单位概况</w:t>
      </w:r>
    </w:p>
    <w:p w14:paraId="3A2C1DC0">
      <w:pPr>
        <w:spacing w:line="640" w:lineRule="exact"/>
        <w:ind w:firstLine="640"/>
        <w:jc w:val="both"/>
        <w:outlineLvl w:val="2"/>
      </w:pPr>
      <w:r>
        <w:rPr>
          <w:rFonts w:ascii="黑体" w:hAnsi="黑体" w:eastAsia="黑体"/>
          <w:sz w:val="32"/>
        </w:rPr>
        <w:t>一、主要职能</w:t>
      </w:r>
    </w:p>
    <w:p w14:paraId="2B89510D">
      <w:pPr>
        <w:spacing w:line="580" w:lineRule="exact"/>
        <w:ind w:firstLine="640"/>
        <w:jc w:val="both"/>
      </w:pPr>
      <w:r>
        <w:rPr>
          <w:rFonts w:ascii="仿宋_GB2312" w:hAnsi="仿宋_GB2312" w:eastAsia="仿宋_GB2312"/>
          <w:sz w:val="32"/>
        </w:rPr>
        <w:t>（一）审理法律规定由本院管辖、上级人民法院指定管辖的刑事、民商事和行政等第一审案件。</w:t>
      </w:r>
    </w:p>
    <w:p w14:paraId="04A3A8AD">
      <w:pPr>
        <w:spacing w:line="580" w:lineRule="exact"/>
        <w:ind w:firstLine="640"/>
        <w:jc w:val="both"/>
      </w:pPr>
      <w:r>
        <w:rPr>
          <w:rFonts w:ascii="仿宋_GB2312" w:hAnsi="仿宋_GB2312" w:eastAsia="仿宋_GB2312"/>
          <w:sz w:val="32"/>
        </w:rPr>
        <w:t>（二）依照法律监督程序，对符合法律规定需要再审的案件，裁定再审；审理上级人民法院指令再审的案件；审理发回重审的案件。</w:t>
      </w:r>
    </w:p>
    <w:p w14:paraId="21BD86E3">
      <w:pPr>
        <w:spacing w:line="580" w:lineRule="exact"/>
        <w:ind w:firstLine="640"/>
        <w:jc w:val="both"/>
      </w:pPr>
      <w:r>
        <w:rPr>
          <w:rFonts w:ascii="仿宋_GB2312" w:hAnsi="仿宋_GB2312" w:eastAsia="仿宋_GB2312"/>
          <w:sz w:val="32"/>
        </w:rPr>
        <w:t>（三）依法决定国家赔偿。</w:t>
      </w:r>
    </w:p>
    <w:p w14:paraId="0F8DAF58">
      <w:pPr>
        <w:spacing w:line="580" w:lineRule="exact"/>
        <w:ind w:firstLine="640"/>
        <w:jc w:val="both"/>
      </w:pPr>
      <w:r>
        <w:rPr>
          <w:rFonts w:ascii="仿宋_GB2312" w:hAnsi="仿宋_GB2312" w:eastAsia="仿宋_GB2312"/>
          <w:sz w:val="32"/>
        </w:rPr>
        <w:t>（四）依法行使司法执行权和司法决定权，执行本院已经发生法律效力的判决、裁定、调解书及法律规定由人民法院执行的其他法律文书；执行其他法院委托执行的案件以及法律规定的由基层法院执行的案件。</w:t>
      </w:r>
    </w:p>
    <w:p w14:paraId="55879376">
      <w:pPr>
        <w:spacing w:line="580" w:lineRule="exact"/>
        <w:ind w:firstLine="640"/>
        <w:jc w:val="both"/>
      </w:pPr>
      <w:r>
        <w:rPr>
          <w:rFonts w:ascii="仿宋_GB2312" w:hAnsi="仿宋_GB2312" w:eastAsia="仿宋_GB2312"/>
          <w:sz w:val="32"/>
        </w:rPr>
        <w:t>（五）依法对受理的民事、商事案件，组织当事人进行诉前调解，化解矛盾纠纷。</w:t>
      </w:r>
    </w:p>
    <w:p w14:paraId="093CDB56">
      <w:pPr>
        <w:spacing w:line="580" w:lineRule="exact"/>
        <w:ind w:firstLine="640"/>
        <w:jc w:val="both"/>
      </w:pPr>
      <w:r>
        <w:rPr>
          <w:rFonts w:ascii="仿宋_GB2312" w:hAnsi="仿宋_GB2312" w:eastAsia="仿宋_GB2312"/>
          <w:sz w:val="32"/>
        </w:rPr>
        <w:t>（六）指导本辖区人民调解委员会的工作。</w:t>
      </w:r>
    </w:p>
    <w:p w14:paraId="31274E15">
      <w:pPr>
        <w:spacing w:line="580" w:lineRule="exact"/>
        <w:ind w:firstLine="640"/>
        <w:jc w:val="both"/>
      </w:pPr>
      <w:r>
        <w:rPr>
          <w:rFonts w:ascii="仿宋_GB2312" w:hAnsi="仿宋_GB2312" w:eastAsia="仿宋_GB2312"/>
          <w:sz w:val="32"/>
        </w:rPr>
        <w:t>（七）调查研究审判执行工作中的法律政策问题，参与有关法律、法规、规章、条例等草案的讨论并提出意见；针对案件审理中发现的问题提出司法建议。</w:t>
      </w:r>
    </w:p>
    <w:p w14:paraId="1F33181B">
      <w:pPr>
        <w:spacing w:line="580" w:lineRule="exact"/>
        <w:ind w:firstLine="640"/>
        <w:jc w:val="both"/>
      </w:pPr>
      <w:r>
        <w:rPr>
          <w:rFonts w:ascii="仿宋_GB2312" w:hAnsi="仿宋_GB2312" w:eastAsia="仿宋_GB2312"/>
          <w:sz w:val="32"/>
        </w:rPr>
        <w:t>（八）负责本院的思想政治、机关党建、组织人事、党风廉政、教育培训等工作，按照管理权限管理本院工作人员。</w:t>
      </w:r>
    </w:p>
    <w:p w14:paraId="7082AD49">
      <w:pPr>
        <w:spacing w:line="580" w:lineRule="exact"/>
        <w:ind w:firstLine="640"/>
        <w:jc w:val="both"/>
      </w:pPr>
      <w:r>
        <w:rPr>
          <w:rFonts w:ascii="仿宋_GB2312" w:hAnsi="仿宋_GB2312" w:eastAsia="仿宋_GB2312"/>
          <w:sz w:val="32"/>
        </w:rPr>
        <w:t>（九）负责本院的司法行政、办公现代化、司法技术等工作，管理本院的有关经费和物资装备。</w:t>
      </w:r>
    </w:p>
    <w:p w14:paraId="56F46C28">
      <w:pPr>
        <w:spacing w:line="580" w:lineRule="exact"/>
        <w:ind w:firstLine="640"/>
        <w:jc w:val="both"/>
      </w:pPr>
      <w:r>
        <w:rPr>
          <w:rFonts w:ascii="仿宋_GB2312" w:hAnsi="仿宋_GB2312" w:eastAsia="仿宋_GB2312"/>
          <w:sz w:val="32"/>
        </w:rPr>
        <w:t>（十）负责本院的司法警察工作。</w:t>
      </w:r>
    </w:p>
    <w:p w14:paraId="2862C583">
      <w:pPr>
        <w:spacing w:line="580" w:lineRule="exact"/>
        <w:ind w:firstLine="640"/>
        <w:jc w:val="both"/>
      </w:pPr>
      <w:r>
        <w:rPr>
          <w:rFonts w:ascii="仿宋_GB2312" w:hAnsi="仿宋_GB2312" w:eastAsia="仿宋_GB2312"/>
          <w:sz w:val="32"/>
        </w:rPr>
        <w:t>（十一）负责本院的审务督察、纪检监督业务等内部监督工作。</w:t>
      </w:r>
    </w:p>
    <w:p w14:paraId="2A6129C8">
      <w:pPr>
        <w:spacing w:line="580" w:lineRule="exact"/>
        <w:ind w:firstLine="640"/>
        <w:jc w:val="both"/>
      </w:pPr>
      <w:r>
        <w:rPr>
          <w:rFonts w:ascii="仿宋_GB2312" w:hAnsi="仿宋_GB2312" w:eastAsia="仿宋_GB2312"/>
          <w:sz w:val="32"/>
        </w:rPr>
        <w:t>（十二）全面领导人民法庭工作。</w:t>
      </w:r>
    </w:p>
    <w:p w14:paraId="0FBC96D1">
      <w:pPr>
        <w:spacing w:line="580" w:lineRule="exact"/>
        <w:ind w:firstLine="640"/>
        <w:jc w:val="both"/>
      </w:pPr>
      <w:r>
        <w:rPr>
          <w:rFonts w:ascii="仿宋_GB2312" w:hAnsi="仿宋_GB2312" w:eastAsia="仿宋_GB2312"/>
          <w:sz w:val="32"/>
        </w:rPr>
        <w:t>（十三）做好人大代表、政协委员联络工作，对当地人民代表大会及其常务委员会负责并报告工作。</w:t>
      </w:r>
    </w:p>
    <w:p w14:paraId="04568483">
      <w:pPr>
        <w:spacing w:line="580" w:lineRule="exact"/>
        <w:ind w:firstLine="640"/>
        <w:jc w:val="both"/>
      </w:pPr>
      <w:r>
        <w:rPr>
          <w:rFonts w:ascii="仿宋_GB2312" w:hAnsi="仿宋_GB2312" w:eastAsia="仿宋_GB2312"/>
          <w:sz w:val="32"/>
        </w:rPr>
        <w:t>（十四）完成上级法院和当地党委、人大交办的其他工作。</w:t>
      </w:r>
    </w:p>
    <w:p w14:paraId="47F1CA8F">
      <w:pPr>
        <w:spacing w:line="580" w:lineRule="exact"/>
        <w:ind w:firstLine="640"/>
        <w:jc w:val="both"/>
      </w:pPr>
      <w:r>
        <w:rPr>
          <w:rFonts w:ascii="仿宋_GB2312" w:hAnsi="仿宋_GB2312" w:eastAsia="仿宋_GB2312"/>
          <w:sz w:val="32"/>
        </w:rPr>
        <w:t>（十五）承办其他应由本院负责的工作。</w:t>
      </w:r>
    </w:p>
    <w:p w14:paraId="6A7A57B3">
      <w:pPr>
        <w:spacing w:line="640" w:lineRule="exact"/>
        <w:ind w:firstLine="640"/>
        <w:jc w:val="both"/>
        <w:outlineLvl w:val="2"/>
      </w:pPr>
      <w:r>
        <w:rPr>
          <w:rFonts w:ascii="黑体" w:hAnsi="黑体" w:eastAsia="黑体"/>
          <w:sz w:val="32"/>
        </w:rPr>
        <w:t>二、机构设置及人员情况</w:t>
      </w:r>
    </w:p>
    <w:p w14:paraId="1543EFBC">
      <w:pPr>
        <w:spacing w:line="580" w:lineRule="exact"/>
        <w:ind w:firstLine="640"/>
        <w:jc w:val="both"/>
      </w:pPr>
      <w:r>
        <w:rPr>
          <w:rFonts w:ascii="仿宋_GB2312" w:hAnsi="仿宋_GB2312" w:eastAsia="仿宋_GB2312"/>
          <w:sz w:val="32"/>
        </w:rPr>
        <w:t>阿合奇县人民法院2024年度，实有人数74人，其中：在职人员54人，增加1人；离休人员0人，增加0人；退休人员20人,增加3人。</w:t>
      </w:r>
    </w:p>
    <w:p w14:paraId="05D153D9">
      <w:pPr>
        <w:spacing w:line="580" w:lineRule="exact"/>
        <w:ind w:firstLine="640"/>
        <w:jc w:val="both"/>
      </w:pPr>
      <w:r>
        <w:rPr>
          <w:rFonts w:ascii="仿宋_GB2312" w:hAnsi="仿宋_GB2312" w:eastAsia="仿宋_GB2312"/>
          <w:sz w:val="32"/>
        </w:rPr>
        <w:t>阿合奇县人民法院无下属预算单位，下设5个科室，分别是：综合办公室、综合审判庭、立案庭、执行局、政治部。</w:t>
      </w:r>
    </w:p>
    <w:p w14:paraId="2E802963">
      <w:r>
        <w:br w:type="page"/>
      </w:r>
    </w:p>
    <w:p w14:paraId="766A98C0">
      <w:pPr>
        <w:spacing w:line="240" w:lineRule="auto"/>
        <w:jc w:val="center"/>
        <w:outlineLvl w:val="1"/>
      </w:pPr>
      <w:r>
        <w:rPr>
          <w:rFonts w:ascii="黑体" w:hAnsi="黑体" w:eastAsia="黑体"/>
          <w:sz w:val="32"/>
        </w:rPr>
        <w:t>第二部分 部门决算情况说明</w:t>
      </w:r>
    </w:p>
    <w:p w14:paraId="56C00013">
      <w:pPr>
        <w:spacing w:line="640" w:lineRule="exact"/>
        <w:ind w:firstLine="640"/>
        <w:jc w:val="both"/>
        <w:outlineLvl w:val="2"/>
      </w:pPr>
      <w:r>
        <w:rPr>
          <w:rFonts w:ascii="黑体" w:hAnsi="黑体" w:eastAsia="黑体"/>
          <w:sz w:val="32"/>
        </w:rPr>
        <w:t>一、收入支出决算总体情况说明</w:t>
      </w:r>
    </w:p>
    <w:p w14:paraId="72D6D9B5">
      <w:pPr>
        <w:spacing w:line="580" w:lineRule="exact"/>
        <w:ind w:firstLine="640"/>
        <w:jc w:val="both"/>
      </w:pPr>
      <w:r>
        <w:rPr>
          <w:rFonts w:ascii="仿宋_GB2312" w:hAnsi="仿宋_GB2312" w:eastAsia="仿宋_GB2312"/>
          <w:b/>
          <w:sz w:val="32"/>
        </w:rPr>
        <w:t>2024年度收入总计1,572.40万元，</w:t>
      </w:r>
      <w:r>
        <w:rPr>
          <w:rFonts w:ascii="仿宋_GB2312" w:hAnsi="仿宋_GB2312" w:eastAsia="仿宋_GB2312"/>
          <w:b w:val="0"/>
          <w:sz w:val="32"/>
        </w:rPr>
        <w:t>其中：本年收入合计1,552.29万元，使用非财政拨款结余（含专用结余）0.00万元，年初结转和结余20.11万元。</w:t>
      </w:r>
    </w:p>
    <w:p w14:paraId="78114050">
      <w:pPr>
        <w:spacing w:line="580" w:lineRule="exact"/>
        <w:ind w:firstLine="640"/>
        <w:jc w:val="both"/>
      </w:pPr>
      <w:r>
        <w:rPr>
          <w:rFonts w:ascii="仿宋_GB2312" w:hAnsi="仿宋_GB2312" w:eastAsia="仿宋_GB2312"/>
          <w:b/>
          <w:sz w:val="32"/>
        </w:rPr>
        <w:t>2024年度支出总计1,572.40万元，</w:t>
      </w:r>
      <w:r>
        <w:rPr>
          <w:rFonts w:ascii="仿宋_GB2312" w:hAnsi="仿宋_GB2312" w:eastAsia="仿宋_GB2312"/>
          <w:b w:val="0"/>
          <w:sz w:val="32"/>
        </w:rPr>
        <w:t>其中：本年支出合计1,494.96万元，结余分配0.00万元，年末结转和结余77.45万元。</w:t>
      </w:r>
    </w:p>
    <w:p w14:paraId="5C4FD9DD">
      <w:pPr>
        <w:spacing w:line="580" w:lineRule="exact"/>
        <w:ind w:firstLine="640"/>
        <w:jc w:val="both"/>
      </w:pPr>
      <w:r>
        <w:rPr>
          <w:rFonts w:ascii="仿宋_GB2312" w:hAnsi="仿宋_GB2312" w:eastAsia="仿宋_GB2312"/>
          <w:b w:val="0"/>
          <w:sz w:val="32"/>
        </w:rPr>
        <w:t>收入支出总体与上年相比，增加0.48万元，增长0.03%，主要原因是：本年在职人员增加，在职人员工资调增、社保、公积金基数调增，人员经费增加。</w:t>
      </w:r>
    </w:p>
    <w:p w14:paraId="0253A272">
      <w:pPr>
        <w:spacing w:line="640" w:lineRule="exact"/>
        <w:ind w:firstLine="640"/>
        <w:jc w:val="both"/>
        <w:outlineLvl w:val="2"/>
      </w:pPr>
      <w:r>
        <w:rPr>
          <w:rFonts w:ascii="黑体" w:hAnsi="黑体" w:eastAsia="黑体"/>
          <w:sz w:val="32"/>
        </w:rPr>
        <w:t>二、收入决算情况说明</w:t>
      </w:r>
    </w:p>
    <w:p w14:paraId="2DF93C87">
      <w:pPr>
        <w:spacing w:line="580" w:lineRule="exact"/>
        <w:ind w:firstLine="640"/>
        <w:jc w:val="both"/>
      </w:pPr>
      <w:r>
        <w:rPr>
          <w:rFonts w:ascii="仿宋_GB2312" w:hAnsi="仿宋_GB2312" w:eastAsia="仿宋_GB2312"/>
          <w:b/>
          <w:sz w:val="32"/>
        </w:rPr>
        <w:t>本年收入1,552.29万元，</w:t>
      </w:r>
      <w:r>
        <w:rPr>
          <w:rFonts w:ascii="仿宋_GB2312" w:hAnsi="仿宋_GB2312" w:eastAsia="仿宋_GB2312"/>
          <w:b w:val="0"/>
          <w:sz w:val="32"/>
        </w:rPr>
        <w:t>其中：财政拨款收入1,462.96万元，占94.25%；上级补助收入0.00万元，占0.00%；事业收入0.00万元，占0.00%；经营收入0.00万元，占0.00%；附属单位上缴收入0.00万元，占0.00%；其他收入89.33万元，占5.75%。</w:t>
      </w:r>
    </w:p>
    <w:p w14:paraId="1196CD49">
      <w:pPr>
        <w:spacing w:line="640" w:lineRule="exact"/>
        <w:ind w:firstLine="640"/>
        <w:jc w:val="both"/>
        <w:outlineLvl w:val="2"/>
      </w:pPr>
      <w:r>
        <w:rPr>
          <w:rFonts w:ascii="黑体" w:hAnsi="黑体" w:eastAsia="黑体"/>
          <w:sz w:val="32"/>
        </w:rPr>
        <w:t>三、支出决算情况说明</w:t>
      </w:r>
    </w:p>
    <w:p w14:paraId="1ADE5717">
      <w:pPr>
        <w:spacing w:line="580" w:lineRule="exact"/>
        <w:ind w:firstLine="640"/>
        <w:jc w:val="both"/>
      </w:pPr>
      <w:r>
        <w:rPr>
          <w:rFonts w:ascii="仿宋_GB2312" w:hAnsi="仿宋_GB2312" w:eastAsia="仿宋_GB2312"/>
          <w:b/>
          <w:sz w:val="32"/>
        </w:rPr>
        <w:t>本年支出1,494.96万元，</w:t>
      </w:r>
      <w:r>
        <w:rPr>
          <w:rFonts w:ascii="仿宋_GB2312" w:hAnsi="仿宋_GB2312" w:eastAsia="仿宋_GB2312"/>
          <w:b w:val="0"/>
          <w:sz w:val="32"/>
        </w:rPr>
        <w:t>其中：基本支出1,208.56万元，占80.84%；项目支出286.40万元，占19.16%；上缴上级支出0.00万元，占0.00%；经营支出0.00万元，占0.00%；对附属单位补助支出0.00万元，占0.00%。</w:t>
      </w:r>
    </w:p>
    <w:p w14:paraId="48403E35">
      <w:pPr>
        <w:spacing w:line="640" w:lineRule="exact"/>
        <w:ind w:firstLine="640"/>
        <w:jc w:val="both"/>
        <w:outlineLvl w:val="2"/>
      </w:pPr>
      <w:r>
        <w:rPr>
          <w:rFonts w:ascii="黑体" w:hAnsi="黑体" w:eastAsia="黑体"/>
          <w:sz w:val="32"/>
        </w:rPr>
        <w:t>四、财政拨款收入支出决算总体情况说明</w:t>
      </w:r>
    </w:p>
    <w:p w14:paraId="45D5012E">
      <w:pPr>
        <w:spacing w:line="580" w:lineRule="exact"/>
        <w:ind w:firstLine="640"/>
        <w:jc w:val="both"/>
      </w:pPr>
      <w:r>
        <w:rPr>
          <w:rFonts w:ascii="仿宋_GB2312" w:hAnsi="仿宋_GB2312" w:eastAsia="仿宋_GB2312"/>
          <w:b/>
          <w:sz w:val="32"/>
        </w:rPr>
        <w:t>2024年度财政拨款收入总计1,462.96万元，</w:t>
      </w:r>
      <w:r>
        <w:rPr>
          <w:rFonts w:ascii="仿宋_GB2312" w:hAnsi="仿宋_GB2312" w:eastAsia="仿宋_GB2312"/>
          <w:b w:val="0"/>
          <w:sz w:val="32"/>
        </w:rPr>
        <w:t>其中：年初财政拨款结转和结余0.00万元，本年财政拨款收入1,462.96万元。</w:t>
      </w:r>
      <w:r>
        <w:rPr>
          <w:rFonts w:ascii="仿宋_GB2312" w:hAnsi="仿宋_GB2312" w:eastAsia="仿宋_GB2312"/>
          <w:b/>
          <w:sz w:val="32"/>
        </w:rPr>
        <w:t>财政拨款支出总计1,462.96万元，</w:t>
      </w:r>
      <w:r>
        <w:rPr>
          <w:rFonts w:ascii="仿宋_GB2312" w:hAnsi="仿宋_GB2312" w:eastAsia="仿宋_GB2312"/>
          <w:b w:val="0"/>
          <w:sz w:val="32"/>
        </w:rPr>
        <w:t>其中：年末财政拨款结转和结余0.00万元，本年财政拨款支出1,462.96万元。</w:t>
      </w:r>
    </w:p>
    <w:p w14:paraId="1FD6D31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减少43.60万元，下降2.89%，主要原因是：本年法检绩效项目资金较上年减少。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年初预算数1,396.70万元，决算数1,462.96万元，预决算差异率4.74%，主要原因是：年中追加人员工资、社保、公积金基数调增部分资金。</w:t>
      </w:r>
    </w:p>
    <w:p w14:paraId="08D18E98">
      <w:pPr>
        <w:spacing w:line="640" w:lineRule="exact"/>
        <w:ind w:firstLine="640"/>
        <w:jc w:val="both"/>
        <w:outlineLvl w:val="2"/>
      </w:pPr>
      <w:r>
        <w:rPr>
          <w:rFonts w:ascii="黑体" w:hAnsi="黑体" w:eastAsia="黑体"/>
          <w:sz w:val="32"/>
        </w:rPr>
        <w:t>五、一般公共预算财政拨款支出决算情况说明</w:t>
      </w:r>
    </w:p>
    <w:p w14:paraId="67EBC879">
      <w:pPr>
        <w:spacing w:line="640" w:lineRule="exact"/>
        <w:ind w:firstLine="640"/>
        <w:jc w:val="both"/>
        <w:outlineLvl w:val="3"/>
      </w:pPr>
      <w:r>
        <w:rPr>
          <w:rFonts w:ascii="楷体_GB2312" w:hAnsi="楷体_GB2312" w:eastAsia="楷体_GB2312"/>
          <w:b/>
          <w:sz w:val="32"/>
        </w:rPr>
        <w:t>（一）一般公共预算财政拨款支出决算总体情况</w:t>
      </w:r>
    </w:p>
    <w:p w14:paraId="70813827">
      <w:pPr>
        <w:spacing w:line="580" w:lineRule="exact"/>
        <w:ind w:firstLine="640"/>
        <w:jc w:val="both"/>
      </w:pPr>
      <w:r>
        <w:rPr>
          <w:rFonts w:ascii="仿宋_GB2312" w:hAnsi="仿宋_GB2312" w:eastAsia="仿宋_GB2312"/>
          <w:b/>
          <w:sz w:val="32"/>
        </w:rPr>
        <w:t>2024年度一般公共预算财政拨款支出1,462.96万元，</w:t>
      </w:r>
      <w:r>
        <w:rPr>
          <w:rFonts w:ascii="仿宋_GB2312" w:hAnsi="仿宋_GB2312" w:eastAsia="仿宋_GB2312"/>
          <w:b w:val="0"/>
          <w:sz w:val="32"/>
        </w:rPr>
        <w:t>占本年支出合计的97.86%。</w:t>
      </w:r>
      <w:r>
        <w:rPr>
          <w:rFonts w:ascii="仿宋_GB2312" w:hAnsi="仿宋_GB2312" w:eastAsia="仿宋_GB2312"/>
          <w:b/>
          <w:sz w:val="32"/>
        </w:rPr>
        <w:t>与上年相比，</w:t>
      </w:r>
      <w:r>
        <w:rPr>
          <w:rFonts w:ascii="仿宋_GB2312" w:hAnsi="仿宋_GB2312" w:eastAsia="仿宋_GB2312"/>
          <w:b w:val="0"/>
          <w:sz w:val="32"/>
        </w:rPr>
        <w:t>减少43.60万元，下降2.89%，主要原因是：本年法检绩效项目资金较上年减少。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年初预算数1,396.70万元，决算数1,462.96万元，预决算差异率4.74%，主要原因是：年中追加人员工资、社保、公积金基数调增部分资金。</w:t>
      </w:r>
    </w:p>
    <w:p w14:paraId="4F963DDF">
      <w:pPr>
        <w:spacing w:line="640" w:lineRule="exact"/>
        <w:ind w:firstLine="640"/>
        <w:jc w:val="both"/>
        <w:outlineLvl w:val="3"/>
      </w:pPr>
      <w:r>
        <w:rPr>
          <w:rFonts w:ascii="楷体_GB2312" w:hAnsi="楷体_GB2312" w:eastAsia="楷体_GB2312"/>
          <w:b/>
          <w:sz w:val="32"/>
        </w:rPr>
        <w:t>（二）一般公共预算财政拨款支出决算结构情况</w:t>
      </w:r>
    </w:p>
    <w:p w14:paraId="0A6FC003">
      <w:pPr>
        <w:spacing w:line="580" w:lineRule="exact"/>
        <w:ind w:firstLine="640"/>
        <w:jc w:val="both"/>
      </w:pPr>
      <w:r>
        <w:rPr>
          <w:rFonts w:ascii="仿宋_GB2312" w:hAnsi="仿宋_GB2312" w:eastAsia="仿宋_GB2312"/>
          <w:b w:val="0"/>
          <w:sz w:val="32"/>
        </w:rPr>
        <w:t>1.公共安全支出(类)1,309.19万元,占89.49%。</w:t>
      </w:r>
    </w:p>
    <w:p w14:paraId="21E31A16">
      <w:pPr>
        <w:spacing w:line="580" w:lineRule="exact"/>
        <w:ind w:firstLine="640"/>
        <w:jc w:val="both"/>
      </w:pPr>
      <w:r>
        <w:rPr>
          <w:rFonts w:ascii="仿宋_GB2312" w:hAnsi="仿宋_GB2312" w:eastAsia="仿宋_GB2312"/>
          <w:b w:val="0"/>
          <w:sz w:val="32"/>
        </w:rPr>
        <w:t>2.社会保障和就业支出(类)153.77万元,占10.51%。</w:t>
      </w:r>
    </w:p>
    <w:p w14:paraId="1E2FAE43">
      <w:pPr>
        <w:spacing w:line="640" w:lineRule="exact"/>
        <w:ind w:firstLine="640"/>
        <w:jc w:val="both"/>
        <w:outlineLvl w:val="3"/>
      </w:pPr>
      <w:r>
        <w:rPr>
          <w:rFonts w:ascii="楷体_GB2312" w:hAnsi="楷体_GB2312" w:eastAsia="楷体_GB2312"/>
          <w:b/>
          <w:sz w:val="32"/>
        </w:rPr>
        <w:t>（三）一般公共预算财政拨款支出决算具体情况</w:t>
      </w:r>
    </w:p>
    <w:p w14:paraId="6E84F949">
      <w:pPr>
        <w:spacing w:line="580" w:lineRule="exact"/>
        <w:ind w:firstLine="640"/>
        <w:jc w:val="both"/>
      </w:pPr>
      <w:r>
        <w:rPr>
          <w:rFonts w:ascii="仿宋_GB2312" w:hAnsi="仿宋_GB2312" w:eastAsia="仿宋_GB2312"/>
          <w:b w:val="0"/>
          <w:sz w:val="32"/>
        </w:rPr>
        <w:t>1.公共安全支出(类)法院(款)行政运行(项):支出决算数为832.87万元，比上年决算减少8.37万元，下降0.99%,主要原因是：本年在职人员调入调出，人员职级不同，工资基数不同，导致人员经费较上年减少。</w:t>
      </w:r>
    </w:p>
    <w:p w14:paraId="47E85F8A">
      <w:pPr>
        <w:spacing w:line="580" w:lineRule="exact"/>
        <w:ind w:firstLine="640"/>
        <w:jc w:val="both"/>
      </w:pPr>
      <w:r>
        <w:rPr>
          <w:rFonts w:ascii="仿宋_GB2312" w:hAnsi="仿宋_GB2312" w:eastAsia="仿宋_GB2312"/>
          <w:b w:val="0"/>
          <w:sz w:val="32"/>
        </w:rPr>
        <w:t>2.公共安全支出(类)法院(款)一般行政管理事务(项):支出决算数为21.77万元，比上年决算减少83.23万元，下降79.27%,主要原因是：本年在职人员绩效工资较上年减少。</w:t>
      </w:r>
    </w:p>
    <w:p w14:paraId="7A7F25BA">
      <w:pPr>
        <w:spacing w:line="580" w:lineRule="exact"/>
        <w:ind w:firstLine="640"/>
        <w:jc w:val="both"/>
      </w:pPr>
      <w:r>
        <w:rPr>
          <w:rFonts w:ascii="仿宋_GB2312" w:hAnsi="仿宋_GB2312" w:eastAsia="仿宋_GB2312"/>
          <w:b w:val="0"/>
          <w:sz w:val="32"/>
        </w:rPr>
        <w:t>3.公共安全支出(类)法院(款)事业运行(项):支出决算数为221.91万元，比上年决算增加50.00万元，增长29.08%,主要原因是：本年在职人员工资调增，导致相关人员经费较上年有所增加。</w:t>
      </w:r>
    </w:p>
    <w:p w14:paraId="185A02A7">
      <w:pPr>
        <w:spacing w:line="580" w:lineRule="exact"/>
        <w:ind w:firstLine="640"/>
        <w:jc w:val="both"/>
      </w:pPr>
      <w:r>
        <w:rPr>
          <w:rFonts w:ascii="仿宋_GB2312" w:hAnsi="仿宋_GB2312" w:eastAsia="仿宋_GB2312"/>
          <w:b w:val="0"/>
          <w:sz w:val="32"/>
        </w:rPr>
        <w:t>4.公共安全支出(类)法院(款)其他法院支出(项):支出决算数为232.63万元，比上年决算减少14.21万元，下降5.76%,主要原因是：本年专项工作经费较上年减少。</w:t>
      </w:r>
    </w:p>
    <w:p w14:paraId="40AFAC4C">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5.社会保障和就业支出(类)行政事业单位养老支出(款)行政单位离退休(项):支出决算数为26.46万元，比上年决算减少5.45万元，下降17.08%,主要原因是：本年功能科目调整，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行政单位离退休上年度单独列支，本年调整至主科目列支，导致经费较上年减少。</w:t>
      </w:r>
    </w:p>
    <w:p w14:paraId="6925DE4D">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6.社会保障和就业支出(类)行政事业单位养老支出(款)事业单位离退休(项):支出决算数为2.49万元，比上年决算减少0.20万元，下降7.43%,主要原因是：本年功能科目调整，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事业单位离退休上年度单独列支，本年调整至主科目列支，导致经费较上年减少。</w:t>
      </w:r>
    </w:p>
    <w:p w14:paraId="205C3A26">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121.93万元，比上年决算增加14.97万元，增长14.00%,主要原因是：人员工资基数调增，养老缴费基数上涨，相应支出增加。</w:t>
      </w:r>
    </w:p>
    <w:p w14:paraId="52D846F3">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2.89万元，比上年决算增加2.89万元，增长100.00%,主要原因是：本年功能科目调整，机关事业单位职业年金缴费上年度在主科目列支，本年单独列支，导致经费较上年增加。</w:t>
      </w:r>
    </w:p>
    <w:p w14:paraId="41BF42CB">
      <w:pPr>
        <w:spacing w:line="640" w:lineRule="exact"/>
        <w:ind w:firstLine="640"/>
        <w:jc w:val="both"/>
        <w:outlineLvl w:val="2"/>
      </w:pPr>
      <w:r>
        <w:rPr>
          <w:rFonts w:ascii="黑体" w:hAnsi="黑体" w:eastAsia="黑体"/>
          <w:sz w:val="32"/>
        </w:rPr>
        <w:t>六、一般公共预算财政拨款基本支出决算情况说明</w:t>
      </w:r>
    </w:p>
    <w:p w14:paraId="3EF79BB5">
      <w:pPr>
        <w:spacing w:line="580" w:lineRule="exact"/>
        <w:ind w:firstLine="640"/>
        <w:jc w:val="both"/>
      </w:pPr>
      <w:r>
        <w:rPr>
          <w:rFonts w:ascii="仿宋_GB2312" w:hAnsi="仿宋_GB2312" w:eastAsia="仿宋_GB2312"/>
          <w:b w:val="0"/>
          <w:sz w:val="32"/>
        </w:rPr>
        <w:t>2024年度一般公共预算财政拨款基本支出1,208.56万元，其中：</w:t>
      </w:r>
      <w:r>
        <w:rPr>
          <w:rFonts w:ascii="仿宋_GB2312" w:hAnsi="仿宋_GB2312" w:eastAsia="仿宋_GB2312"/>
          <w:b/>
          <w:sz w:val="32"/>
        </w:rPr>
        <w:t>人员经费1,162.60万元，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66E70586">
      <w:pPr>
        <w:spacing w:line="580" w:lineRule="exact"/>
        <w:ind w:firstLine="640"/>
        <w:jc w:val="both"/>
      </w:pPr>
      <w:r>
        <w:rPr>
          <w:rFonts w:ascii="仿宋_GB2312" w:hAnsi="仿宋_GB2312" w:eastAsia="仿宋_GB2312"/>
          <w:b/>
          <w:sz w:val="32"/>
        </w:rPr>
        <w:t>公用经费45.96万元，</w:t>
      </w:r>
      <w:r>
        <w:rPr>
          <w:rFonts w:ascii="仿宋_GB2312" w:hAnsi="仿宋_GB2312" w:eastAsia="仿宋_GB2312"/>
          <w:b w:val="0"/>
          <w:sz w:val="32"/>
        </w:rPr>
        <w:t>包括：水费、电费、取暖费、物业管理费、差旅费、维修（护）费、公务接待费、工会经费、福利费、公务用车运行维护费、其他商品和服务支出。</w:t>
      </w:r>
    </w:p>
    <w:p w14:paraId="3953E18E">
      <w:pPr>
        <w:spacing w:line="640" w:lineRule="exact"/>
        <w:ind w:firstLine="640"/>
        <w:jc w:val="both"/>
        <w:outlineLvl w:val="2"/>
      </w:pPr>
      <w:r>
        <w:rPr>
          <w:rFonts w:ascii="黑体" w:hAnsi="黑体" w:eastAsia="黑体"/>
          <w:sz w:val="32"/>
        </w:rPr>
        <w:t>七、政府性基金预算财政拨款收入支出决算情况说明</w:t>
      </w:r>
    </w:p>
    <w:p w14:paraId="6AD288F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C6F7089">
      <w:pPr>
        <w:spacing w:line="640" w:lineRule="exact"/>
        <w:ind w:firstLine="640"/>
        <w:jc w:val="both"/>
        <w:outlineLvl w:val="2"/>
      </w:pPr>
      <w:r>
        <w:rPr>
          <w:rFonts w:ascii="黑体" w:hAnsi="黑体" w:eastAsia="黑体"/>
          <w:sz w:val="32"/>
        </w:rPr>
        <w:t>八、国有资本经营预算财政拨款收入支出决算情况说明</w:t>
      </w:r>
    </w:p>
    <w:p w14:paraId="5A88D6C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FD012B">
      <w:pPr>
        <w:spacing w:line="640" w:lineRule="exact"/>
        <w:ind w:firstLine="640"/>
        <w:jc w:val="both"/>
        <w:outlineLvl w:val="2"/>
      </w:pPr>
      <w:r>
        <w:rPr>
          <w:rFonts w:ascii="黑体" w:hAnsi="黑体" w:eastAsia="黑体"/>
          <w:sz w:val="32"/>
        </w:rPr>
        <w:t>九、财政拨款“三公”经费支出决算情况说明</w:t>
      </w:r>
    </w:p>
    <w:p w14:paraId="06510273">
      <w:pPr>
        <w:spacing w:line="580" w:lineRule="exact"/>
        <w:ind w:firstLine="640"/>
        <w:jc w:val="both"/>
      </w:pPr>
      <w:r>
        <w:rPr>
          <w:rFonts w:ascii="仿宋_GB2312" w:hAnsi="仿宋_GB2312" w:eastAsia="仿宋_GB2312"/>
          <w:b/>
          <w:sz w:val="32"/>
        </w:rPr>
        <w:t>2024年度财政拨款“三公”经费支出16.92万元，</w:t>
      </w:r>
      <w:r>
        <w:rPr>
          <w:rFonts w:ascii="仿宋_GB2312" w:hAnsi="仿宋_GB2312" w:eastAsia="仿宋_GB2312"/>
          <w:b w:val="0"/>
          <w:sz w:val="32"/>
        </w:rPr>
        <w:t>比上年减少24.78万元，下降59.42%，主要原因是：本年未购入公务用车，公务用车购置费较上年减少。其中：因公出国（境）费支出0.00万元，占0.00%，比上年增加0.00万元，增长0.00%，主要原因是：2023年与2024年均未安排因公出国（境）费支出。公务用车购置及运行维护费支出16.83万元，占99.47%，比上年减少24.74万元，下降59.51%，主要原因是：本年未购入公务用车，公务用车购置费较上年减少。公务接待费支出0.09万元，占0.53%，比上年减少0.04万元，下降30.77%，主要原因是：严格落实</w:t>
      </w:r>
      <w:r>
        <w:rPr>
          <w:rFonts w:hint="eastAsia" w:ascii="仿宋_GB2312" w:hAnsi="仿宋_GB2312" w:eastAsia="仿宋_GB2312"/>
          <w:b w:val="0"/>
          <w:sz w:val="32"/>
          <w:lang w:eastAsia="zh-CN"/>
        </w:rPr>
        <w:t>中央</w:t>
      </w:r>
      <w:bookmarkStart w:id="0" w:name="_GoBack"/>
      <w:r>
        <w:rPr>
          <w:rFonts w:hint="eastAsia" w:ascii="仿宋_GB2312" w:hAnsi="仿宋_GB2312" w:eastAsia="仿宋_GB2312"/>
          <w:b w:val="0"/>
          <w:sz w:val="32"/>
          <w:lang w:eastAsia="zh-CN"/>
        </w:rPr>
        <w:t>八项规定</w:t>
      </w:r>
      <w:bookmarkEnd w:id="0"/>
      <w:r>
        <w:rPr>
          <w:rFonts w:ascii="仿宋_GB2312" w:hAnsi="仿宋_GB2312" w:eastAsia="仿宋_GB2312"/>
          <w:b w:val="0"/>
          <w:sz w:val="32"/>
        </w:rPr>
        <w:t>精神，厉行节约，减少公务接待费。</w:t>
      </w:r>
    </w:p>
    <w:p w14:paraId="7A5098C4">
      <w:pPr>
        <w:spacing w:line="580" w:lineRule="exact"/>
        <w:ind w:firstLine="640"/>
        <w:jc w:val="both"/>
      </w:pPr>
      <w:r>
        <w:rPr>
          <w:rFonts w:ascii="仿宋_GB2312" w:hAnsi="仿宋_GB2312" w:eastAsia="仿宋_GB2312"/>
          <w:b/>
          <w:sz w:val="32"/>
        </w:rPr>
        <w:t>具体情况如下：</w:t>
      </w:r>
    </w:p>
    <w:p w14:paraId="459C742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B7BECF">
      <w:pPr>
        <w:spacing w:line="580" w:lineRule="exact"/>
        <w:ind w:firstLine="640"/>
        <w:jc w:val="both"/>
      </w:pPr>
      <w:r>
        <w:rPr>
          <w:rFonts w:ascii="仿宋_GB2312" w:hAnsi="仿宋_GB2312" w:eastAsia="仿宋_GB2312"/>
          <w:b w:val="0"/>
          <w:sz w:val="32"/>
        </w:rPr>
        <w:t>公务用车购置及运行维护费16.83万元，其中：公务用车购置费0.00万元，公务用车运行维护费16.83万元。公务用车运行维护费开支内容包括车辆加油费、维修费、保险费、审车费等。公务用车购置数0辆，公务用车保有量9辆。国有资产占用情况中固定资产车辆9辆，与公务用车保有量差异原因是：本单位固定资产车辆与公务用车保有量一致无差异。</w:t>
      </w:r>
    </w:p>
    <w:p w14:paraId="5CD3B610">
      <w:pPr>
        <w:spacing w:line="580" w:lineRule="exact"/>
        <w:ind w:firstLine="640"/>
        <w:jc w:val="both"/>
      </w:pPr>
      <w:r>
        <w:rPr>
          <w:rFonts w:ascii="仿宋_GB2312" w:hAnsi="仿宋_GB2312" w:eastAsia="仿宋_GB2312"/>
          <w:b w:val="0"/>
          <w:sz w:val="32"/>
        </w:rPr>
        <w:t>公务接待费0.09万元，开支内容包括接待江苏法院领导考察学习产生的就餐费。单位全年安排的国内公务接待2批次，11人次。</w:t>
      </w:r>
    </w:p>
    <w:p w14:paraId="10D27B6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16.92万元，决算数16.92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16.83万元，决算数16.83万元，预决算差异率0.00%，主要原因是：严格按照预算执行，预决算无差异。公务接待费全年预算数0.09万元，决算数0.09万元，预决算差异率0.00%，主要原因是：严格按照预算执行，预决算无差异。</w:t>
      </w:r>
    </w:p>
    <w:p w14:paraId="45A7411F">
      <w:pPr>
        <w:spacing w:line="640" w:lineRule="exact"/>
        <w:ind w:firstLine="640"/>
        <w:jc w:val="both"/>
        <w:outlineLvl w:val="2"/>
      </w:pPr>
      <w:r>
        <w:rPr>
          <w:rFonts w:ascii="黑体" w:hAnsi="黑体" w:eastAsia="黑体"/>
          <w:sz w:val="32"/>
        </w:rPr>
        <w:t>十、其他重要事项的情况说明</w:t>
      </w:r>
    </w:p>
    <w:p w14:paraId="777B6DDF">
      <w:pPr>
        <w:spacing w:line="640" w:lineRule="exact"/>
        <w:ind w:firstLine="640"/>
        <w:jc w:val="both"/>
        <w:outlineLvl w:val="3"/>
      </w:pPr>
      <w:r>
        <w:rPr>
          <w:rFonts w:ascii="楷体_GB2312" w:hAnsi="楷体_GB2312" w:eastAsia="楷体_GB2312"/>
          <w:b/>
          <w:sz w:val="32"/>
        </w:rPr>
        <w:t>（一）机关运行经费及公用经费支出情况</w:t>
      </w:r>
    </w:p>
    <w:p w14:paraId="635F7B70">
      <w:pPr>
        <w:spacing w:line="580" w:lineRule="exact"/>
        <w:ind w:firstLine="640"/>
        <w:jc w:val="both"/>
      </w:pPr>
      <w:r>
        <w:rPr>
          <w:rFonts w:ascii="仿宋_GB2312" w:hAnsi="仿宋_GB2312" w:eastAsia="仿宋_GB2312"/>
          <w:b w:val="0"/>
          <w:sz w:val="32"/>
        </w:rPr>
        <w:t>2024年度阿合奇县人民法院（行政单位和参照公务员法管理事业单位）机关运行经费支出45.96万元，比上年增加2.45万元，增长5.63%，主要原因是：本年业务量增加，公用经费增加。</w:t>
      </w:r>
    </w:p>
    <w:p w14:paraId="54E30BCC">
      <w:pPr>
        <w:spacing w:line="640" w:lineRule="exact"/>
        <w:ind w:firstLine="640"/>
        <w:jc w:val="both"/>
        <w:outlineLvl w:val="3"/>
      </w:pPr>
      <w:r>
        <w:rPr>
          <w:rFonts w:ascii="楷体_GB2312" w:hAnsi="楷体_GB2312" w:eastAsia="楷体_GB2312"/>
          <w:b/>
          <w:sz w:val="32"/>
        </w:rPr>
        <w:t>（二）政府采购情况</w:t>
      </w:r>
    </w:p>
    <w:p w14:paraId="1094375F">
      <w:pPr>
        <w:spacing w:line="580" w:lineRule="exact"/>
        <w:ind w:firstLine="640"/>
        <w:jc w:val="both"/>
      </w:pPr>
      <w:r>
        <w:rPr>
          <w:rFonts w:ascii="仿宋_GB2312" w:hAnsi="仿宋_GB2312" w:eastAsia="仿宋_GB2312"/>
          <w:b w:val="0"/>
          <w:sz w:val="32"/>
        </w:rPr>
        <w:t>2024年度政府采购支出总额74.81万元，其中：政府采购货物支出37.81万元、政府采购工程支出2.50万元、政府采购服务支出34.50万元。</w:t>
      </w:r>
    </w:p>
    <w:p w14:paraId="79869B80">
      <w:pPr>
        <w:spacing w:line="580" w:lineRule="exact"/>
        <w:ind w:firstLine="640"/>
        <w:jc w:val="both"/>
      </w:pPr>
      <w:r>
        <w:rPr>
          <w:rFonts w:ascii="仿宋_GB2312" w:hAnsi="仿宋_GB2312" w:eastAsia="仿宋_GB2312"/>
          <w:b w:val="0"/>
          <w:sz w:val="32"/>
        </w:rPr>
        <w:t>授予中小企业合同金额74.81万元，占政府采购支出总额的100.00%，其中：授予小微企业合同金额74.81万元，占政府采购支出总额的100.00%。</w:t>
      </w:r>
    </w:p>
    <w:p w14:paraId="4F6F8EFF">
      <w:pPr>
        <w:spacing w:line="640" w:lineRule="exact"/>
        <w:ind w:firstLine="640"/>
        <w:jc w:val="both"/>
        <w:outlineLvl w:val="3"/>
      </w:pPr>
      <w:r>
        <w:rPr>
          <w:rFonts w:ascii="楷体_GB2312" w:hAnsi="楷体_GB2312" w:eastAsia="楷体_GB2312"/>
          <w:b/>
          <w:sz w:val="32"/>
        </w:rPr>
        <w:t>（三）国有资产占用情况说明</w:t>
      </w:r>
    </w:p>
    <w:p w14:paraId="326D9CB5">
      <w:pPr>
        <w:spacing w:line="580" w:lineRule="exact"/>
        <w:ind w:firstLine="640"/>
        <w:jc w:val="both"/>
      </w:pPr>
      <w:r>
        <w:rPr>
          <w:rFonts w:ascii="仿宋_GB2312" w:hAnsi="仿宋_GB2312" w:eastAsia="仿宋_GB2312"/>
          <w:b w:val="0"/>
          <w:sz w:val="32"/>
        </w:rPr>
        <w:t>截至2024年12月31日，房屋4,084.00平方米，价值759.00万元。车辆9辆，价值188.48万元，其中：副部（省）级及以上领导用车0辆、主要负责人用车0辆、机要通信用车0辆、应急保障用车0辆、执法执勤用车9辆、特种专业技术用车0辆、离退休干部服务用车0辆、其他用车0辆，其他用车主要是：本单位无其他用车。单价100万元（含）以上设备（不含车辆）0台（套）。</w:t>
      </w:r>
    </w:p>
    <w:p w14:paraId="7F7C4D36">
      <w:pPr>
        <w:spacing w:line="640" w:lineRule="exact"/>
        <w:ind w:firstLine="640"/>
        <w:jc w:val="both"/>
        <w:outlineLvl w:val="2"/>
      </w:pPr>
      <w:r>
        <w:rPr>
          <w:rFonts w:ascii="黑体" w:hAnsi="黑体" w:eastAsia="黑体"/>
          <w:sz w:val="32"/>
        </w:rPr>
        <w:t>十一、预算绩效的情况说明</w:t>
      </w:r>
    </w:p>
    <w:p w14:paraId="7CC214D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1,572.40万元，实际执行总额1,494.96万元；预算绩效评价项目2个，全年预算数74.89万元，全年执行数61.89万元。预算绩效管理取得的成效：一是为加强预算管理，规范财务行为，已制定各项管理制度，有效保障了高效履行工作职能，二是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，对于指标的编制还不够完善。评价工作还存在自我审定的局限性，影响评价质量。下一步改进措施：一是加大预算绩效评价公开力度；二是不仅各类预算支出项目的绩效目标需要公开，三是还应进一步较为详细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公开预算绩效评价结果及后续的追踪问责机制，避免出现各预算单位“自说自话”问题，实现信息透明、共享。具体附整体支出绩效自评表，项目支出绩效自评表和评价报告。</w:t>
      </w:r>
    </w:p>
    <w:p w14:paraId="6722667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B0AE4F">
        <w:tblPrEx>
          <w:tblCellMar>
            <w:top w:w="0" w:type="dxa"/>
            <w:left w:w="108" w:type="dxa"/>
            <w:bottom w:w="0" w:type="dxa"/>
            <w:right w:w="108" w:type="dxa"/>
          </w:tblCellMar>
        </w:tblPrEx>
        <w:tc>
          <w:tcPr>
            <w:tcW w:w="8840" w:type="dxa"/>
            <w:gridSpan w:val="8"/>
            <w:vAlign w:val="center"/>
          </w:tcPr>
          <w:p w14:paraId="6493E933">
            <w:pPr>
              <w:jc w:val="center"/>
            </w:pPr>
            <w:r>
              <w:rPr>
                <w:rFonts w:ascii="宋体" w:hAnsi="宋体" w:eastAsia="宋体"/>
                <w:sz w:val="24"/>
              </w:rPr>
              <w:t>单位整体支出绩效自评表</w:t>
            </w:r>
          </w:p>
        </w:tc>
      </w:tr>
      <w:tr w14:paraId="44E1A47F">
        <w:tblPrEx>
          <w:tblCellMar>
            <w:top w:w="0" w:type="dxa"/>
            <w:left w:w="108" w:type="dxa"/>
            <w:bottom w:w="0" w:type="dxa"/>
            <w:right w:w="108" w:type="dxa"/>
          </w:tblCellMar>
        </w:tblPrEx>
        <w:tc>
          <w:tcPr>
            <w:tcW w:w="8840" w:type="dxa"/>
            <w:gridSpan w:val="8"/>
            <w:vAlign w:val="center"/>
          </w:tcPr>
          <w:p w14:paraId="0F85396B">
            <w:pPr>
              <w:jc w:val="center"/>
            </w:pPr>
            <w:r>
              <w:rPr>
                <w:rFonts w:ascii="宋体" w:hAnsi="宋体" w:eastAsia="宋体"/>
                <w:sz w:val="24"/>
              </w:rPr>
              <w:t>（2024年度）</w:t>
            </w:r>
          </w:p>
        </w:tc>
      </w:tr>
      <w:tr w14:paraId="0239971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7AE1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6E326">
            <w:pPr>
              <w:jc w:val="center"/>
            </w:pPr>
            <w:r>
              <w:rPr>
                <w:rFonts w:ascii="宋体" w:hAnsi="宋体" w:eastAsia="宋体"/>
                <w:sz w:val="16"/>
              </w:rPr>
              <w:t>阿合奇县人民法院</w:t>
            </w:r>
          </w:p>
        </w:tc>
      </w:tr>
      <w:tr w14:paraId="637B49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C058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D3CA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D544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D1E2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7B30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C93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C3CA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B9B3D">
            <w:pPr>
              <w:jc w:val="center"/>
            </w:pPr>
            <w:r>
              <w:rPr>
                <w:rFonts w:ascii="宋体" w:hAnsi="宋体" w:eastAsia="宋体"/>
                <w:sz w:val="16"/>
              </w:rPr>
              <w:t>得分</w:t>
            </w:r>
          </w:p>
        </w:tc>
      </w:tr>
      <w:tr w14:paraId="0296C3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ADE0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0B6A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B709E">
            <w:pPr>
              <w:jc w:val="center"/>
            </w:pPr>
            <w:r>
              <w:rPr>
                <w:rFonts w:ascii="宋体" w:hAnsi="宋体" w:eastAsia="宋体"/>
                <w:sz w:val="16"/>
              </w:rPr>
              <w:t>1,471.59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93E21">
            <w:pPr>
              <w:jc w:val="center"/>
            </w:pPr>
            <w:r>
              <w:rPr>
                <w:rFonts w:ascii="宋体" w:hAnsi="宋体" w:eastAsia="宋体"/>
                <w:sz w:val="16"/>
              </w:rPr>
              <w:t>1,572.40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C0676">
            <w:pPr>
              <w:jc w:val="center"/>
            </w:pPr>
            <w:r>
              <w:rPr>
                <w:rFonts w:ascii="宋体" w:hAnsi="宋体" w:eastAsia="宋体"/>
                <w:sz w:val="16"/>
              </w:rPr>
              <w:t>1,494.96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F102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E505A">
            <w:pPr>
              <w:jc w:val="center"/>
            </w:pPr>
            <w:r>
              <w:rPr>
                <w:rFonts w:ascii="宋体" w:hAnsi="宋体" w:eastAsia="宋体"/>
                <w:sz w:val="16"/>
              </w:rPr>
              <w:t>95.08%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E4890">
            <w:pPr>
              <w:jc w:val="center"/>
              <w:rPr>
                <w:rFonts w:hint="default" w:eastAsia="宋体"/>
                <w:lang w:val="en-US" w:eastAsia="zh-CN"/>
              </w:rPr>
            </w:pPr>
            <w:r>
              <w:rPr>
                <w:rFonts w:hint="eastAsia" w:ascii="宋体" w:hAnsi="宋体"/>
                <w:sz w:val="16"/>
                <w:lang w:val="en-US" w:eastAsia="zh-CN"/>
              </w:rPr>
              <w:t>9.51</w:t>
            </w:r>
          </w:p>
        </w:tc>
      </w:tr>
      <w:tr w14:paraId="4AE8AD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AD72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87C0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C2A6F">
            <w:pPr>
              <w:jc w:val="center"/>
            </w:pPr>
            <w:r>
              <w:rPr>
                <w:rFonts w:ascii="宋体" w:hAnsi="宋体" w:eastAsia="宋体"/>
                <w:sz w:val="16"/>
              </w:rPr>
              <w:t>182.63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DF310">
            <w:pPr>
              <w:jc w:val="center"/>
            </w:pPr>
            <w:r>
              <w:rPr>
                <w:rFonts w:ascii="宋体" w:hAnsi="宋体" w:eastAsia="宋体"/>
                <w:sz w:val="16"/>
              </w:rPr>
              <w:t>331.84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3F6A2">
            <w:pPr>
              <w:jc w:val="center"/>
            </w:pPr>
            <w:r>
              <w:rPr>
                <w:rFonts w:ascii="宋体" w:hAnsi="宋体" w:eastAsia="宋体"/>
                <w:sz w:val="16"/>
              </w:rPr>
              <w:t>254.40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FD6C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9443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BDF69">
            <w:pPr>
              <w:jc w:val="center"/>
            </w:pPr>
            <w:r>
              <w:rPr>
                <w:rFonts w:ascii="宋体" w:hAnsi="宋体" w:eastAsia="宋体"/>
                <w:sz w:val="16"/>
              </w:rPr>
              <w:t>—</w:t>
            </w:r>
          </w:p>
        </w:tc>
      </w:tr>
      <w:tr w14:paraId="19009A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1087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E016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AB07A">
            <w:pPr>
              <w:jc w:val="center"/>
            </w:pPr>
            <w:r>
              <w:rPr>
                <w:rFonts w:ascii="宋体" w:hAnsi="宋体" w:eastAsia="宋体"/>
                <w:sz w:val="16"/>
              </w:rPr>
              <w:t>1,214.07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87739">
            <w:pPr>
              <w:jc w:val="center"/>
            </w:pPr>
            <w:r>
              <w:rPr>
                <w:rFonts w:ascii="宋体" w:hAnsi="宋体" w:eastAsia="宋体"/>
                <w:sz w:val="16"/>
              </w:rPr>
              <w:t>1,208.56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A50B7">
            <w:pPr>
              <w:jc w:val="center"/>
            </w:pPr>
            <w:r>
              <w:rPr>
                <w:rFonts w:ascii="宋体" w:hAnsi="宋体" w:eastAsia="宋体"/>
                <w:sz w:val="16"/>
              </w:rPr>
              <w:t>1,208.56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318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5536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53438">
            <w:pPr>
              <w:jc w:val="center"/>
            </w:pPr>
            <w:r>
              <w:rPr>
                <w:rFonts w:ascii="宋体" w:hAnsi="宋体" w:eastAsia="宋体"/>
                <w:sz w:val="16"/>
              </w:rPr>
              <w:t>—</w:t>
            </w:r>
          </w:p>
        </w:tc>
      </w:tr>
      <w:tr w14:paraId="547D66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2887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9028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AC18FB">
            <w:pPr>
              <w:jc w:val="center"/>
            </w:pPr>
            <w:r>
              <w:rPr>
                <w:rFonts w:ascii="宋体" w:hAnsi="宋体" w:eastAsia="宋体"/>
                <w:sz w:val="16"/>
              </w:rPr>
              <w:t>74.89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E6EA6D">
            <w:pPr>
              <w:jc w:val="center"/>
            </w:pPr>
            <w:r>
              <w:rPr>
                <w:rFonts w:ascii="宋体" w:hAnsi="宋体" w:eastAsia="宋体"/>
                <w:sz w:val="16"/>
              </w:rPr>
              <w:t>32.00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B3A2B">
            <w:pPr>
              <w:jc w:val="center"/>
            </w:pPr>
            <w:r>
              <w:rPr>
                <w:rFonts w:ascii="宋体" w:hAnsi="宋体" w:eastAsia="宋体"/>
                <w:sz w:val="16"/>
              </w:rPr>
              <w:t>32.00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5A1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6F6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53D31">
            <w:pPr>
              <w:jc w:val="center"/>
            </w:pPr>
            <w:r>
              <w:rPr>
                <w:rFonts w:ascii="宋体" w:hAnsi="宋体" w:eastAsia="宋体"/>
                <w:sz w:val="16"/>
              </w:rPr>
              <w:t>—</w:t>
            </w:r>
          </w:p>
        </w:tc>
      </w:tr>
      <w:tr w14:paraId="56FCD7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D73B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E09F4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DA0DD9">
            <w:pPr>
              <w:jc w:val="center"/>
            </w:pPr>
            <w:r>
              <w:rPr>
                <w:rFonts w:ascii="宋体" w:hAnsi="宋体" w:eastAsia="宋体"/>
                <w:sz w:val="16"/>
              </w:rPr>
              <w:t>实际完成情况</w:t>
            </w:r>
          </w:p>
        </w:tc>
      </w:tr>
      <w:tr w14:paraId="6D72DE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D101D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9B39A0">
            <w:pPr>
              <w:jc w:val="both"/>
            </w:pPr>
            <w:r>
              <w:rPr>
                <w:rFonts w:ascii="宋体" w:hAnsi="宋体" w:eastAsia="宋体"/>
                <w:sz w:val="16"/>
              </w:rPr>
              <w:t>1.把维护国家安全贯穿法院工作各方面全过程，严惩危害国家安全犯罪，坚决维护国家政治安全，全年受理案件数量不少于1400件。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2.坚持以人民安全为宗旨，依法惩治各类违法犯罪，切实维护国家政治安全、社会稳定和人民安宁。全年案件办结率不低于90%。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3.着力解决人民群众“急难愁盼”，依法办案、依规办案，守司法为民初心，担公正司法使命，让司法服务有力度、有是非、有温度。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4.保障在职人员、聘用制书记员、退休人员等工资，支付社保、医疗，公积金等共1168.1万元。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5.公用经费保障本院日常运行共45.97万元。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4C92EA">
            <w:pPr>
              <w:jc w:val="both"/>
            </w:pPr>
            <w:r>
              <w:rPr>
                <w:rFonts w:ascii="宋体" w:hAnsi="宋体" w:eastAsia="宋体"/>
                <w:sz w:val="16"/>
              </w:rPr>
              <w:t>1.阿合奇县人民法院全年审执结2799件，案件判决准确率100%；2.阿合奇县人民法院全年审执结2799件，结案率96.3%。3.开展送法进乡村、进社区、进机关、进“巴扎”活动12场次，为百余家企业送法宣传，受众人数达1000余人次，为企业发展提供精准法律服务，指标完成率为100%。4.开展干警培训40人次，培养一支优秀的干警队伍</w:t>
            </w:r>
            <w:r>
              <w:rPr>
                <w:rFonts w:hint="eastAsia" w:ascii="宋体" w:hAnsi="宋体"/>
                <w:sz w:val="16"/>
                <w:lang w:eastAsia="zh-CN"/>
              </w:rPr>
              <w:t>。</w:t>
            </w:r>
            <w:r>
              <w:rPr>
                <w:rFonts w:ascii="宋体" w:hAnsi="宋体" w:eastAsia="宋体"/>
                <w:sz w:val="16"/>
              </w:rPr>
              <w:t>5.我们坚持以人民为中心，用心用情办好暖民心、顺民意的案件和实事，努力让人民群众感受到公平正义就在身边。受理各类民商事案件1009件。6</w:t>
            </w:r>
            <w:r>
              <w:rPr>
                <w:rFonts w:hint="eastAsia" w:ascii="宋体" w:hAnsi="宋体"/>
                <w:sz w:val="16"/>
                <w:lang w:eastAsia="zh-CN"/>
              </w:rPr>
              <w:t>.我</w:t>
            </w:r>
            <w:r>
              <w:rPr>
                <w:rFonts w:ascii="宋体" w:hAnsi="宋体" w:eastAsia="宋体"/>
                <w:sz w:val="16"/>
              </w:rPr>
              <w:t>们坚持以人民为中心，用心用情办好暖民心、顺民意的案件和实事，努力让人民群众感受到公平正义就在身边。受理执行案件689件。7.我们高举法治旗帜，严格依法办案，有效发挥法治固根本、稳预期、利长远的作用，推动建设更高水平的平安阿合奇、法治阿合奇。全年共受理各类刑事案件58件。</w:t>
            </w:r>
          </w:p>
        </w:tc>
      </w:tr>
      <w:tr w14:paraId="28ED2D4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A974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A9A2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8370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75D4C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70B6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2A01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DADC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533E2">
            <w:pPr>
              <w:jc w:val="center"/>
            </w:pPr>
            <w:r>
              <w:rPr>
                <w:rFonts w:ascii="宋体" w:hAnsi="宋体" w:eastAsia="宋体"/>
                <w:sz w:val="16"/>
              </w:rPr>
              <w:t>得分</w:t>
            </w:r>
          </w:p>
        </w:tc>
      </w:tr>
      <w:tr w14:paraId="26186C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2EE6F">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9BC8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33B66">
            <w:pPr>
              <w:jc w:val="center"/>
            </w:pPr>
            <w:r>
              <w:rPr>
                <w:rFonts w:ascii="宋体" w:hAnsi="宋体" w:eastAsia="宋体"/>
                <w:sz w:val="16"/>
              </w:rPr>
              <w:t>案件判决准确率（%）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FE7A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2B1E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2849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014A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228CA">
            <w:pPr>
              <w:jc w:val="center"/>
            </w:pPr>
            <w:r>
              <w:rPr>
                <w:rFonts w:ascii="宋体" w:hAnsi="宋体" w:eastAsia="宋体"/>
                <w:sz w:val="16"/>
              </w:rPr>
              <w:t>15</w:t>
            </w:r>
          </w:p>
        </w:tc>
      </w:tr>
      <w:tr w14:paraId="5AD912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3A9A8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9BD8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8B5E3">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E75B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5CD5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5669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78E04">
            <w:pPr>
              <w:jc w:val="center"/>
            </w:pPr>
            <w:r>
              <w:rPr>
                <w:rFonts w:ascii="宋体" w:hAnsi="宋体" w:eastAsia="宋体"/>
                <w:sz w:val="16"/>
              </w:rPr>
              <w:t>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EA494">
            <w:pPr>
              <w:jc w:val="center"/>
            </w:pPr>
            <w:r>
              <w:rPr>
                <w:rFonts w:ascii="宋体" w:hAnsi="宋体" w:eastAsia="宋体"/>
                <w:sz w:val="16"/>
              </w:rPr>
              <w:t>15</w:t>
            </w:r>
          </w:p>
        </w:tc>
      </w:tr>
      <w:tr w14:paraId="613221F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524E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0F7D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44598">
            <w:pPr>
              <w:jc w:val="center"/>
            </w:pPr>
            <w:r>
              <w:rPr>
                <w:rFonts w:ascii="宋体" w:hAnsi="宋体" w:eastAsia="宋体"/>
                <w:sz w:val="16"/>
              </w:rPr>
              <w:t>法律宣传次数（次）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ADB96">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AB1A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B3B7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AFD14">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B5885">
            <w:pPr>
              <w:jc w:val="center"/>
            </w:pPr>
            <w:r>
              <w:rPr>
                <w:rFonts w:ascii="宋体" w:hAnsi="宋体" w:eastAsia="宋体"/>
                <w:sz w:val="16"/>
              </w:rPr>
              <w:t>15</w:t>
            </w:r>
          </w:p>
        </w:tc>
      </w:tr>
      <w:tr w14:paraId="671032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9315B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5528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9021D">
            <w:pPr>
              <w:jc w:val="center"/>
            </w:pPr>
            <w:r>
              <w:rPr>
                <w:rFonts w:ascii="宋体" w:hAnsi="宋体" w:eastAsia="宋体"/>
                <w:sz w:val="16"/>
              </w:rPr>
              <w:t>完成干警培训人次（次）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5FCB7">
            <w:pPr>
              <w:jc w:val="center"/>
            </w:pPr>
            <w:r>
              <w:rPr>
                <w:rFonts w:ascii="宋体" w:hAnsi="宋体" w:eastAsia="宋体"/>
                <w:sz w:val="16"/>
              </w:rPr>
              <w:t>&gt;=40人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81E3B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73D9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B1A2C">
            <w:pPr>
              <w:jc w:val="center"/>
            </w:pPr>
            <w:r>
              <w:rPr>
                <w:rFonts w:ascii="宋体" w:hAnsi="宋体" w:eastAsia="宋体"/>
                <w:sz w:val="16"/>
              </w:rPr>
              <w:t>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CF345">
            <w:pPr>
              <w:jc w:val="center"/>
            </w:pPr>
            <w:r>
              <w:rPr>
                <w:rFonts w:ascii="宋体" w:hAnsi="宋体" w:eastAsia="宋体"/>
                <w:sz w:val="16"/>
              </w:rPr>
              <w:t>15</w:t>
            </w:r>
          </w:p>
        </w:tc>
      </w:tr>
      <w:tr w14:paraId="01AF32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152EC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A17B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164284">
            <w:pPr>
              <w:jc w:val="center"/>
            </w:pPr>
            <w:r>
              <w:rPr>
                <w:rFonts w:ascii="宋体" w:hAnsi="宋体" w:eastAsia="宋体"/>
                <w:sz w:val="16"/>
              </w:rPr>
              <w:t>民事案件结案数（件）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09119">
            <w:pPr>
              <w:jc w:val="center"/>
            </w:pPr>
            <w:r>
              <w:rPr>
                <w:rFonts w:ascii="宋体" w:hAnsi="宋体" w:eastAsia="宋体"/>
                <w:sz w:val="16"/>
              </w:rPr>
              <w:t>&gt;=500件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04A1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5A78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DD5E0">
            <w:pPr>
              <w:jc w:val="center"/>
            </w:pPr>
            <w:r>
              <w:rPr>
                <w:rFonts w:ascii="宋体" w:hAnsi="宋体" w:eastAsia="宋体"/>
                <w:sz w:val="16"/>
              </w:rPr>
              <w:t>1009件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C0CC3">
            <w:pPr>
              <w:jc w:val="center"/>
            </w:pPr>
            <w:r>
              <w:rPr>
                <w:rFonts w:ascii="宋体" w:hAnsi="宋体" w:eastAsia="宋体"/>
                <w:sz w:val="16"/>
              </w:rPr>
              <w:t>10</w:t>
            </w:r>
          </w:p>
        </w:tc>
      </w:tr>
      <w:tr w14:paraId="24DD6B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0D65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FA52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461EB">
            <w:pPr>
              <w:jc w:val="center"/>
            </w:pPr>
            <w:r>
              <w:rPr>
                <w:rFonts w:ascii="宋体" w:hAnsi="宋体" w:eastAsia="宋体"/>
                <w:sz w:val="16"/>
              </w:rPr>
              <w:t>执行案件结案数（件）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6C484">
            <w:pPr>
              <w:jc w:val="center"/>
            </w:pPr>
            <w:r>
              <w:rPr>
                <w:rFonts w:ascii="宋体" w:hAnsi="宋体" w:eastAsia="宋体"/>
                <w:sz w:val="16"/>
              </w:rPr>
              <w:t>&gt;=600件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CB71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45DE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DAF1C">
            <w:pPr>
              <w:jc w:val="center"/>
            </w:pPr>
            <w:r>
              <w:rPr>
                <w:rFonts w:ascii="宋体" w:hAnsi="宋体" w:eastAsia="宋体"/>
                <w:sz w:val="16"/>
              </w:rPr>
              <w:t>689件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A4C06">
            <w:pPr>
              <w:jc w:val="center"/>
            </w:pPr>
            <w:r>
              <w:rPr>
                <w:rFonts w:ascii="宋体" w:hAnsi="宋体" w:eastAsia="宋体"/>
                <w:sz w:val="16"/>
              </w:rPr>
              <w:t>10</w:t>
            </w:r>
          </w:p>
        </w:tc>
      </w:tr>
      <w:tr w14:paraId="102326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7696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8485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74C9A">
            <w:pPr>
              <w:jc w:val="center"/>
            </w:pPr>
            <w:r>
              <w:rPr>
                <w:rFonts w:ascii="宋体" w:hAnsi="宋体" w:eastAsia="宋体"/>
                <w:sz w:val="16"/>
              </w:rPr>
              <w:t>刑事案件结案数（件）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63673">
            <w:pPr>
              <w:jc w:val="center"/>
            </w:pPr>
            <w:r>
              <w:rPr>
                <w:rFonts w:ascii="宋体" w:hAnsi="宋体" w:eastAsia="宋体"/>
                <w:sz w:val="16"/>
              </w:rPr>
              <w:t>&gt;=40件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E780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8DEE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22A5C">
            <w:pPr>
              <w:jc w:val="center"/>
            </w:pPr>
            <w:r>
              <w:rPr>
                <w:rFonts w:ascii="宋体" w:hAnsi="宋体" w:eastAsia="宋体"/>
                <w:sz w:val="16"/>
              </w:rPr>
              <w:t>58件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0ECD3">
            <w:pPr>
              <w:jc w:val="center"/>
            </w:pPr>
            <w:r>
              <w:rPr>
                <w:rFonts w:ascii="宋体" w:hAnsi="宋体" w:eastAsia="宋体"/>
                <w:sz w:val="16"/>
              </w:rPr>
              <w:t>10</w:t>
            </w:r>
          </w:p>
        </w:tc>
      </w:tr>
    </w:tbl>
    <w:p w14:paraId="004CD3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B06375A">
        <w:tblPrEx>
          <w:tblCellMar>
            <w:top w:w="0" w:type="dxa"/>
            <w:left w:w="108" w:type="dxa"/>
            <w:bottom w:w="0" w:type="dxa"/>
            <w:right w:w="108" w:type="dxa"/>
          </w:tblCellMar>
        </w:tblPrEx>
        <w:tc>
          <w:tcPr>
            <w:tcW w:w="8848" w:type="dxa"/>
            <w:gridSpan w:val="14"/>
            <w:vAlign w:val="center"/>
          </w:tcPr>
          <w:p w14:paraId="631B7BDD">
            <w:pPr>
              <w:jc w:val="center"/>
            </w:pPr>
            <w:r>
              <w:rPr>
                <w:rFonts w:ascii="宋体" w:hAnsi="宋体" w:eastAsia="宋体"/>
                <w:sz w:val="24"/>
              </w:rPr>
              <w:t>项目支出绩效自评表</w:t>
            </w:r>
          </w:p>
        </w:tc>
      </w:tr>
      <w:tr w14:paraId="7E8C3F85">
        <w:tblPrEx>
          <w:tblCellMar>
            <w:top w:w="0" w:type="dxa"/>
            <w:left w:w="108" w:type="dxa"/>
            <w:bottom w:w="0" w:type="dxa"/>
            <w:right w:w="108" w:type="dxa"/>
          </w:tblCellMar>
        </w:tblPrEx>
        <w:tc>
          <w:tcPr>
            <w:tcW w:w="8848" w:type="dxa"/>
            <w:gridSpan w:val="14"/>
            <w:vAlign w:val="center"/>
          </w:tcPr>
          <w:p w14:paraId="699AF594">
            <w:pPr>
              <w:jc w:val="center"/>
            </w:pPr>
            <w:r>
              <w:rPr>
                <w:rFonts w:ascii="宋体" w:hAnsi="宋体" w:eastAsia="宋体"/>
                <w:sz w:val="24"/>
              </w:rPr>
              <w:t>(2024年度)</w:t>
            </w:r>
          </w:p>
        </w:tc>
      </w:tr>
      <w:tr w14:paraId="7F002E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B9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DC354D">
            <w:pPr>
              <w:jc w:val="center"/>
            </w:pPr>
            <w:r>
              <w:rPr>
                <w:rFonts w:ascii="宋体" w:hAnsi="宋体" w:eastAsia="宋体"/>
                <w:sz w:val="16"/>
              </w:rPr>
              <w:t>2023年无锡援疆资金</w:t>
            </w:r>
          </w:p>
        </w:tc>
      </w:tr>
      <w:tr w14:paraId="7CA733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83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C3638">
            <w:pPr>
              <w:jc w:val="center"/>
            </w:pPr>
            <w:r>
              <w:rPr>
                <w:rFonts w:ascii="宋体" w:hAnsi="宋体" w:eastAsia="宋体"/>
                <w:sz w:val="16"/>
              </w:rPr>
              <w:t>阿合奇县人民法院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A6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D1E41">
            <w:pPr>
              <w:jc w:val="center"/>
            </w:pPr>
            <w:r>
              <w:rPr>
                <w:rFonts w:ascii="宋体" w:hAnsi="宋体" w:eastAsia="宋体"/>
                <w:sz w:val="16"/>
              </w:rPr>
              <w:t>阿合奇县人民法院</w:t>
            </w:r>
          </w:p>
        </w:tc>
      </w:tr>
      <w:tr w14:paraId="2E978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584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A8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E14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88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5D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2BA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D4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8687">
            <w:pPr>
              <w:jc w:val="center"/>
            </w:pPr>
            <w:r>
              <w:rPr>
                <w:rFonts w:ascii="宋体" w:hAnsi="宋体" w:eastAsia="宋体"/>
                <w:sz w:val="16"/>
              </w:rPr>
              <w:t>得分</w:t>
            </w:r>
          </w:p>
        </w:tc>
      </w:tr>
      <w:tr w14:paraId="64C14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E2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4F3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E6D12">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A48A7">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E7C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D09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7451">
            <w:pPr>
              <w:jc w:val="center"/>
            </w:pPr>
            <w:r>
              <w:rPr>
                <w:rFonts w:ascii="宋体" w:hAnsi="宋体" w:eastAsia="宋体"/>
                <w:sz w:val="16"/>
              </w:rPr>
              <w:t>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50E2">
            <w:pPr>
              <w:jc w:val="center"/>
            </w:pPr>
            <w:r>
              <w:rPr>
                <w:rFonts w:ascii="宋体" w:hAnsi="宋体" w:eastAsia="宋体"/>
                <w:sz w:val="16"/>
              </w:rPr>
              <w:t>2.78分</w:t>
            </w:r>
          </w:p>
        </w:tc>
      </w:tr>
      <w:tr w14:paraId="20459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2A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89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18B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56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01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6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6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8A26">
            <w:pPr>
              <w:jc w:val="center"/>
            </w:pPr>
            <w:r>
              <w:rPr>
                <w:rFonts w:ascii="宋体" w:hAnsi="宋体" w:eastAsia="宋体"/>
                <w:sz w:val="16"/>
              </w:rPr>
              <w:t>—</w:t>
            </w:r>
          </w:p>
        </w:tc>
      </w:tr>
      <w:tr w14:paraId="730CD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FD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E72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F4D7">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633C">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15A6">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5F3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0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E3E4">
            <w:pPr>
              <w:jc w:val="center"/>
            </w:pPr>
            <w:r>
              <w:rPr>
                <w:rFonts w:ascii="宋体" w:hAnsi="宋体" w:eastAsia="宋体"/>
                <w:sz w:val="16"/>
              </w:rPr>
              <w:t>—</w:t>
            </w:r>
          </w:p>
        </w:tc>
      </w:tr>
      <w:tr w14:paraId="2454DB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D07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9B5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ACC0EB">
            <w:pPr>
              <w:jc w:val="center"/>
            </w:pPr>
            <w:r>
              <w:rPr>
                <w:rFonts w:ascii="宋体" w:hAnsi="宋体" w:eastAsia="宋体"/>
                <w:sz w:val="16"/>
              </w:rPr>
              <w:t>实际完成情况</w:t>
            </w:r>
          </w:p>
        </w:tc>
      </w:tr>
      <w:tr w14:paraId="367AD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DC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F201F">
            <w:pPr>
              <w:jc w:val="both"/>
            </w:pPr>
            <w:r>
              <w:rPr>
                <w:rFonts w:ascii="宋体" w:hAnsi="宋体" w:eastAsia="宋体"/>
                <w:sz w:val="16"/>
              </w:rPr>
              <w:t>该项目资金45万元，其中全部为无锡援疆资金45万元，该项目资金主要用于提高审判执行质量，用于外出办案人员差费，办公楼的维修维护等。通过这些资金能使</w:t>
            </w:r>
            <w:r>
              <w:rPr>
                <w:rFonts w:hint="eastAsia" w:ascii="宋体" w:hAnsi="宋体"/>
                <w:sz w:val="16"/>
                <w:lang w:eastAsia="zh-CN"/>
              </w:rPr>
              <w:t>本单位</w:t>
            </w:r>
            <w:r>
              <w:rPr>
                <w:rFonts w:ascii="宋体" w:hAnsi="宋体" w:eastAsia="宋体"/>
                <w:sz w:val="16"/>
              </w:rPr>
              <w:t>审判执行工作高效开展。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2F49D">
            <w:pPr>
              <w:jc w:val="both"/>
            </w:pPr>
            <w:r>
              <w:rPr>
                <w:rFonts w:ascii="宋体" w:hAnsi="宋体" w:eastAsia="宋体"/>
                <w:sz w:val="16"/>
              </w:rPr>
              <w:t>截至2024年12月31日，该资金用于保障单位人员55人，保障业务部门5个，实际支出32万元，该项目资金主要用于提高审判执行质量，单位职工食堂支出费用。通过这些资金能使</w:t>
            </w:r>
            <w:r>
              <w:rPr>
                <w:rFonts w:hint="eastAsia" w:ascii="宋体" w:hAnsi="宋体"/>
                <w:sz w:val="16"/>
                <w:lang w:eastAsia="zh-CN"/>
              </w:rPr>
              <w:t>本单位</w:t>
            </w:r>
            <w:r>
              <w:rPr>
                <w:rFonts w:ascii="宋体" w:hAnsi="宋体" w:eastAsia="宋体"/>
                <w:sz w:val="16"/>
              </w:rPr>
              <w:t>更加体现对员工关心关爱</w:t>
            </w:r>
          </w:p>
        </w:tc>
      </w:tr>
      <w:tr w14:paraId="034BD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91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AB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F1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C7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28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14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9E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EA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20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C7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02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11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063B">
            <w:pPr>
              <w:jc w:val="center"/>
            </w:pPr>
            <w:r>
              <w:rPr>
                <w:rFonts w:ascii="宋体" w:hAnsi="宋体" w:eastAsia="宋体"/>
                <w:sz w:val="16"/>
              </w:rPr>
              <w:t>偏差原因分析及改进措施</w:t>
            </w:r>
          </w:p>
        </w:tc>
      </w:tr>
      <w:tr w14:paraId="010B0C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3C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811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128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70FC">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281A">
            <w:pPr>
              <w:jc w:val="center"/>
            </w:pPr>
            <w:r>
              <w:rPr>
                <w:rFonts w:ascii="宋体" w:hAnsi="宋体" w:eastAsia="宋体"/>
                <w:sz w:val="16"/>
              </w:rPr>
              <w:t>&gt;=55人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E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2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A29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3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7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CEC7">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87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29A9">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4BC3C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54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3D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9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636A">
            <w:pPr>
              <w:jc w:val="center"/>
            </w:pPr>
            <w:r>
              <w:rPr>
                <w:rFonts w:ascii="宋体" w:hAnsi="宋体" w:eastAsia="宋体"/>
                <w:sz w:val="16"/>
              </w:rPr>
              <w:t>保障业务部门（个）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E7FD">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1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9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B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4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A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7F6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EF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EE4C">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16C21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30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81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E0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178E">
            <w:pPr>
              <w:jc w:val="center"/>
            </w:pPr>
            <w:r>
              <w:rPr>
                <w:rFonts w:ascii="宋体" w:hAnsi="宋体" w:eastAsia="宋体"/>
                <w:sz w:val="16"/>
              </w:rPr>
              <w:t>车辆运行率（%）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AD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1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6A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F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9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0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52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66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4C511">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09F79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4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8E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52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420F">
            <w:pPr>
              <w:jc w:val="center"/>
            </w:pPr>
            <w:r>
              <w:rPr>
                <w:rFonts w:ascii="宋体" w:hAnsi="宋体" w:eastAsia="宋体"/>
                <w:sz w:val="16"/>
              </w:rPr>
              <w:t>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1D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4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3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4A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4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4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E6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0A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46B3B">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01612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A3B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459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196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046C">
            <w:pPr>
              <w:jc w:val="center"/>
            </w:pPr>
            <w:r>
              <w:rPr>
                <w:rFonts w:ascii="宋体" w:hAnsi="宋体" w:eastAsia="宋体"/>
                <w:sz w:val="16"/>
              </w:rPr>
              <w:t>保障人员资金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A8E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A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E5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1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3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79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A8A7">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C1B6">
            <w:pPr>
              <w:jc w:val="center"/>
            </w:pPr>
            <w:r>
              <w:rPr>
                <w:rFonts w:ascii="宋体" w:hAnsi="宋体" w:eastAsia="宋体"/>
                <w:sz w:val="16"/>
              </w:rPr>
              <w:t>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98D8">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0C964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84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7E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A0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86D2">
            <w:pPr>
              <w:jc w:val="center"/>
            </w:pPr>
            <w:r>
              <w:rPr>
                <w:rFonts w:ascii="宋体" w:hAnsi="宋体" w:eastAsia="宋体"/>
                <w:sz w:val="16"/>
              </w:rPr>
              <w:t>保障业务相关资金（万元）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09B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E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9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38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B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B9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27BC">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64F0">
            <w:pPr>
              <w:jc w:val="center"/>
            </w:pPr>
            <w:r>
              <w:rPr>
                <w:rFonts w:ascii="宋体" w:hAnsi="宋体" w:eastAsia="宋体"/>
                <w:sz w:val="16"/>
              </w:rPr>
              <w:t>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E7E7">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71D9A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F5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7C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12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9FBC">
            <w:pPr>
              <w:jc w:val="center"/>
            </w:pPr>
            <w:r>
              <w:rPr>
                <w:rFonts w:ascii="宋体" w:hAnsi="宋体" w:eastAsia="宋体"/>
                <w:sz w:val="16"/>
              </w:rPr>
              <w:t>促进提高办案效率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B3D4">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BB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98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CF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FB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50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C8B7">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4F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7C47">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31B76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D9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A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EE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3F99">
            <w:pPr>
              <w:jc w:val="center"/>
            </w:pPr>
            <w:r>
              <w:rPr>
                <w:rFonts w:ascii="宋体" w:hAnsi="宋体" w:eastAsia="宋体"/>
                <w:sz w:val="16"/>
              </w:rPr>
              <w:t>保障人民满意度（%）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AB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5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B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F0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D7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8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C4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A4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DA36">
            <w:pPr>
              <w:jc w:val="center"/>
            </w:pPr>
            <w:r>
              <w:rPr>
                <w:rFonts w:ascii="宋体" w:hAnsi="宋体" w:eastAsia="宋体"/>
                <w:sz w:val="16"/>
              </w:rPr>
              <w:tab/>
            </w:r>
            <w:r>
              <w:rPr>
                <w:rFonts w:ascii="宋体" w:hAnsi="宋体" w:eastAsia="宋体"/>
                <w:sz w:val="16"/>
              </w:rPr>
              <w:t>偏差原因：项目预算约束性不够。改进措施：进一步规范绩效目标编制</w:t>
            </w:r>
          </w:p>
        </w:tc>
      </w:tr>
      <w:tr w14:paraId="472A1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DFD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98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85E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A5C28D">
            <w:pPr>
              <w:jc w:val="center"/>
            </w:pPr>
            <w:r>
              <w:rPr>
                <w:rFonts w:ascii="宋体" w:hAnsi="宋体" w:eastAsia="宋体"/>
                <w:sz w:val="16"/>
              </w:rPr>
              <w:t>80.11分</w:t>
            </w:r>
          </w:p>
        </w:tc>
      </w:tr>
    </w:tbl>
    <w:p w14:paraId="707A36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939F90D">
        <w:tblPrEx>
          <w:tblCellMar>
            <w:top w:w="0" w:type="dxa"/>
            <w:left w:w="108" w:type="dxa"/>
            <w:bottom w:w="0" w:type="dxa"/>
            <w:right w:w="108" w:type="dxa"/>
          </w:tblCellMar>
        </w:tblPrEx>
        <w:tc>
          <w:tcPr>
            <w:tcW w:w="8848" w:type="dxa"/>
            <w:gridSpan w:val="14"/>
            <w:vAlign w:val="center"/>
          </w:tcPr>
          <w:p w14:paraId="164FB8C3">
            <w:pPr>
              <w:jc w:val="center"/>
            </w:pPr>
            <w:r>
              <w:rPr>
                <w:rFonts w:ascii="宋体" w:hAnsi="宋体" w:eastAsia="宋体"/>
                <w:sz w:val="24"/>
              </w:rPr>
              <w:t>项目支出绩效自评表</w:t>
            </w:r>
          </w:p>
        </w:tc>
      </w:tr>
      <w:tr w14:paraId="24C61745">
        <w:tblPrEx>
          <w:tblCellMar>
            <w:top w:w="0" w:type="dxa"/>
            <w:left w:w="108" w:type="dxa"/>
            <w:bottom w:w="0" w:type="dxa"/>
            <w:right w:w="108" w:type="dxa"/>
          </w:tblCellMar>
        </w:tblPrEx>
        <w:tc>
          <w:tcPr>
            <w:tcW w:w="8848" w:type="dxa"/>
            <w:gridSpan w:val="14"/>
            <w:vAlign w:val="center"/>
          </w:tcPr>
          <w:p w14:paraId="48E41557">
            <w:pPr>
              <w:jc w:val="center"/>
            </w:pPr>
            <w:r>
              <w:rPr>
                <w:rFonts w:ascii="宋体" w:hAnsi="宋体" w:eastAsia="宋体"/>
                <w:sz w:val="24"/>
              </w:rPr>
              <w:t>(2024年度)</w:t>
            </w:r>
          </w:p>
        </w:tc>
      </w:tr>
      <w:tr w14:paraId="11752F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2C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BE1BBD">
            <w:pPr>
              <w:jc w:val="center"/>
            </w:pPr>
            <w:r>
              <w:rPr>
                <w:rFonts w:ascii="宋体" w:hAnsi="宋体" w:eastAsia="宋体"/>
                <w:sz w:val="16"/>
              </w:rPr>
              <w:t>2023年结余资金</w:t>
            </w:r>
          </w:p>
        </w:tc>
      </w:tr>
      <w:tr w14:paraId="4D4D7D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B3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E36DD3">
            <w:pPr>
              <w:jc w:val="center"/>
            </w:pPr>
            <w:r>
              <w:rPr>
                <w:rFonts w:ascii="宋体" w:hAnsi="宋体" w:eastAsia="宋体"/>
                <w:sz w:val="16"/>
              </w:rPr>
              <w:t>阿合奇县人民法院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91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E5FBC">
            <w:pPr>
              <w:jc w:val="center"/>
            </w:pPr>
            <w:r>
              <w:rPr>
                <w:rFonts w:ascii="宋体" w:hAnsi="宋体" w:eastAsia="宋体"/>
                <w:sz w:val="16"/>
              </w:rPr>
              <w:t>阿合奇县人民法院</w:t>
            </w:r>
          </w:p>
        </w:tc>
      </w:tr>
      <w:tr w14:paraId="7BCFE9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22D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B22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7CE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C0D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529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87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4FC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E9E0">
            <w:pPr>
              <w:jc w:val="center"/>
            </w:pPr>
            <w:r>
              <w:rPr>
                <w:rFonts w:ascii="宋体" w:hAnsi="宋体" w:eastAsia="宋体"/>
                <w:sz w:val="16"/>
              </w:rPr>
              <w:t>得分</w:t>
            </w:r>
          </w:p>
        </w:tc>
      </w:tr>
      <w:tr w14:paraId="4A410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CF1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22B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39E0D">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A8CB8">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034FC">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CB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D0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7233">
            <w:pPr>
              <w:jc w:val="center"/>
            </w:pPr>
            <w:r>
              <w:rPr>
                <w:rFonts w:ascii="宋体" w:hAnsi="宋体" w:eastAsia="宋体"/>
                <w:sz w:val="16"/>
              </w:rPr>
              <w:t>10.00分</w:t>
            </w:r>
          </w:p>
        </w:tc>
      </w:tr>
      <w:tr w14:paraId="68409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C24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B0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D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4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78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78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9A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1A24">
            <w:pPr>
              <w:jc w:val="center"/>
            </w:pPr>
            <w:r>
              <w:rPr>
                <w:rFonts w:ascii="宋体" w:hAnsi="宋体" w:eastAsia="宋体"/>
                <w:sz w:val="16"/>
              </w:rPr>
              <w:t>—</w:t>
            </w:r>
          </w:p>
        </w:tc>
      </w:tr>
      <w:tr w14:paraId="4F759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84B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BF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31E4">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1D3CD">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F0C3">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AA1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8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29AA">
            <w:pPr>
              <w:jc w:val="center"/>
            </w:pPr>
            <w:r>
              <w:rPr>
                <w:rFonts w:ascii="宋体" w:hAnsi="宋体" w:eastAsia="宋体"/>
                <w:sz w:val="16"/>
              </w:rPr>
              <w:t>—</w:t>
            </w:r>
          </w:p>
        </w:tc>
      </w:tr>
      <w:tr w14:paraId="6F3149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BE4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667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AA17FF">
            <w:pPr>
              <w:jc w:val="center"/>
            </w:pPr>
            <w:r>
              <w:rPr>
                <w:rFonts w:ascii="宋体" w:hAnsi="宋体" w:eastAsia="宋体"/>
                <w:sz w:val="16"/>
              </w:rPr>
              <w:t>实际完成情况</w:t>
            </w:r>
          </w:p>
        </w:tc>
      </w:tr>
      <w:tr w14:paraId="03FD7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27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A0474">
            <w:pPr>
              <w:jc w:val="both"/>
            </w:pPr>
            <w:r>
              <w:rPr>
                <w:rFonts w:ascii="宋体" w:hAnsi="宋体" w:eastAsia="宋体"/>
                <w:sz w:val="16"/>
              </w:rPr>
              <w:t>该项目29.89万元，其中包含财政拨款0万元，上年结余29.89万元。主要用于购买办公用品、食堂支出、开展工会活动以及执行案件差费。通过这些资金举办工会活动不仅提高干警工作积极性和主动性。还是</w:t>
            </w:r>
            <w:r>
              <w:rPr>
                <w:rFonts w:hint="eastAsia" w:ascii="宋体" w:hAnsi="宋体"/>
                <w:sz w:val="16"/>
                <w:lang w:eastAsia="zh-CN"/>
              </w:rPr>
              <w:t>本单位</w:t>
            </w:r>
            <w:r>
              <w:rPr>
                <w:rFonts w:ascii="宋体" w:hAnsi="宋体" w:eastAsia="宋体"/>
                <w:sz w:val="16"/>
              </w:rPr>
              <w:t>审判执行工作能够</w:t>
            </w:r>
            <w:r>
              <w:rPr>
                <w:rFonts w:hint="eastAsia" w:ascii="宋体" w:hAnsi="宋体"/>
                <w:sz w:val="16"/>
                <w:lang w:eastAsia="zh-CN"/>
              </w:rPr>
              <w:t>高效</w:t>
            </w:r>
            <w:r>
              <w:rPr>
                <w:rFonts w:ascii="宋体" w:hAnsi="宋体" w:eastAsia="宋体"/>
                <w:sz w:val="16"/>
              </w:rPr>
              <w:t>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BA4E4">
            <w:pPr>
              <w:jc w:val="both"/>
            </w:pPr>
            <w:r>
              <w:rPr>
                <w:rFonts w:ascii="宋体" w:hAnsi="宋体" w:eastAsia="宋体"/>
                <w:sz w:val="16"/>
              </w:rPr>
              <w:t>截至2024年12月31日，本年实际购买办公用品50套，执行案件数量大于30件，实际支出29.89万元，主要用于购买办公用品、食堂支出、开展工会活动以及执行案件差费。通过这些资金举办工会活动不仅提高干警工作积极性和主动性。还是</w:t>
            </w:r>
            <w:r>
              <w:rPr>
                <w:rFonts w:hint="eastAsia" w:ascii="宋体" w:hAnsi="宋体"/>
                <w:sz w:val="16"/>
                <w:lang w:eastAsia="zh-CN"/>
              </w:rPr>
              <w:t>本单位</w:t>
            </w:r>
            <w:r>
              <w:rPr>
                <w:rFonts w:ascii="宋体" w:hAnsi="宋体" w:eastAsia="宋体"/>
                <w:sz w:val="16"/>
              </w:rPr>
              <w:t>审判执行工作能够</w:t>
            </w:r>
            <w:r>
              <w:rPr>
                <w:rFonts w:hint="eastAsia" w:ascii="宋体" w:hAnsi="宋体"/>
                <w:sz w:val="16"/>
                <w:lang w:eastAsia="zh-CN"/>
              </w:rPr>
              <w:t>高效</w:t>
            </w:r>
            <w:r>
              <w:rPr>
                <w:rFonts w:ascii="宋体" w:hAnsi="宋体" w:eastAsia="宋体"/>
                <w:sz w:val="16"/>
              </w:rPr>
              <w:t>开展。</w:t>
            </w:r>
          </w:p>
        </w:tc>
      </w:tr>
      <w:tr w14:paraId="17461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12C5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64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55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BB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83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19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20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36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F1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C3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93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F5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2B3C">
            <w:pPr>
              <w:jc w:val="center"/>
            </w:pPr>
            <w:r>
              <w:rPr>
                <w:rFonts w:ascii="宋体" w:hAnsi="宋体" w:eastAsia="宋体"/>
                <w:sz w:val="16"/>
              </w:rPr>
              <w:t>偏差原因分析及改进措施</w:t>
            </w:r>
          </w:p>
        </w:tc>
      </w:tr>
      <w:tr w14:paraId="1E73D7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650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750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115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598C">
            <w:pPr>
              <w:jc w:val="center"/>
            </w:pPr>
            <w:r>
              <w:rPr>
                <w:rFonts w:ascii="宋体" w:hAnsi="宋体" w:eastAsia="宋体"/>
                <w:sz w:val="16"/>
              </w:rPr>
              <w:t>购买办公用品（套）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2DC3">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F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B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4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5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1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BF6F">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39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FE57">
            <w:pPr>
              <w:jc w:val="center"/>
            </w:pPr>
          </w:p>
        </w:tc>
      </w:tr>
      <w:tr w14:paraId="61868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9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CB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BCF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B578">
            <w:pPr>
              <w:jc w:val="center"/>
            </w:pPr>
            <w:r>
              <w:rPr>
                <w:rFonts w:ascii="宋体" w:hAnsi="宋体" w:eastAsia="宋体"/>
                <w:sz w:val="16"/>
              </w:rPr>
              <w:t>执行案件(个)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925E">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9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9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3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0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BD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C780">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85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855A">
            <w:pPr>
              <w:jc w:val="center"/>
            </w:pPr>
          </w:p>
        </w:tc>
      </w:tr>
      <w:tr w14:paraId="35686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E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91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17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7422">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0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D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2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4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E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4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6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EB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8534">
            <w:pPr>
              <w:jc w:val="center"/>
            </w:pPr>
          </w:p>
        </w:tc>
      </w:tr>
      <w:tr w14:paraId="53EC1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01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B2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45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88F3">
            <w:pPr>
              <w:jc w:val="center"/>
            </w:pPr>
            <w:r>
              <w:rPr>
                <w:rFonts w:ascii="宋体" w:hAnsi="宋体" w:eastAsia="宋体"/>
                <w:sz w:val="16"/>
              </w:rPr>
              <w:t>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5F4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2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71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4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3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3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D3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67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1815">
            <w:pPr>
              <w:jc w:val="center"/>
            </w:pPr>
          </w:p>
        </w:tc>
      </w:tr>
      <w:tr w14:paraId="68487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083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583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522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9ADD">
            <w:pPr>
              <w:jc w:val="center"/>
            </w:pPr>
            <w:r>
              <w:rPr>
                <w:rFonts w:ascii="宋体" w:hAnsi="宋体" w:eastAsia="宋体"/>
                <w:sz w:val="16"/>
              </w:rPr>
              <w:t>保障食堂资金（万元）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18A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39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2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24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DC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0BD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4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0FC3">
            <w:pPr>
              <w:jc w:val="center"/>
            </w:pPr>
          </w:p>
        </w:tc>
      </w:tr>
      <w:tr w14:paraId="06798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E9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86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B5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B6E7">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70D2">
            <w:pPr>
              <w:jc w:val="center"/>
            </w:pPr>
            <w:r>
              <w:rPr>
                <w:rFonts w:ascii="宋体" w:hAnsi="宋体" w:eastAsia="宋体"/>
                <w:sz w:val="16"/>
              </w:rPr>
              <w:t>&lt;=9.89万元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A0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2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B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C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D6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8CA3">
            <w:pPr>
              <w:jc w:val="center"/>
            </w:pPr>
            <w:r>
              <w:rPr>
                <w:rFonts w:ascii="宋体" w:hAnsi="宋体" w:eastAsia="宋体"/>
                <w:sz w:val="16"/>
              </w:rPr>
              <w:t>=9.89万元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8E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0109">
            <w:pPr>
              <w:jc w:val="center"/>
            </w:pPr>
          </w:p>
        </w:tc>
      </w:tr>
      <w:tr w14:paraId="67DDE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10B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95B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C1D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661D">
            <w:pPr>
              <w:jc w:val="center"/>
            </w:pPr>
            <w:r>
              <w:rPr>
                <w:rFonts w:ascii="宋体" w:hAnsi="宋体" w:eastAsia="宋体"/>
                <w:sz w:val="16"/>
              </w:rPr>
              <w:t>保障社会长治久安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FBA1">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D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C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F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8B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9D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1452">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48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F3B8">
            <w:pPr>
              <w:jc w:val="center"/>
            </w:pPr>
          </w:p>
        </w:tc>
      </w:tr>
      <w:tr w14:paraId="1FB76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8F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31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F9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4E6F">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DE4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D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C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37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B8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10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69C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04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78CF3">
            <w:pPr>
              <w:jc w:val="center"/>
            </w:pPr>
          </w:p>
        </w:tc>
      </w:tr>
      <w:tr w14:paraId="4D770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66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6D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5E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DA7A">
            <w:pPr>
              <w:jc w:val="center"/>
            </w:pPr>
            <w:r>
              <w:rPr>
                <w:rFonts w:ascii="宋体" w:hAnsi="宋体" w:eastAsia="宋体"/>
                <w:sz w:val="16"/>
              </w:rPr>
              <w:t>保障人民满意度（%）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63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CA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7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F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65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9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38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05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45E2">
            <w:pPr>
              <w:jc w:val="center"/>
            </w:pPr>
          </w:p>
        </w:tc>
      </w:tr>
      <w:tr w14:paraId="765587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A7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26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62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68785C">
            <w:pPr>
              <w:jc w:val="center"/>
            </w:pPr>
            <w:r>
              <w:rPr>
                <w:rFonts w:ascii="宋体" w:hAnsi="宋体" w:eastAsia="宋体"/>
                <w:sz w:val="16"/>
              </w:rPr>
              <w:t>100分</w:t>
            </w:r>
          </w:p>
        </w:tc>
      </w:tr>
    </w:tbl>
    <w:p w14:paraId="4982EB79">
      <w:r>
        <w:br w:type="page"/>
      </w:r>
    </w:p>
    <w:p w14:paraId="30152CF6">
      <w:pPr>
        <w:spacing w:line="640" w:lineRule="exact"/>
        <w:ind w:firstLine="640"/>
        <w:jc w:val="both"/>
        <w:outlineLvl w:val="2"/>
      </w:pPr>
      <w:r>
        <w:rPr>
          <w:rFonts w:ascii="黑体" w:hAnsi="黑体" w:eastAsia="黑体"/>
          <w:sz w:val="32"/>
        </w:rPr>
        <w:t>十二、其他需说明的事项</w:t>
      </w:r>
    </w:p>
    <w:p w14:paraId="7B05C608">
      <w:pPr>
        <w:spacing w:line="580" w:lineRule="exact"/>
        <w:ind w:firstLine="640"/>
        <w:jc w:val="both"/>
      </w:pPr>
      <w:r>
        <w:rPr>
          <w:rFonts w:ascii="仿宋_GB2312" w:hAnsi="仿宋_GB2312" w:eastAsia="仿宋_GB2312"/>
          <w:b w:val="0"/>
          <w:sz w:val="32"/>
        </w:rPr>
        <w:t>本单位无其他需说明的事项。</w:t>
      </w:r>
    </w:p>
    <w:p w14:paraId="38F9F3CE">
      <w:r>
        <w:br w:type="page"/>
      </w:r>
    </w:p>
    <w:p w14:paraId="5FE62289">
      <w:pPr>
        <w:spacing w:line="240" w:lineRule="auto"/>
        <w:jc w:val="center"/>
        <w:outlineLvl w:val="1"/>
      </w:pPr>
      <w:r>
        <w:rPr>
          <w:rFonts w:ascii="黑体" w:hAnsi="黑体" w:eastAsia="黑体"/>
          <w:sz w:val="32"/>
        </w:rPr>
        <w:t>第三部分 专业名词解释</w:t>
      </w:r>
    </w:p>
    <w:p w14:paraId="2046227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90F17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328FB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67469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17165B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432D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16CD3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5F9BC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0A05C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856E9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CB620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7A4E6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CF3BE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2580C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BF40888">
      <w:r>
        <w:br w:type="page"/>
      </w:r>
    </w:p>
    <w:p w14:paraId="6EF6A092">
      <w:pPr>
        <w:spacing w:line="240" w:lineRule="auto"/>
        <w:jc w:val="center"/>
        <w:outlineLvl w:val="1"/>
      </w:pPr>
      <w:r>
        <w:rPr>
          <w:rFonts w:ascii="黑体" w:hAnsi="黑体" w:eastAsia="黑体"/>
          <w:sz w:val="32"/>
        </w:rPr>
        <w:t>第四部分 部门决算报表（见附表）</w:t>
      </w:r>
    </w:p>
    <w:p w14:paraId="43E4D698">
      <w:pPr>
        <w:spacing w:line="240" w:lineRule="auto"/>
        <w:ind w:firstLine="640"/>
        <w:jc w:val="both"/>
      </w:pPr>
      <w:r>
        <w:rPr>
          <w:rFonts w:ascii="仿宋_GB2312" w:hAnsi="仿宋_GB2312" w:eastAsia="仿宋_GB2312"/>
          <w:b w:val="0"/>
          <w:sz w:val="32"/>
        </w:rPr>
        <w:t>一、《收入支出决算总表》</w:t>
      </w:r>
    </w:p>
    <w:p w14:paraId="1A61DAD8">
      <w:pPr>
        <w:spacing w:line="240" w:lineRule="auto"/>
        <w:ind w:firstLine="640"/>
        <w:jc w:val="both"/>
      </w:pPr>
      <w:r>
        <w:rPr>
          <w:rFonts w:ascii="仿宋_GB2312" w:hAnsi="仿宋_GB2312" w:eastAsia="仿宋_GB2312"/>
          <w:b w:val="0"/>
          <w:sz w:val="32"/>
        </w:rPr>
        <w:t>二、《收入决算表》</w:t>
      </w:r>
    </w:p>
    <w:p w14:paraId="3FFF2583">
      <w:pPr>
        <w:spacing w:line="240" w:lineRule="auto"/>
        <w:ind w:firstLine="640"/>
        <w:jc w:val="both"/>
      </w:pPr>
      <w:r>
        <w:rPr>
          <w:rFonts w:ascii="仿宋_GB2312" w:hAnsi="仿宋_GB2312" w:eastAsia="仿宋_GB2312"/>
          <w:b w:val="0"/>
          <w:sz w:val="32"/>
        </w:rPr>
        <w:t>三、《支出决算表》</w:t>
      </w:r>
    </w:p>
    <w:p w14:paraId="3EC34815">
      <w:pPr>
        <w:spacing w:line="240" w:lineRule="auto"/>
        <w:ind w:firstLine="640"/>
        <w:jc w:val="both"/>
      </w:pPr>
      <w:r>
        <w:rPr>
          <w:rFonts w:ascii="仿宋_GB2312" w:hAnsi="仿宋_GB2312" w:eastAsia="仿宋_GB2312"/>
          <w:b w:val="0"/>
          <w:sz w:val="32"/>
        </w:rPr>
        <w:t>四、《财政拨款收入支出决算总表》</w:t>
      </w:r>
    </w:p>
    <w:p w14:paraId="164EA587">
      <w:pPr>
        <w:spacing w:line="240" w:lineRule="auto"/>
        <w:ind w:firstLine="640"/>
        <w:jc w:val="both"/>
      </w:pPr>
      <w:r>
        <w:rPr>
          <w:rFonts w:ascii="仿宋_GB2312" w:hAnsi="仿宋_GB2312" w:eastAsia="仿宋_GB2312"/>
          <w:b w:val="0"/>
          <w:sz w:val="32"/>
        </w:rPr>
        <w:t>五、《一般公共预算财政拨款支出决算表》</w:t>
      </w:r>
    </w:p>
    <w:p w14:paraId="377DFE8E">
      <w:pPr>
        <w:spacing w:line="240" w:lineRule="auto"/>
        <w:ind w:firstLine="640"/>
        <w:jc w:val="both"/>
      </w:pPr>
      <w:r>
        <w:rPr>
          <w:rFonts w:ascii="仿宋_GB2312" w:hAnsi="仿宋_GB2312" w:eastAsia="仿宋_GB2312"/>
          <w:b w:val="0"/>
          <w:sz w:val="32"/>
        </w:rPr>
        <w:t>六、《一般公共预算财政拨款基本支出决算表》</w:t>
      </w:r>
    </w:p>
    <w:p w14:paraId="470B96C4">
      <w:pPr>
        <w:spacing w:line="240" w:lineRule="auto"/>
        <w:ind w:firstLine="640"/>
        <w:jc w:val="both"/>
      </w:pPr>
      <w:r>
        <w:rPr>
          <w:rFonts w:ascii="仿宋_GB2312" w:hAnsi="仿宋_GB2312" w:eastAsia="仿宋_GB2312"/>
          <w:b w:val="0"/>
          <w:sz w:val="32"/>
        </w:rPr>
        <w:t>七、《政府性基金预算财政拨款收入支出决算表》</w:t>
      </w:r>
    </w:p>
    <w:p w14:paraId="229E1392">
      <w:pPr>
        <w:spacing w:line="240" w:lineRule="auto"/>
        <w:ind w:firstLine="640"/>
        <w:jc w:val="both"/>
      </w:pPr>
      <w:r>
        <w:rPr>
          <w:rFonts w:ascii="仿宋_GB2312" w:hAnsi="仿宋_GB2312" w:eastAsia="仿宋_GB2312"/>
          <w:b w:val="0"/>
          <w:sz w:val="32"/>
        </w:rPr>
        <w:t>八、《国有资本经营预算财政拨款收入支出决算表》</w:t>
      </w:r>
    </w:p>
    <w:p w14:paraId="0C6CCA8D">
      <w:pPr>
        <w:spacing w:line="240" w:lineRule="auto"/>
        <w:ind w:firstLine="640"/>
        <w:jc w:val="both"/>
      </w:pPr>
      <w:r>
        <w:rPr>
          <w:rFonts w:ascii="仿宋_GB2312" w:hAnsi="仿宋_GB2312" w:eastAsia="仿宋_GB2312"/>
          <w:b w:val="0"/>
          <w:sz w:val="32"/>
        </w:rPr>
        <w:t>九、《财政拨款“三公”经费支出决算表》</w:t>
      </w:r>
    </w:p>
    <w:p w14:paraId="55E52B3C">
      <w:pPr>
        <w:spacing w:line="240" w:lineRule="auto"/>
        <w:ind w:firstLine="640"/>
        <w:jc w:val="both"/>
      </w:pPr>
    </w:p>
    <w:p w14:paraId="76753EFE">
      <w:pPr>
        <w:spacing w:line="240" w:lineRule="auto"/>
        <w:ind w:firstLine="640"/>
        <w:jc w:val="both"/>
      </w:pPr>
    </w:p>
    <w:p w14:paraId="0F66E976">
      <w:pPr>
        <w:spacing w:line="240" w:lineRule="auto"/>
        <w:ind w:firstLine="640"/>
        <w:jc w:val="both"/>
      </w:pPr>
    </w:p>
    <w:p w14:paraId="33993036">
      <w:pPr>
        <w:spacing w:line="240" w:lineRule="auto"/>
        <w:ind w:firstLine="640"/>
        <w:jc w:val="both"/>
      </w:pPr>
    </w:p>
    <w:p w14:paraId="426DE6B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030651"/>
    <w:rsid w:val="29116777"/>
    <w:rsid w:val="2A053397"/>
    <w:rsid w:val="2A444FB1"/>
    <w:rsid w:val="2A6064E2"/>
    <w:rsid w:val="2C1965E9"/>
    <w:rsid w:val="2CBF40CB"/>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233F2A"/>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5800</Words>
  <Characters>6699</Characters>
  <Lines>0</Lines>
  <Paragraphs>0</Paragraphs>
  <TotalTime>9</TotalTime>
  <ScaleCrop>false</ScaleCrop>
  <LinksUpToDate>false</LinksUpToDate>
  <CharactersWithSpaces>6707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2025-09-02T05:07:01Z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