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克孜勒苏柯尔克孜自治州水资源规划管理中心2024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B099A2E">
      <w:r>
        <w:br w:type="page"/>
      </w:r>
    </w:p>
    <w:p w14:paraId="46C4FF51">
      <w:pPr>
        <w:spacing w:line="640" w:lineRule="exact"/>
        <w:jc w:val="center"/>
        <w:outlineLvl w:val="1"/>
      </w:pPr>
      <w:r>
        <w:rPr>
          <w:rFonts w:ascii="黑体" w:hAnsi="黑体" w:eastAsia="黑体"/>
          <w:sz w:val="32"/>
        </w:rPr>
        <w:t>第一部分 单位概况</w:t>
      </w:r>
    </w:p>
    <w:p w14:paraId="4F16978D">
      <w:pPr>
        <w:spacing w:line="640" w:lineRule="exact"/>
        <w:ind w:firstLine="640"/>
        <w:jc w:val="both"/>
        <w:outlineLvl w:val="2"/>
      </w:pPr>
      <w:r>
        <w:rPr>
          <w:rFonts w:ascii="黑体" w:hAnsi="黑体" w:eastAsia="黑体"/>
          <w:sz w:val="32"/>
        </w:rPr>
        <w:t>一、主要职能</w:t>
      </w:r>
    </w:p>
    <w:p w14:paraId="68AD3816">
      <w:pPr>
        <w:spacing w:line="580" w:lineRule="exact"/>
        <w:ind w:firstLine="640"/>
        <w:jc w:val="both"/>
      </w:pPr>
      <w:r>
        <w:rPr>
          <w:rFonts w:ascii="仿宋_GB2312" w:hAnsi="仿宋_GB2312" w:eastAsia="仿宋_GB2312"/>
          <w:sz w:val="32"/>
        </w:rPr>
        <w:t>克孜勒苏柯尔克孜自治州水资源规划管理中心，事业单位，副县级，隶属于克孜勒苏柯尔克孜自治州水利局。单位的主要经营范围是：负责指导全州</w:t>
      </w:r>
      <w:r>
        <w:rPr>
          <w:rFonts w:hint="eastAsia" w:ascii="仿宋_GB2312" w:hAnsi="仿宋_GB2312" w:eastAsia="仿宋_GB2312"/>
          <w:sz w:val="32"/>
          <w:lang w:eastAsia="zh-CN"/>
        </w:rPr>
        <w:t>水资源管理</w:t>
      </w:r>
      <w:r>
        <w:rPr>
          <w:rFonts w:ascii="仿宋_GB2312" w:hAnsi="仿宋_GB2312" w:eastAsia="仿宋_GB2312"/>
          <w:sz w:val="32"/>
        </w:rPr>
        <w:t>开发、利用、保护等专项规划并按规定权限对规划、设计成果进行预审</w:t>
      </w:r>
      <w:r>
        <w:rPr>
          <w:rFonts w:hint="eastAsia" w:ascii="仿宋_GB2312" w:hAnsi="仿宋_GB2312" w:eastAsia="仿宋_GB2312"/>
          <w:sz w:val="32"/>
          <w:lang w:eastAsia="zh-CN"/>
        </w:rPr>
        <w:t>或审</w:t>
      </w:r>
      <w:r>
        <w:rPr>
          <w:rFonts w:ascii="仿宋_GB2312" w:hAnsi="仿宋_GB2312" w:eastAsia="仿宋_GB2312"/>
          <w:sz w:val="32"/>
        </w:rPr>
        <w:t>查等工作；承担上级部门交办的其他任务。</w:t>
      </w:r>
    </w:p>
    <w:p w14:paraId="31B3AC13">
      <w:pPr>
        <w:spacing w:line="640" w:lineRule="exact"/>
        <w:ind w:firstLine="640"/>
        <w:jc w:val="both"/>
        <w:outlineLvl w:val="2"/>
      </w:pPr>
      <w:r>
        <w:rPr>
          <w:rFonts w:ascii="黑体" w:hAnsi="黑体" w:eastAsia="黑体"/>
          <w:sz w:val="32"/>
        </w:rPr>
        <w:t>二、机构设置及人员情况</w:t>
      </w:r>
    </w:p>
    <w:p w14:paraId="0073C370">
      <w:pPr>
        <w:spacing w:line="580" w:lineRule="exact"/>
        <w:ind w:firstLine="640"/>
        <w:jc w:val="both"/>
      </w:pPr>
      <w:r>
        <w:rPr>
          <w:rFonts w:ascii="仿宋_GB2312" w:hAnsi="仿宋_GB2312" w:eastAsia="仿宋_GB2312"/>
          <w:sz w:val="32"/>
        </w:rPr>
        <w:t>克孜勒苏柯尔克孜自治州水资源规划管理中心2024年度，实有人数33人，其中：在职人员14人，增加0人；离休人员0人，增加0人；退休人员19人,增加0人。</w:t>
      </w:r>
    </w:p>
    <w:p w14:paraId="4A511DDA">
      <w:pPr>
        <w:spacing w:line="580" w:lineRule="exact"/>
        <w:ind w:firstLine="640"/>
        <w:jc w:val="both"/>
      </w:pPr>
      <w:r>
        <w:rPr>
          <w:rFonts w:ascii="仿宋_GB2312" w:hAnsi="仿宋_GB2312" w:eastAsia="仿宋_GB2312"/>
          <w:sz w:val="32"/>
        </w:rPr>
        <w:t>克孜勒苏柯尔克孜自治州水资源规划管理中心无下属预算单位，下设3个科室，分别是：规划审查科、规划评价科、办公室。</w:t>
      </w:r>
    </w:p>
    <w:p w14:paraId="09E17DA5">
      <w:r>
        <w:br w:type="page"/>
      </w:r>
    </w:p>
    <w:p w14:paraId="28813035">
      <w:pPr>
        <w:spacing w:line="240" w:lineRule="auto"/>
        <w:jc w:val="center"/>
        <w:outlineLvl w:val="1"/>
      </w:pPr>
      <w:r>
        <w:rPr>
          <w:rFonts w:ascii="黑体" w:hAnsi="黑体" w:eastAsia="黑体"/>
          <w:sz w:val="32"/>
        </w:rPr>
        <w:t>第二部分 部门决算情况说明</w:t>
      </w:r>
    </w:p>
    <w:p w14:paraId="4649EA11">
      <w:pPr>
        <w:spacing w:line="640" w:lineRule="exact"/>
        <w:ind w:firstLine="640"/>
        <w:jc w:val="both"/>
        <w:outlineLvl w:val="2"/>
      </w:pPr>
      <w:r>
        <w:rPr>
          <w:rFonts w:ascii="黑体" w:hAnsi="黑体" w:eastAsia="黑体"/>
          <w:sz w:val="32"/>
        </w:rPr>
        <w:t>一、收入支出决算总体情况说明</w:t>
      </w:r>
    </w:p>
    <w:p w14:paraId="774FC034">
      <w:pPr>
        <w:spacing w:line="580" w:lineRule="exact"/>
        <w:ind w:firstLine="640"/>
        <w:jc w:val="both"/>
      </w:pPr>
      <w:r>
        <w:rPr>
          <w:rFonts w:ascii="仿宋_GB2312" w:hAnsi="仿宋_GB2312" w:eastAsia="仿宋_GB2312"/>
          <w:b/>
          <w:sz w:val="32"/>
        </w:rPr>
        <w:t>2024年度收入总计330.85万元，</w:t>
      </w:r>
      <w:r>
        <w:rPr>
          <w:rFonts w:ascii="仿宋_GB2312" w:hAnsi="仿宋_GB2312" w:eastAsia="仿宋_GB2312"/>
          <w:b w:val="0"/>
          <w:sz w:val="32"/>
        </w:rPr>
        <w:t>其中：本年收入合计330.74万元，使用非财政拨款结余（含专用结余）0.00万元，年初结转和结余0.11万元。</w:t>
      </w:r>
    </w:p>
    <w:p w14:paraId="2A8A4E69">
      <w:pPr>
        <w:spacing w:line="580" w:lineRule="exact"/>
        <w:ind w:firstLine="640"/>
        <w:jc w:val="both"/>
      </w:pPr>
      <w:r>
        <w:rPr>
          <w:rFonts w:ascii="仿宋_GB2312" w:hAnsi="仿宋_GB2312" w:eastAsia="仿宋_GB2312"/>
          <w:b/>
          <w:sz w:val="32"/>
        </w:rPr>
        <w:t>2024年度支出总计330.85万元，</w:t>
      </w:r>
      <w:r>
        <w:rPr>
          <w:rFonts w:ascii="仿宋_GB2312" w:hAnsi="仿宋_GB2312" w:eastAsia="仿宋_GB2312"/>
          <w:b w:val="0"/>
          <w:sz w:val="32"/>
        </w:rPr>
        <w:t>其中：本年支出合计330.85万元，结余分配0.00万元，年末结转和结余0.00万元。</w:t>
      </w:r>
    </w:p>
    <w:p w14:paraId="646D3112">
      <w:pPr>
        <w:spacing w:line="580" w:lineRule="exact"/>
        <w:ind w:firstLine="640"/>
        <w:jc w:val="both"/>
      </w:pPr>
      <w:r>
        <w:rPr>
          <w:rFonts w:ascii="仿宋_GB2312" w:hAnsi="仿宋_GB2312" w:eastAsia="仿宋_GB2312"/>
          <w:b w:val="0"/>
          <w:sz w:val="32"/>
        </w:rPr>
        <w:t>收入支出总体与上年相比，减少55.61万元，下降14.39%，主要原因是：本年减少水网建设规划项目资金。</w:t>
      </w:r>
    </w:p>
    <w:p w14:paraId="078B6B0E">
      <w:pPr>
        <w:spacing w:line="640" w:lineRule="exact"/>
        <w:ind w:firstLine="640"/>
        <w:jc w:val="both"/>
        <w:outlineLvl w:val="2"/>
      </w:pPr>
      <w:r>
        <w:rPr>
          <w:rFonts w:ascii="黑体" w:hAnsi="黑体" w:eastAsia="黑体"/>
          <w:sz w:val="32"/>
        </w:rPr>
        <w:t>二、收入决算情况说明</w:t>
      </w:r>
    </w:p>
    <w:p w14:paraId="6EC8DF27">
      <w:pPr>
        <w:spacing w:line="580" w:lineRule="exact"/>
        <w:ind w:firstLine="640"/>
        <w:jc w:val="both"/>
      </w:pPr>
      <w:r>
        <w:rPr>
          <w:rFonts w:ascii="仿宋_GB2312" w:hAnsi="仿宋_GB2312" w:eastAsia="仿宋_GB2312"/>
          <w:b/>
          <w:sz w:val="32"/>
        </w:rPr>
        <w:t>本年收入330.74万元，</w:t>
      </w:r>
      <w:r>
        <w:rPr>
          <w:rFonts w:ascii="仿宋_GB2312" w:hAnsi="仿宋_GB2312" w:eastAsia="仿宋_GB2312"/>
          <w:b w:val="0"/>
          <w:sz w:val="32"/>
        </w:rPr>
        <w:t>其中：财政拨款收入330.69万元，占99.98%；上级补助收入0.00万元，占0.00%；事业收入0.00万元，占0.00%；经营收入0.00万元，占0.00%；附属单位上缴收入0.00万元，占0.00%；其他收入0.04万元，占0.01%。</w:t>
      </w:r>
    </w:p>
    <w:p w14:paraId="386EBDFB">
      <w:pPr>
        <w:spacing w:line="640" w:lineRule="exact"/>
        <w:ind w:firstLine="640"/>
        <w:jc w:val="both"/>
        <w:outlineLvl w:val="2"/>
      </w:pPr>
      <w:r>
        <w:rPr>
          <w:rFonts w:ascii="黑体" w:hAnsi="黑体" w:eastAsia="黑体"/>
          <w:sz w:val="32"/>
        </w:rPr>
        <w:t>三、支出决算情况说明</w:t>
      </w:r>
    </w:p>
    <w:p w14:paraId="728D182E">
      <w:pPr>
        <w:spacing w:line="580" w:lineRule="exact"/>
        <w:ind w:firstLine="640"/>
        <w:jc w:val="both"/>
      </w:pPr>
      <w:r>
        <w:rPr>
          <w:rFonts w:ascii="仿宋_GB2312" w:hAnsi="仿宋_GB2312" w:eastAsia="仿宋_GB2312"/>
          <w:b/>
          <w:sz w:val="32"/>
        </w:rPr>
        <w:t>本年支出330.85万元，</w:t>
      </w:r>
      <w:r>
        <w:rPr>
          <w:rFonts w:ascii="仿宋_GB2312" w:hAnsi="仿宋_GB2312" w:eastAsia="仿宋_GB2312"/>
          <w:b w:val="0"/>
          <w:sz w:val="32"/>
        </w:rPr>
        <w:t>其中：基本支出330.85万元，占100.00%；项目支出0.00万元，占0.00%；上缴上级支出0.00万元，占0.00%；经营支出0.00万元，占0.00%；对附属单位补助支出0.00万元，占0.00%。</w:t>
      </w:r>
    </w:p>
    <w:p w14:paraId="7E960639">
      <w:pPr>
        <w:spacing w:line="640" w:lineRule="exact"/>
        <w:ind w:firstLine="640"/>
        <w:jc w:val="both"/>
        <w:outlineLvl w:val="2"/>
      </w:pPr>
      <w:r>
        <w:rPr>
          <w:rFonts w:ascii="黑体" w:hAnsi="黑体" w:eastAsia="黑体"/>
          <w:sz w:val="32"/>
        </w:rPr>
        <w:t>四、财政拨款收入支出决算总体情况说明</w:t>
      </w:r>
    </w:p>
    <w:p w14:paraId="0C1C435E">
      <w:pPr>
        <w:spacing w:line="580" w:lineRule="exact"/>
        <w:ind w:firstLine="640"/>
        <w:jc w:val="both"/>
      </w:pPr>
      <w:r>
        <w:rPr>
          <w:rFonts w:ascii="仿宋_GB2312" w:hAnsi="仿宋_GB2312" w:eastAsia="仿宋_GB2312"/>
          <w:b/>
          <w:sz w:val="32"/>
        </w:rPr>
        <w:t>2024年度财政拨款收入总计330.69万元，</w:t>
      </w:r>
      <w:r>
        <w:rPr>
          <w:rFonts w:ascii="仿宋_GB2312" w:hAnsi="仿宋_GB2312" w:eastAsia="仿宋_GB2312"/>
          <w:b w:val="0"/>
          <w:sz w:val="32"/>
        </w:rPr>
        <w:t>其中：年初财政拨款结转和结余0.00万元，本年财政拨款收入330.69万元。</w:t>
      </w:r>
      <w:r>
        <w:rPr>
          <w:rFonts w:ascii="仿宋_GB2312" w:hAnsi="仿宋_GB2312" w:eastAsia="仿宋_GB2312"/>
          <w:b/>
          <w:sz w:val="32"/>
        </w:rPr>
        <w:t>财政拨款支出总计330.69万元，</w:t>
      </w:r>
      <w:r>
        <w:rPr>
          <w:rFonts w:ascii="仿宋_GB2312" w:hAnsi="仿宋_GB2312" w:eastAsia="仿宋_GB2312"/>
          <w:b w:val="0"/>
          <w:sz w:val="32"/>
        </w:rPr>
        <w:t>其中：年末财政拨款结转和结余0.00万元，本年财政拨款支出330.69万元。</w:t>
      </w:r>
    </w:p>
    <w:p w14:paraId="414B79F4">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减少55.56万元，下降14.38%，主要原因是：本年减少水网建设规划项目资金。</w:t>
      </w:r>
      <w:r>
        <w:rPr>
          <w:rFonts w:ascii="仿宋_GB2312" w:hAnsi="仿宋_GB2312" w:eastAsia="仿宋_GB2312"/>
          <w:b/>
          <w:sz w:val="32"/>
        </w:rPr>
        <w:t>与年初预算相比，</w:t>
      </w:r>
      <w:r>
        <w:rPr>
          <w:rFonts w:ascii="仿宋_GB2312" w:hAnsi="仿宋_GB2312" w:eastAsia="仿宋_GB2312"/>
          <w:b w:val="0"/>
          <w:sz w:val="32"/>
        </w:rPr>
        <w:t>年初预算数304.29万元，决算数330.69万元，预决算差异率8.68%，主要原因是：年中追加人员工资、社保、公积金基数调增部分资金，导致预决算存在差异。</w:t>
      </w:r>
    </w:p>
    <w:p w14:paraId="4EB7927F">
      <w:pPr>
        <w:spacing w:line="640" w:lineRule="exact"/>
        <w:ind w:firstLine="640"/>
        <w:jc w:val="both"/>
        <w:outlineLvl w:val="2"/>
      </w:pPr>
      <w:r>
        <w:rPr>
          <w:rFonts w:ascii="黑体" w:hAnsi="黑体" w:eastAsia="黑体"/>
          <w:sz w:val="32"/>
        </w:rPr>
        <w:t>五、一般公共预算财政拨款支出决算情况说明</w:t>
      </w:r>
    </w:p>
    <w:p w14:paraId="7DDB9B41">
      <w:pPr>
        <w:spacing w:line="640" w:lineRule="exact"/>
        <w:ind w:firstLine="640"/>
        <w:jc w:val="both"/>
        <w:outlineLvl w:val="3"/>
      </w:pPr>
      <w:r>
        <w:rPr>
          <w:rFonts w:ascii="楷体_GB2312" w:hAnsi="楷体_GB2312" w:eastAsia="楷体_GB2312"/>
          <w:b/>
          <w:sz w:val="32"/>
        </w:rPr>
        <w:t>（一）一般公共预算财政拨款支出决算总体情况</w:t>
      </w:r>
    </w:p>
    <w:p w14:paraId="6C246081">
      <w:pPr>
        <w:spacing w:line="580" w:lineRule="exact"/>
        <w:ind w:firstLine="640"/>
        <w:jc w:val="both"/>
      </w:pPr>
      <w:r>
        <w:rPr>
          <w:rFonts w:ascii="仿宋_GB2312" w:hAnsi="仿宋_GB2312" w:eastAsia="仿宋_GB2312"/>
          <w:b/>
          <w:sz w:val="32"/>
        </w:rPr>
        <w:t>2024年度一般公共预算财政拨款支出330.69万元，</w:t>
      </w:r>
      <w:r>
        <w:rPr>
          <w:rFonts w:ascii="仿宋_GB2312" w:hAnsi="仿宋_GB2312" w:eastAsia="仿宋_GB2312"/>
          <w:b w:val="0"/>
          <w:sz w:val="32"/>
        </w:rPr>
        <w:t>占本年支出合计的99.95%。</w:t>
      </w:r>
      <w:r>
        <w:rPr>
          <w:rFonts w:ascii="仿宋_GB2312" w:hAnsi="仿宋_GB2312" w:eastAsia="仿宋_GB2312"/>
          <w:b/>
          <w:sz w:val="32"/>
        </w:rPr>
        <w:t>与上年相比，</w:t>
      </w:r>
      <w:r>
        <w:rPr>
          <w:rFonts w:ascii="仿宋_GB2312" w:hAnsi="仿宋_GB2312" w:eastAsia="仿宋_GB2312"/>
          <w:b w:val="0"/>
          <w:sz w:val="32"/>
        </w:rPr>
        <w:t>减少55.56万元，下降14.38%，主要原因是：本年减少水网建设规划项目资金。</w:t>
      </w:r>
      <w:r>
        <w:rPr>
          <w:rFonts w:ascii="仿宋_GB2312" w:hAnsi="仿宋_GB2312" w:eastAsia="仿宋_GB2312"/>
          <w:b/>
          <w:sz w:val="32"/>
        </w:rPr>
        <w:t>与年初预算相比,</w:t>
      </w:r>
      <w:r>
        <w:rPr>
          <w:rFonts w:ascii="仿宋_GB2312" w:hAnsi="仿宋_GB2312" w:eastAsia="仿宋_GB2312"/>
          <w:b w:val="0"/>
          <w:sz w:val="32"/>
        </w:rPr>
        <w:t>年初预算数304.29万元，决算数330.69万元，预决算差异率8.68%，主要原因是：年中追加人员工资、社保、公积金基数调增部分资金，导致预决算存在差异。</w:t>
      </w:r>
    </w:p>
    <w:p w14:paraId="502121EC">
      <w:pPr>
        <w:spacing w:line="640" w:lineRule="exact"/>
        <w:ind w:firstLine="640"/>
        <w:jc w:val="both"/>
        <w:outlineLvl w:val="3"/>
      </w:pPr>
      <w:r>
        <w:rPr>
          <w:rFonts w:ascii="楷体_GB2312" w:hAnsi="楷体_GB2312" w:eastAsia="楷体_GB2312"/>
          <w:b/>
          <w:sz w:val="32"/>
        </w:rPr>
        <w:t>（二）一般公共预算财政拨款支出决算结构情况</w:t>
      </w:r>
    </w:p>
    <w:p w14:paraId="13C6606B">
      <w:pPr>
        <w:spacing w:line="580" w:lineRule="exact"/>
        <w:ind w:firstLine="640"/>
        <w:jc w:val="both"/>
      </w:pPr>
      <w:r>
        <w:rPr>
          <w:rFonts w:ascii="仿宋_GB2312" w:hAnsi="仿宋_GB2312" w:eastAsia="仿宋_GB2312"/>
          <w:b w:val="0"/>
          <w:sz w:val="32"/>
        </w:rPr>
        <w:t>1.社会保障和就业支出(类)57.73万元,占17.46%。</w:t>
      </w:r>
    </w:p>
    <w:p w14:paraId="3F4049D0">
      <w:pPr>
        <w:spacing w:line="580" w:lineRule="exact"/>
        <w:ind w:firstLine="640"/>
        <w:jc w:val="both"/>
      </w:pPr>
      <w:r>
        <w:rPr>
          <w:rFonts w:ascii="仿宋_GB2312" w:hAnsi="仿宋_GB2312" w:eastAsia="仿宋_GB2312"/>
          <w:b w:val="0"/>
          <w:sz w:val="32"/>
        </w:rPr>
        <w:t>2.农林水支出(类)272.96万元,占82.54%。</w:t>
      </w:r>
    </w:p>
    <w:p w14:paraId="0CB6DE19">
      <w:pPr>
        <w:spacing w:line="640" w:lineRule="exact"/>
        <w:ind w:firstLine="640"/>
        <w:jc w:val="both"/>
        <w:outlineLvl w:val="3"/>
      </w:pPr>
      <w:r>
        <w:rPr>
          <w:rFonts w:ascii="楷体_GB2312" w:hAnsi="楷体_GB2312" w:eastAsia="楷体_GB2312"/>
          <w:b/>
          <w:sz w:val="32"/>
        </w:rPr>
        <w:t>（三）一般公共预算财政拨款支出决算具体情况</w:t>
      </w:r>
    </w:p>
    <w:p w14:paraId="691F8E94">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1.社会保障和就业支出(类)行政事业单位养老支出(款)事业单位离退休(项):支出决算数为30.36万元，比上年决算增加6.08万元，增长25.04%,主要原因是：本年增加退休人员基础绩效奖，退休费支出增加。</w:t>
      </w:r>
    </w:p>
    <w:p w14:paraId="53555FC8">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27.37万元，比上年决算增加1.95万元，增长7.67%,主要原因是：本年在职人员工资基数调增，养老缴费基数上涨，相应支出增加。</w:t>
      </w:r>
    </w:p>
    <w:p w14:paraId="0573B0FF">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0.00万元，比上年决算减少18.56万元，下降100.00%,主要原因是：本年无新增退休人员，职业年金缴费较上年减少。</w:t>
      </w:r>
    </w:p>
    <w:p w14:paraId="17DCA6C7">
      <w:pPr>
        <w:spacing w:line="580" w:lineRule="exact"/>
        <w:ind w:firstLine="640"/>
        <w:jc w:val="both"/>
      </w:pPr>
      <w:r>
        <w:rPr>
          <w:rFonts w:ascii="仿宋_GB2312" w:hAnsi="仿宋_GB2312" w:eastAsia="仿宋_GB2312"/>
          <w:b w:val="0"/>
          <w:sz w:val="32"/>
        </w:rPr>
        <w:t>4.社会保障和就业支出(类)就业补助(款)就业见习补贴(项):支出决算数为0.00万元，比上年决算减少0.16万元，下降100.00%,主要原因是：本年减少见习人员的就业见习补贴经费。</w:t>
      </w:r>
    </w:p>
    <w:p w14:paraId="1C65B0C6">
      <w:pPr>
        <w:spacing w:line="580" w:lineRule="exact"/>
        <w:ind w:firstLine="640"/>
        <w:jc w:val="both"/>
      </w:pPr>
      <w:r>
        <w:rPr>
          <w:rFonts w:ascii="仿宋_GB2312" w:hAnsi="仿宋_GB2312" w:eastAsia="仿宋_GB2312"/>
          <w:b w:val="0"/>
          <w:sz w:val="32"/>
        </w:rPr>
        <w:t>5.农林水支出(类)水利(款)水利前期工作(项):支出决算数为272.96万元，比上年决算增加24.13万元，增长9.70%,主要原因是：本年在职人员工资调增，导致相关人员经费较上年有所增加。</w:t>
      </w:r>
    </w:p>
    <w:p w14:paraId="1031AC56">
      <w:pPr>
        <w:spacing w:line="580" w:lineRule="exact"/>
        <w:ind w:firstLine="640"/>
        <w:jc w:val="both"/>
      </w:pPr>
      <w:r>
        <w:rPr>
          <w:rFonts w:ascii="仿宋_GB2312" w:hAnsi="仿宋_GB2312" w:eastAsia="仿宋_GB2312"/>
          <w:b w:val="0"/>
          <w:sz w:val="32"/>
        </w:rPr>
        <w:t>6.农林水支出(类)水利(款)其他水利支出(项):支出决算数为0.00万元，比上年决算减少69.00万元，下降100.00%,主要原因是：本年减少水网建设规划项目资金。</w:t>
      </w:r>
    </w:p>
    <w:p w14:paraId="0F4B9CCE">
      <w:pPr>
        <w:spacing w:line="640" w:lineRule="exact"/>
        <w:ind w:firstLine="640"/>
        <w:jc w:val="both"/>
        <w:outlineLvl w:val="2"/>
      </w:pPr>
      <w:r>
        <w:rPr>
          <w:rFonts w:ascii="黑体" w:hAnsi="黑体" w:eastAsia="黑体"/>
          <w:sz w:val="32"/>
        </w:rPr>
        <w:t>六、一般公共预算财政拨款基本支出决算情况说明</w:t>
      </w:r>
    </w:p>
    <w:p w14:paraId="2F1C00FC">
      <w:pPr>
        <w:spacing w:line="580" w:lineRule="exact"/>
        <w:ind w:firstLine="640"/>
        <w:jc w:val="both"/>
      </w:pPr>
      <w:r>
        <w:rPr>
          <w:rFonts w:ascii="仿宋_GB2312" w:hAnsi="仿宋_GB2312" w:eastAsia="仿宋_GB2312"/>
          <w:b w:val="0"/>
          <w:sz w:val="32"/>
        </w:rPr>
        <w:t>2024年度一般公共预算财政拨款基本支出330.69万元，其中：</w:t>
      </w:r>
      <w:r>
        <w:rPr>
          <w:rFonts w:ascii="仿宋_GB2312" w:hAnsi="仿宋_GB2312" w:eastAsia="仿宋_GB2312"/>
          <w:b/>
          <w:sz w:val="32"/>
        </w:rPr>
        <w:t>人员经费316.99万元，</w:t>
      </w:r>
      <w:r>
        <w:rPr>
          <w:rFonts w:ascii="仿宋_GB2312" w:hAnsi="仿宋_GB2312" w:eastAsia="仿宋_GB2312"/>
          <w:b w:val="0"/>
          <w:sz w:val="32"/>
        </w:rPr>
        <w:t>包括：基本工资、津贴补贴、奖金、机关事业单位基本养老保险缴费、职工基本医疗保险缴费、其他社会保障缴费、住房公积金、退休费、抚恤金、生活补助。</w:t>
      </w:r>
    </w:p>
    <w:p w14:paraId="2501D8E7">
      <w:pPr>
        <w:spacing w:line="580" w:lineRule="exact"/>
        <w:ind w:firstLine="640"/>
        <w:jc w:val="both"/>
      </w:pPr>
      <w:r>
        <w:rPr>
          <w:rFonts w:ascii="仿宋_GB2312" w:hAnsi="仿宋_GB2312" w:eastAsia="仿宋_GB2312"/>
          <w:b/>
          <w:sz w:val="32"/>
        </w:rPr>
        <w:t>公用经费13.70万元，</w:t>
      </w:r>
      <w:r>
        <w:rPr>
          <w:rFonts w:ascii="仿宋_GB2312" w:hAnsi="仿宋_GB2312" w:eastAsia="仿宋_GB2312"/>
          <w:b w:val="0"/>
          <w:sz w:val="32"/>
        </w:rPr>
        <w:t>包括：办公费、印刷费、水费、电费、差旅费、维修（护）费、劳务费、工会经费、福利费、公务用车运行维护费、其他商品和服务支出。</w:t>
      </w:r>
    </w:p>
    <w:p w14:paraId="71D762CE">
      <w:pPr>
        <w:spacing w:line="640" w:lineRule="exact"/>
        <w:ind w:firstLine="640"/>
        <w:jc w:val="both"/>
        <w:outlineLvl w:val="2"/>
      </w:pPr>
      <w:r>
        <w:rPr>
          <w:rFonts w:ascii="黑体" w:hAnsi="黑体" w:eastAsia="黑体"/>
          <w:sz w:val="32"/>
        </w:rPr>
        <w:t>七、政府性基金预算财政拨款收入支出决算情况说明</w:t>
      </w:r>
    </w:p>
    <w:p w14:paraId="20001926">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3EB58C0">
      <w:pPr>
        <w:spacing w:line="640" w:lineRule="exact"/>
        <w:ind w:firstLine="640"/>
        <w:jc w:val="both"/>
        <w:outlineLvl w:val="2"/>
      </w:pPr>
      <w:r>
        <w:rPr>
          <w:rFonts w:ascii="黑体" w:hAnsi="黑体" w:eastAsia="黑体"/>
          <w:sz w:val="32"/>
        </w:rPr>
        <w:t>八、国有资本经营预算财政拨款收入支出决算情况说明</w:t>
      </w:r>
    </w:p>
    <w:p w14:paraId="15E75CA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42F64E2">
      <w:pPr>
        <w:spacing w:line="640" w:lineRule="exact"/>
        <w:ind w:firstLine="640"/>
        <w:jc w:val="both"/>
        <w:outlineLvl w:val="2"/>
      </w:pPr>
      <w:r>
        <w:rPr>
          <w:rFonts w:ascii="黑体" w:hAnsi="黑体" w:eastAsia="黑体"/>
          <w:sz w:val="32"/>
        </w:rPr>
        <w:t>九、财政拨款“三公”经费支出决算情况说明</w:t>
      </w:r>
    </w:p>
    <w:p w14:paraId="5EFAA886">
      <w:pPr>
        <w:spacing w:line="580" w:lineRule="exact"/>
        <w:ind w:firstLine="640"/>
        <w:jc w:val="both"/>
      </w:pPr>
      <w:r>
        <w:rPr>
          <w:rFonts w:ascii="仿宋_GB2312" w:hAnsi="仿宋_GB2312" w:eastAsia="仿宋_GB2312"/>
          <w:b/>
          <w:sz w:val="32"/>
        </w:rPr>
        <w:t>2024年度财政拨款“三公”经费支出1.80万元，</w:t>
      </w:r>
      <w:r>
        <w:rPr>
          <w:rFonts w:ascii="仿宋_GB2312" w:hAnsi="仿宋_GB2312" w:eastAsia="仿宋_GB2312"/>
          <w:b w:val="0"/>
          <w:sz w:val="32"/>
        </w:rPr>
        <w:t>比上年减少0.16万元，下降8.16%，主要原因是：严格执行</w:t>
      </w:r>
      <w:r>
        <w:rPr>
          <w:rFonts w:hint="eastAsia" w:ascii="仿宋_GB2312" w:hAnsi="仿宋_GB2312" w:eastAsia="仿宋_GB2312"/>
          <w:b w:val="0"/>
          <w:sz w:val="32"/>
          <w:lang w:val="en-US" w:eastAsia="zh-CN"/>
        </w:rPr>
        <w:t>中央</w:t>
      </w:r>
      <w:r>
        <w:rPr>
          <w:rFonts w:ascii="仿宋_GB2312" w:hAnsi="仿宋_GB2312" w:eastAsia="仿宋_GB2312"/>
          <w:b w:val="0"/>
          <w:sz w:val="32"/>
        </w:rPr>
        <w:t>八项规定，厉行节约，减少公务用车运行维护费。其中：因公出国（境）费支出0.00万元，占0.00%，比上年增加0.00万元，增长0.00%，主要原因是：2023年与2024年均未安排因公出国（境）费支出。公务用车购置及运行维护费支出1.80万元，占100.00%，比上年减少0.16万元，下降8.16%，主要原因是：严格执行</w:t>
      </w:r>
      <w:r>
        <w:rPr>
          <w:rFonts w:hint="eastAsia" w:ascii="仿宋_GB2312" w:hAnsi="仿宋_GB2312" w:eastAsia="仿宋_GB2312"/>
          <w:b w:val="0"/>
          <w:sz w:val="32"/>
          <w:lang w:val="en-US" w:eastAsia="zh-CN"/>
        </w:rPr>
        <w:t>中央</w:t>
      </w:r>
      <w:r>
        <w:rPr>
          <w:rFonts w:ascii="仿宋_GB2312" w:hAnsi="仿宋_GB2312" w:eastAsia="仿宋_GB2312"/>
          <w:b w:val="0"/>
          <w:sz w:val="32"/>
        </w:rPr>
        <w:t>八项规定，厉行节约，减少公务用车运行维护费。公务接待费支出0.00万元，占0.00%，比上年增加0.00万元，增长0.00%，主要原因是：2023年与2024年均未安排公务接待费支出。</w:t>
      </w:r>
    </w:p>
    <w:p w14:paraId="3F5887D0">
      <w:pPr>
        <w:spacing w:line="580" w:lineRule="exact"/>
        <w:ind w:firstLine="640"/>
        <w:jc w:val="both"/>
      </w:pPr>
      <w:r>
        <w:rPr>
          <w:rFonts w:ascii="仿宋_GB2312" w:hAnsi="仿宋_GB2312" w:eastAsia="仿宋_GB2312"/>
          <w:b/>
          <w:sz w:val="32"/>
        </w:rPr>
        <w:t>具体情况如下：</w:t>
      </w:r>
    </w:p>
    <w:p w14:paraId="5E327D98">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120E6CA">
      <w:pPr>
        <w:spacing w:line="580" w:lineRule="exact"/>
        <w:ind w:firstLine="640"/>
        <w:jc w:val="both"/>
      </w:pPr>
      <w:r>
        <w:rPr>
          <w:rFonts w:ascii="仿宋_GB2312" w:hAnsi="仿宋_GB2312" w:eastAsia="仿宋_GB2312"/>
          <w:b w:val="0"/>
          <w:sz w:val="32"/>
        </w:rPr>
        <w:t>公务用车购置及运行维护费1.80万元，其中：公务用车购置费0.00万元，公务用车运行维护费1.80万元。公务用车运行维护费开支内容包括车辆加油费、维修费、保险费、审车费、过路费等。公务用车购置数0辆，公务用车保有量1辆。国有资产占用情况中固定资产车辆1辆，与公务用车保有量差异原因是：本单位固定资产车辆与公务用车保有量一致无差异。</w:t>
      </w:r>
    </w:p>
    <w:p w14:paraId="38855293">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CA56E8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1.80万元，决算数1.80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1.80万元，决算数1.80万元，预决算差异率0.00%，主要原因是：严格按照预算执行，预决算无差异。公务接待费全年预算数0.00万元，决算数0.00万元，预决算差异率0.00%，主要原因是：本单位无公务接待费。</w:t>
      </w:r>
    </w:p>
    <w:p w14:paraId="5A77EC08">
      <w:pPr>
        <w:spacing w:line="640" w:lineRule="exact"/>
        <w:ind w:firstLine="640"/>
        <w:jc w:val="both"/>
        <w:outlineLvl w:val="2"/>
      </w:pPr>
      <w:r>
        <w:rPr>
          <w:rFonts w:ascii="黑体" w:hAnsi="黑体" w:eastAsia="黑体"/>
          <w:sz w:val="32"/>
        </w:rPr>
        <w:t>十、其他重要事项的情况说明</w:t>
      </w:r>
    </w:p>
    <w:p w14:paraId="271D8CF0">
      <w:pPr>
        <w:spacing w:line="640" w:lineRule="exact"/>
        <w:ind w:firstLine="640"/>
        <w:jc w:val="both"/>
        <w:outlineLvl w:val="3"/>
      </w:pPr>
      <w:r>
        <w:rPr>
          <w:rFonts w:ascii="楷体_GB2312" w:hAnsi="楷体_GB2312" w:eastAsia="楷体_GB2312"/>
          <w:b/>
          <w:sz w:val="32"/>
        </w:rPr>
        <w:t>（一）机关运行经费及公用经费支出情况</w:t>
      </w:r>
    </w:p>
    <w:p w14:paraId="65FEEB83">
      <w:pPr>
        <w:spacing w:line="580" w:lineRule="exact"/>
        <w:ind w:firstLine="640"/>
        <w:jc w:val="both"/>
      </w:pPr>
      <w:r>
        <w:rPr>
          <w:rFonts w:ascii="仿宋_GB2312" w:hAnsi="仿宋_GB2312" w:eastAsia="仿宋_GB2312"/>
          <w:b w:val="0"/>
          <w:sz w:val="32"/>
        </w:rPr>
        <w:t>2024年度克孜勒苏柯尔克孜自治州水资源规划管理中心（事业单位）公用经费支出13.70万元，比上年减少0.29万元，下降2.07%，主要原因是：严控经费支出，厉行节约，减少经费支出。</w:t>
      </w:r>
    </w:p>
    <w:p w14:paraId="0DDD15DA">
      <w:pPr>
        <w:spacing w:line="640" w:lineRule="exact"/>
        <w:ind w:firstLine="640"/>
        <w:jc w:val="both"/>
        <w:outlineLvl w:val="3"/>
      </w:pPr>
      <w:r>
        <w:rPr>
          <w:rFonts w:ascii="楷体_GB2312" w:hAnsi="楷体_GB2312" w:eastAsia="楷体_GB2312"/>
          <w:b/>
          <w:sz w:val="32"/>
        </w:rPr>
        <w:t>（二）政府采购情况</w:t>
      </w:r>
    </w:p>
    <w:p w14:paraId="147A0D01">
      <w:pPr>
        <w:spacing w:line="580" w:lineRule="exact"/>
        <w:ind w:firstLine="640"/>
        <w:jc w:val="both"/>
      </w:pPr>
      <w:r>
        <w:rPr>
          <w:rFonts w:ascii="仿宋_GB2312" w:hAnsi="仿宋_GB2312" w:eastAsia="仿宋_GB2312"/>
          <w:b w:val="0"/>
          <w:sz w:val="32"/>
        </w:rPr>
        <w:t>2024年度政府采购支出总额10.51万元，其中：政府采购货物支出8.27万元、政府采购工程支出0.00万元、政府采购服务支出2.24万元。</w:t>
      </w:r>
    </w:p>
    <w:p w14:paraId="47A6E52C">
      <w:pPr>
        <w:spacing w:line="580" w:lineRule="exact"/>
        <w:ind w:firstLine="640"/>
        <w:jc w:val="both"/>
      </w:pPr>
      <w:r>
        <w:rPr>
          <w:rFonts w:ascii="仿宋_GB2312" w:hAnsi="仿宋_GB2312" w:eastAsia="仿宋_GB2312"/>
          <w:b w:val="0"/>
          <w:sz w:val="32"/>
        </w:rPr>
        <w:t>授予中小企业合同金额9.77万元，占政府采购支出总额的92.96%，其中：授予小微企业合同金额8.97万元，占政府采购支出总额的85.35%。</w:t>
      </w:r>
    </w:p>
    <w:p w14:paraId="3EC45F5A">
      <w:pPr>
        <w:spacing w:line="640" w:lineRule="exact"/>
        <w:ind w:firstLine="640"/>
        <w:jc w:val="both"/>
        <w:outlineLvl w:val="3"/>
      </w:pPr>
      <w:r>
        <w:rPr>
          <w:rFonts w:ascii="楷体_GB2312" w:hAnsi="楷体_GB2312" w:eastAsia="楷体_GB2312"/>
          <w:b/>
          <w:sz w:val="32"/>
        </w:rPr>
        <w:t>（三）国有资产占用情况说明</w:t>
      </w:r>
    </w:p>
    <w:p w14:paraId="2333C230">
      <w:pPr>
        <w:spacing w:line="580" w:lineRule="exact"/>
        <w:ind w:firstLine="640"/>
        <w:jc w:val="both"/>
      </w:pPr>
      <w:r>
        <w:rPr>
          <w:rFonts w:ascii="仿宋_GB2312" w:hAnsi="仿宋_GB2312" w:eastAsia="仿宋_GB2312"/>
          <w:b w:val="0"/>
          <w:sz w:val="32"/>
        </w:rPr>
        <w:t>截至2024年12月31日，房屋0.00平方米，价值0.00万元。车辆1辆，价值19.54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3E8D6D57">
      <w:pPr>
        <w:spacing w:line="640" w:lineRule="exact"/>
        <w:ind w:firstLine="640"/>
        <w:jc w:val="both"/>
        <w:outlineLvl w:val="2"/>
      </w:pPr>
      <w:r>
        <w:rPr>
          <w:rFonts w:ascii="黑体" w:hAnsi="黑体" w:eastAsia="黑体"/>
          <w:sz w:val="32"/>
        </w:rPr>
        <w:t>十一、预算绩效的情况说明</w:t>
      </w:r>
    </w:p>
    <w:p w14:paraId="73C31F3A">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330.85万元，实际执行总额330.85万元；预算绩效评价项目0个，全年预算数0.00万元，全年执行数0.00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绩效管理专业人员匮乏，规范管理有盲点。预算绩效管理工作的覆盖面广、专业性强，不论预算单位在开展日常管理，还是财政部门组织实施绩效评价，都需要具备一定专业素养和实战经验的人力资源。下一步改进措施：高度重视，加强领导，精心组织，逐步推开，实现编制预算绩效目标全覆盖。积极开展绩效跟踪监控，及时纠偏，确保绩效目标实现；财政管理部门对各部门绩效自评工作进行指导、监督、检查，积极运用评价结果，提高资金使用效率。具体附整体支出绩效自评表。</w:t>
      </w:r>
    </w:p>
    <w:p w14:paraId="3A5049F0">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30505229">
        <w:tblPrEx>
          <w:tblCellMar>
            <w:top w:w="0" w:type="dxa"/>
            <w:left w:w="108" w:type="dxa"/>
            <w:bottom w:w="0" w:type="dxa"/>
            <w:right w:w="108" w:type="dxa"/>
          </w:tblCellMar>
        </w:tblPrEx>
        <w:tc>
          <w:tcPr>
            <w:tcW w:w="8840" w:type="dxa"/>
            <w:gridSpan w:val="8"/>
            <w:vAlign w:val="center"/>
          </w:tcPr>
          <w:p w14:paraId="19632D48">
            <w:pPr>
              <w:jc w:val="center"/>
            </w:pPr>
            <w:r>
              <w:rPr>
                <w:rFonts w:ascii="宋体" w:hAnsi="宋体" w:eastAsia="宋体"/>
                <w:sz w:val="24"/>
              </w:rPr>
              <w:t>单位整体支出绩效自评表</w:t>
            </w:r>
          </w:p>
        </w:tc>
      </w:tr>
      <w:tr w14:paraId="54F9DCE3">
        <w:tblPrEx>
          <w:tblCellMar>
            <w:top w:w="0" w:type="dxa"/>
            <w:left w:w="108" w:type="dxa"/>
            <w:bottom w:w="0" w:type="dxa"/>
            <w:right w:w="108" w:type="dxa"/>
          </w:tblCellMar>
        </w:tblPrEx>
        <w:tc>
          <w:tcPr>
            <w:tcW w:w="8840" w:type="dxa"/>
            <w:gridSpan w:val="8"/>
            <w:vAlign w:val="center"/>
          </w:tcPr>
          <w:p w14:paraId="124689AD">
            <w:pPr>
              <w:jc w:val="center"/>
            </w:pPr>
            <w:r>
              <w:rPr>
                <w:rFonts w:ascii="宋体" w:hAnsi="宋体" w:eastAsia="宋体"/>
                <w:sz w:val="24"/>
              </w:rPr>
              <w:t>（2024年度）</w:t>
            </w:r>
          </w:p>
        </w:tc>
      </w:tr>
      <w:tr w14:paraId="3556363D">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1C5600">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4B4E2C">
            <w:pPr>
              <w:jc w:val="center"/>
            </w:pPr>
            <w:r>
              <w:rPr>
                <w:rFonts w:ascii="宋体" w:hAnsi="宋体" w:eastAsia="宋体"/>
                <w:sz w:val="16"/>
              </w:rPr>
              <w:t>克孜勒苏柯尔克孜自治州水资源规划管理中心</w:t>
            </w:r>
          </w:p>
        </w:tc>
      </w:tr>
      <w:tr w14:paraId="4C173B74">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B677D0">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C38382">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45604B">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6D63D3">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B0F21D">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8B1FE9">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E46A7A">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5F39AB">
            <w:pPr>
              <w:jc w:val="center"/>
            </w:pPr>
            <w:r>
              <w:rPr>
                <w:rFonts w:ascii="宋体" w:hAnsi="宋体" w:eastAsia="宋体"/>
                <w:sz w:val="16"/>
              </w:rPr>
              <w:t>得分</w:t>
            </w:r>
          </w:p>
        </w:tc>
      </w:tr>
      <w:tr w14:paraId="347A350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0D4590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13A1E0">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837D24">
            <w:pPr>
              <w:jc w:val="center"/>
            </w:pPr>
            <w:r>
              <w:rPr>
                <w:rFonts w:ascii="宋体" w:hAnsi="宋体" w:eastAsia="宋体"/>
                <w:sz w:val="16"/>
              </w:rPr>
              <w:t>304.29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0ACFE9">
            <w:pPr>
              <w:jc w:val="center"/>
            </w:pPr>
            <w:r>
              <w:rPr>
                <w:rFonts w:ascii="宋体" w:hAnsi="宋体" w:eastAsia="宋体"/>
                <w:sz w:val="16"/>
              </w:rPr>
              <w:t>330.85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640F4B">
            <w:pPr>
              <w:jc w:val="center"/>
            </w:pPr>
            <w:r>
              <w:rPr>
                <w:rFonts w:ascii="宋体" w:hAnsi="宋体" w:eastAsia="宋体"/>
                <w:sz w:val="16"/>
              </w:rPr>
              <w:t>330.85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931230">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3C8AD1">
            <w:pPr>
              <w:jc w:val="center"/>
            </w:pPr>
            <w:r>
              <w:rPr>
                <w:rFonts w:ascii="宋体" w:hAnsi="宋体" w:eastAsia="宋体"/>
                <w:sz w:val="16"/>
              </w:rPr>
              <w:t>100.00%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9A8598">
            <w:pPr>
              <w:jc w:val="center"/>
            </w:pPr>
            <w:r>
              <w:rPr>
                <w:rFonts w:ascii="宋体" w:hAnsi="宋体" w:eastAsia="宋体"/>
                <w:sz w:val="16"/>
              </w:rPr>
              <w:t>10</w:t>
            </w:r>
          </w:p>
        </w:tc>
      </w:tr>
      <w:tr w14:paraId="26FCF46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C5DD59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36E69A">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923D1D">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A49DAF">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10B26E">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A0EBA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022C7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E7BAF4">
            <w:pPr>
              <w:jc w:val="center"/>
            </w:pPr>
            <w:r>
              <w:rPr>
                <w:rFonts w:ascii="宋体" w:hAnsi="宋体" w:eastAsia="宋体"/>
                <w:sz w:val="16"/>
              </w:rPr>
              <w:t>—</w:t>
            </w:r>
          </w:p>
        </w:tc>
      </w:tr>
      <w:tr w14:paraId="40972BB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FAE558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ADF36B">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D9412F">
            <w:pPr>
              <w:jc w:val="center"/>
            </w:pPr>
            <w:r>
              <w:rPr>
                <w:rFonts w:ascii="宋体" w:hAnsi="宋体" w:eastAsia="宋体"/>
                <w:sz w:val="16"/>
              </w:rPr>
              <w:t>304.29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0F8E48">
            <w:pPr>
              <w:jc w:val="center"/>
            </w:pPr>
            <w:r>
              <w:rPr>
                <w:rFonts w:ascii="宋体" w:hAnsi="宋体" w:eastAsia="宋体"/>
                <w:sz w:val="16"/>
              </w:rPr>
              <w:t>330.85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C2F1CC">
            <w:pPr>
              <w:jc w:val="center"/>
            </w:pPr>
            <w:r>
              <w:rPr>
                <w:rFonts w:ascii="宋体" w:hAnsi="宋体" w:eastAsia="宋体"/>
                <w:sz w:val="16"/>
              </w:rPr>
              <w:t>330.85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60211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F2920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9B5053">
            <w:pPr>
              <w:jc w:val="center"/>
            </w:pPr>
            <w:r>
              <w:rPr>
                <w:rFonts w:ascii="宋体" w:hAnsi="宋体" w:eastAsia="宋体"/>
                <w:sz w:val="16"/>
              </w:rPr>
              <w:t>—</w:t>
            </w:r>
          </w:p>
        </w:tc>
      </w:tr>
      <w:tr w14:paraId="414ED5C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18176D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09DE32">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65E66E">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C13F71">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E09A94">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D3DB3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3EC21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50AB98">
            <w:pPr>
              <w:jc w:val="center"/>
            </w:pPr>
            <w:r>
              <w:rPr>
                <w:rFonts w:ascii="宋体" w:hAnsi="宋体" w:eastAsia="宋体"/>
                <w:sz w:val="16"/>
              </w:rPr>
              <w:t>—</w:t>
            </w:r>
          </w:p>
        </w:tc>
      </w:tr>
      <w:tr w14:paraId="0C87FA1E">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FF3F93">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08F9343">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9278171">
            <w:pPr>
              <w:jc w:val="center"/>
            </w:pPr>
            <w:r>
              <w:rPr>
                <w:rFonts w:ascii="宋体" w:hAnsi="宋体" w:eastAsia="宋体"/>
                <w:sz w:val="16"/>
              </w:rPr>
              <w:t>实际完成情况</w:t>
            </w:r>
          </w:p>
        </w:tc>
      </w:tr>
      <w:tr w14:paraId="35D6B2A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64F2F5E"/>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3340501">
            <w:pPr>
              <w:jc w:val="both"/>
            </w:pPr>
            <w:r>
              <w:rPr>
                <w:rFonts w:ascii="宋体" w:hAnsi="宋体" w:eastAsia="宋体"/>
                <w:sz w:val="16"/>
              </w:rPr>
              <w:t xml:space="preserve">1.认真贯彻落实国家法律法规、宣传贯彻水法规及上级水利规划的有关精神。   </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2.积极做好州水利局交办的其他工作。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3.承担上级部门交办的其他任务。                                                                                  4.督促设计单位编制完成《克州水网建设规划报告》，并预审后上报自治区水利厅审查。</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5.推进包联技术指导2024年乌恰县水利固投5个项目建设和阿合奇县水利固投5个项目建设。</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6.检查指导阿图什市、阿克陶县县域节水型社会创建</w:t>
            </w:r>
            <w:bookmarkStart w:id="0" w:name="_GoBack"/>
            <w:bookmarkEnd w:id="0"/>
            <w:r>
              <w:rPr>
                <w:rFonts w:ascii="宋体" w:hAnsi="宋体" w:eastAsia="宋体"/>
                <w:sz w:val="16"/>
              </w:rPr>
              <w:t>水利部验收通过前的准备工作；检查指导2024年度阿合奇县县域节水型社会创建工作。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7.完成阿图什市布谷孜河流域水资源调查评估工作。</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C691FC4">
            <w:pPr>
              <w:jc w:val="both"/>
            </w:pPr>
            <w:r>
              <w:rPr>
                <w:rFonts w:hint="eastAsia" w:ascii="宋体" w:hAnsi="宋体"/>
                <w:sz w:val="16"/>
                <w:lang w:eastAsia="zh-CN"/>
              </w:rPr>
              <w:t>截至</w:t>
            </w:r>
            <w:r>
              <w:rPr>
                <w:rFonts w:ascii="宋体" w:hAnsi="宋体" w:eastAsia="宋体"/>
                <w:sz w:val="16"/>
              </w:rPr>
              <w:t>2024年12月31日，已完成督促设计单位编制完成《克州水网建设规划报告》，已上报自治区水利厅审查，自治区水利厅已对《克州水网建设规划报告》进行了审核，待自治区水利厅审批。二是持续推进2024年阿合奇县、阿克陶县、乌恰县等县域节水型社会标准化建设创建工作，按照《国家节水行动方案</w:t>
            </w:r>
            <w:r>
              <w:rPr>
                <w:rFonts w:hint="eastAsia" w:ascii="宋体" w:hAnsi="宋体"/>
                <w:sz w:val="16"/>
                <w:lang w:eastAsia="zh-CN"/>
              </w:rPr>
              <w:t>》《</w:t>
            </w:r>
            <w:r>
              <w:rPr>
                <w:rFonts w:ascii="宋体" w:hAnsi="宋体" w:eastAsia="宋体"/>
                <w:sz w:val="16"/>
              </w:rPr>
              <w:t>新疆维吾尔自治区节水行动实施方案》要求，以及《节水型社会必备条件评价标准》的相关要求，对阿合奇县、阿克陶县、乌恰县等县域节水型社会标准化建设必备条件进行了技术指导复核工作，并督促阿合奇县水利局上报了阿合奇县、阿克陶县、乌恰县等县域节水型社会标准化建设必备条件申报材料，自治区水利厅已现场复核，待自治区现场验收。三是按照州水利局党组的安排，对我中心对乌恰县和阿合奇县5个水利专班重点项目进行5次包联指导检查。四是组织本中心专业技术人员已编制完成阿图什市布谷孜河流域水资源调查评估报告。</w:t>
            </w:r>
          </w:p>
        </w:tc>
      </w:tr>
      <w:tr w14:paraId="6F12A4FB">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25876C">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200B12">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FFA244">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746B40">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8A4B09">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495A0F">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CE8302">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C2518B">
            <w:pPr>
              <w:jc w:val="center"/>
            </w:pPr>
            <w:r>
              <w:rPr>
                <w:rFonts w:ascii="宋体" w:hAnsi="宋体" w:eastAsia="宋体"/>
                <w:sz w:val="16"/>
              </w:rPr>
              <w:t>得分</w:t>
            </w:r>
          </w:p>
        </w:tc>
      </w:tr>
      <w:tr w14:paraId="768AFC10">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D95381">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26BB17">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35D181">
            <w:pPr>
              <w:jc w:val="center"/>
            </w:pPr>
            <w:r>
              <w:rPr>
                <w:rFonts w:ascii="宋体" w:hAnsi="宋体" w:eastAsia="宋体"/>
                <w:sz w:val="16"/>
              </w:rPr>
              <w:t>调研节水型社会创建工作县（市）</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4A64DB">
            <w:pPr>
              <w:jc w:val="center"/>
            </w:pPr>
            <w:r>
              <w:rPr>
                <w:rFonts w:ascii="宋体" w:hAnsi="宋体" w:eastAsia="宋体"/>
                <w:sz w:val="16"/>
              </w:rPr>
              <w:t>&gt;=3个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172FA8">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4AF73B">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A08021">
            <w:pPr>
              <w:jc w:val="center"/>
            </w:pPr>
            <w:r>
              <w:rPr>
                <w:rFonts w:ascii="宋体" w:hAnsi="宋体" w:eastAsia="宋体"/>
                <w:sz w:val="16"/>
              </w:rPr>
              <w:t>3个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207F54">
            <w:pPr>
              <w:jc w:val="center"/>
            </w:pPr>
            <w:r>
              <w:rPr>
                <w:rFonts w:ascii="宋体" w:hAnsi="宋体" w:eastAsia="宋体"/>
                <w:sz w:val="16"/>
              </w:rPr>
              <w:t>25</w:t>
            </w:r>
          </w:p>
        </w:tc>
      </w:tr>
      <w:tr w14:paraId="2F401C0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103749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D0008B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436B8A">
            <w:pPr>
              <w:jc w:val="center"/>
            </w:pPr>
            <w:r>
              <w:rPr>
                <w:rFonts w:ascii="宋体" w:hAnsi="宋体" w:eastAsia="宋体"/>
                <w:sz w:val="16"/>
              </w:rPr>
              <w:t>水网规划编制报告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1FC300">
            <w:pPr>
              <w:jc w:val="center"/>
            </w:pPr>
            <w:r>
              <w:rPr>
                <w:rFonts w:ascii="宋体" w:hAnsi="宋体" w:eastAsia="宋体"/>
                <w:sz w:val="16"/>
              </w:rPr>
              <w: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90AEE9">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0B94AF">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3642B9">
            <w:pPr>
              <w:jc w:val="center"/>
            </w:pPr>
            <w:r>
              <w:rPr>
                <w:rFonts w:ascii="宋体" w:hAnsi="宋体" w:eastAsia="宋体"/>
                <w:sz w:val="16"/>
              </w:rPr>
              <w: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A55AB5">
            <w:pPr>
              <w:jc w:val="center"/>
            </w:pPr>
            <w:r>
              <w:rPr>
                <w:rFonts w:ascii="宋体" w:hAnsi="宋体" w:eastAsia="宋体"/>
                <w:sz w:val="16"/>
              </w:rPr>
              <w:t>25</w:t>
            </w:r>
          </w:p>
        </w:tc>
      </w:tr>
      <w:tr w14:paraId="6E2384B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AA3E17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487400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C909C6">
            <w:pPr>
              <w:jc w:val="center"/>
            </w:pPr>
            <w:r>
              <w:rPr>
                <w:rFonts w:ascii="宋体" w:hAnsi="宋体" w:eastAsia="宋体"/>
                <w:sz w:val="16"/>
              </w:rPr>
              <w:t>河流或水资源调查评估工作</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944998">
            <w:pPr>
              <w:jc w:val="center"/>
            </w:pPr>
            <w:r>
              <w:rPr>
                <w:rFonts w:ascii="宋体" w:hAnsi="宋体" w:eastAsia="宋体"/>
                <w:sz w:val="16"/>
              </w:rPr>
              <w:t>&gt;=1次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1BD11E">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B13122">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147AC0">
            <w:pPr>
              <w:jc w:val="center"/>
            </w:pPr>
            <w:r>
              <w:rPr>
                <w:rFonts w:ascii="宋体" w:hAnsi="宋体" w:eastAsia="宋体"/>
                <w:sz w:val="16"/>
              </w:rPr>
              <w: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B54C25">
            <w:pPr>
              <w:jc w:val="center"/>
            </w:pPr>
            <w:r>
              <w:rPr>
                <w:rFonts w:ascii="宋体" w:hAnsi="宋体" w:eastAsia="宋体"/>
                <w:sz w:val="16"/>
              </w:rPr>
              <w:t>15</w:t>
            </w:r>
          </w:p>
        </w:tc>
      </w:tr>
      <w:tr w14:paraId="1FE7059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45687AE"/>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B2FE47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3134CC">
            <w:pPr>
              <w:jc w:val="center"/>
            </w:pPr>
            <w:r>
              <w:rPr>
                <w:rFonts w:ascii="宋体" w:hAnsi="宋体" w:eastAsia="宋体"/>
                <w:sz w:val="16"/>
              </w:rPr>
              <w:t>水利固投项目施工进度检查</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8F5860">
            <w:pPr>
              <w:jc w:val="center"/>
            </w:pPr>
            <w:r>
              <w:rPr>
                <w:rFonts w:ascii="宋体" w:hAnsi="宋体" w:eastAsia="宋体"/>
                <w:sz w:val="16"/>
              </w:rPr>
              <w:t>&gt;=5次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44FE37">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5DC45C">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C2241B">
            <w:pPr>
              <w:jc w:val="center"/>
            </w:pPr>
            <w:r>
              <w:rPr>
                <w:rFonts w:ascii="宋体" w:hAnsi="宋体" w:eastAsia="宋体"/>
                <w:sz w:val="16"/>
              </w:rPr>
              <w:t>5次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ED33C6">
            <w:pPr>
              <w:jc w:val="center"/>
            </w:pPr>
            <w:r>
              <w:rPr>
                <w:rFonts w:ascii="宋体" w:hAnsi="宋体" w:eastAsia="宋体"/>
                <w:sz w:val="16"/>
              </w:rPr>
              <w:t>25</w:t>
            </w:r>
          </w:p>
        </w:tc>
      </w:tr>
    </w:tbl>
    <w:p w14:paraId="58C48604">
      <w:r>
        <w:br w:type="page"/>
      </w:r>
    </w:p>
    <w:p w14:paraId="036E50EB">
      <w:pPr>
        <w:spacing w:line="640" w:lineRule="exact"/>
        <w:ind w:firstLine="640"/>
        <w:jc w:val="both"/>
        <w:outlineLvl w:val="2"/>
      </w:pPr>
      <w:r>
        <w:rPr>
          <w:rFonts w:ascii="黑体" w:hAnsi="黑体" w:eastAsia="黑体"/>
          <w:sz w:val="32"/>
        </w:rPr>
        <w:t>十二、其他需说明的事项</w:t>
      </w:r>
    </w:p>
    <w:p w14:paraId="70417C8E">
      <w:pPr>
        <w:spacing w:line="580" w:lineRule="exact"/>
        <w:ind w:firstLine="640"/>
        <w:jc w:val="both"/>
      </w:pPr>
      <w:r>
        <w:rPr>
          <w:rFonts w:ascii="仿宋_GB2312" w:hAnsi="仿宋_GB2312" w:eastAsia="仿宋_GB2312"/>
          <w:b w:val="0"/>
          <w:sz w:val="32"/>
        </w:rPr>
        <w:t>本单位无其他需说明的事项。</w:t>
      </w:r>
    </w:p>
    <w:p w14:paraId="17F299D3">
      <w:r>
        <w:br w:type="page"/>
      </w:r>
    </w:p>
    <w:p w14:paraId="49EB4342">
      <w:pPr>
        <w:spacing w:line="240" w:lineRule="auto"/>
        <w:jc w:val="center"/>
        <w:outlineLvl w:val="1"/>
      </w:pPr>
      <w:r>
        <w:rPr>
          <w:rFonts w:ascii="黑体" w:hAnsi="黑体" w:eastAsia="黑体"/>
          <w:sz w:val="32"/>
        </w:rPr>
        <w:t>第三部分 专业名词解释</w:t>
      </w:r>
    </w:p>
    <w:p w14:paraId="51D32A3F">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4765D2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F48CC9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3E2FB0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6CBCA7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A37FA8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34BAA5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1F4A79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6E04F8E">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78047F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95703C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5D9B8BE">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2A8BC58">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6852D6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9592DE8">
      <w:r>
        <w:br w:type="page"/>
      </w:r>
    </w:p>
    <w:p w14:paraId="2591B9A9">
      <w:pPr>
        <w:spacing w:line="240" w:lineRule="auto"/>
        <w:jc w:val="center"/>
        <w:outlineLvl w:val="1"/>
      </w:pPr>
      <w:r>
        <w:rPr>
          <w:rFonts w:ascii="黑体" w:hAnsi="黑体" w:eastAsia="黑体"/>
          <w:sz w:val="32"/>
        </w:rPr>
        <w:t>第四部分 部门决算报表（见附表）</w:t>
      </w:r>
    </w:p>
    <w:p w14:paraId="32E8B387">
      <w:pPr>
        <w:spacing w:line="240" w:lineRule="auto"/>
        <w:ind w:firstLine="640"/>
        <w:jc w:val="both"/>
      </w:pPr>
      <w:r>
        <w:rPr>
          <w:rFonts w:ascii="仿宋_GB2312" w:hAnsi="仿宋_GB2312" w:eastAsia="仿宋_GB2312"/>
          <w:b w:val="0"/>
          <w:sz w:val="32"/>
        </w:rPr>
        <w:t>一、《收入支出决算总表》</w:t>
      </w:r>
    </w:p>
    <w:p w14:paraId="63228540">
      <w:pPr>
        <w:spacing w:line="240" w:lineRule="auto"/>
        <w:ind w:firstLine="640"/>
        <w:jc w:val="both"/>
      </w:pPr>
      <w:r>
        <w:rPr>
          <w:rFonts w:ascii="仿宋_GB2312" w:hAnsi="仿宋_GB2312" w:eastAsia="仿宋_GB2312"/>
          <w:b w:val="0"/>
          <w:sz w:val="32"/>
        </w:rPr>
        <w:t>二、《收入决算表》</w:t>
      </w:r>
    </w:p>
    <w:p w14:paraId="4F69E4D9">
      <w:pPr>
        <w:spacing w:line="240" w:lineRule="auto"/>
        <w:ind w:firstLine="640"/>
        <w:jc w:val="both"/>
      </w:pPr>
      <w:r>
        <w:rPr>
          <w:rFonts w:ascii="仿宋_GB2312" w:hAnsi="仿宋_GB2312" w:eastAsia="仿宋_GB2312"/>
          <w:b w:val="0"/>
          <w:sz w:val="32"/>
        </w:rPr>
        <w:t>三、《支出决算表》</w:t>
      </w:r>
    </w:p>
    <w:p w14:paraId="20111CE6">
      <w:pPr>
        <w:spacing w:line="240" w:lineRule="auto"/>
        <w:ind w:firstLine="640"/>
        <w:jc w:val="both"/>
      </w:pPr>
      <w:r>
        <w:rPr>
          <w:rFonts w:ascii="仿宋_GB2312" w:hAnsi="仿宋_GB2312" w:eastAsia="仿宋_GB2312"/>
          <w:b w:val="0"/>
          <w:sz w:val="32"/>
        </w:rPr>
        <w:t>四、《财政拨款收入支出决算总表》</w:t>
      </w:r>
    </w:p>
    <w:p w14:paraId="2B620756">
      <w:pPr>
        <w:spacing w:line="240" w:lineRule="auto"/>
        <w:ind w:firstLine="640"/>
        <w:jc w:val="both"/>
      </w:pPr>
      <w:r>
        <w:rPr>
          <w:rFonts w:ascii="仿宋_GB2312" w:hAnsi="仿宋_GB2312" w:eastAsia="仿宋_GB2312"/>
          <w:b w:val="0"/>
          <w:sz w:val="32"/>
        </w:rPr>
        <w:t>五、《一般公共预算财政拨款支出决算表》</w:t>
      </w:r>
    </w:p>
    <w:p w14:paraId="0E3D8772">
      <w:pPr>
        <w:spacing w:line="240" w:lineRule="auto"/>
        <w:ind w:firstLine="640"/>
        <w:jc w:val="both"/>
      </w:pPr>
      <w:r>
        <w:rPr>
          <w:rFonts w:ascii="仿宋_GB2312" w:hAnsi="仿宋_GB2312" w:eastAsia="仿宋_GB2312"/>
          <w:b w:val="0"/>
          <w:sz w:val="32"/>
        </w:rPr>
        <w:t>六、《一般公共预算财政拨款基本支出决算表》</w:t>
      </w:r>
    </w:p>
    <w:p w14:paraId="58D7FB99">
      <w:pPr>
        <w:spacing w:line="240" w:lineRule="auto"/>
        <w:ind w:firstLine="640"/>
        <w:jc w:val="both"/>
      </w:pPr>
      <w:r>
        <w:rPr>
          <w:rFonts w:ascii="仿宋_GB2312" w:hAnsi="仿宋_GB2312" w:eastAsia="仿宋_GB2312"/>
          <w:b w:val="0"/>
          <w:sz w:val="32"/>
        </w:rPr>
        <w:t>七、《政府性基金预算财政拨款收入支出决算表》</w:t>
      </w:r>
    </w:p>
    <w:p w14:paraId="4D4561B0">
      <w:pPr>
        <w:spacing w:line="240" w:lineRule="auto"/>
        <w:ind w:firstLine="640"/>
        <w:jc w:val="both"/>
      </w:pPr>
      <w:r>
        <w:rPr>
          <w:rFonts w:ascii="仿宋_GB2312" w:hAnsi="仿宋_GB2312" w:eastAsia="仿宋_GB2312"/>
          <w:b w:val="0"/>
          <w:sz w:val="32"/>
        </w:rPr>
        <w:t>八、《国有资本经营预算财政拨款收入支出决算表》</w:t>
      </w:r>
    </w:p>
    <w:p w14:paraId="1DA35A74">
      <w:pPr>
        <w:spacing w:line="240" w:lineRule="auto"/>
        <w:ind w:firstLine="640"/>
        <w:jc w:val="both"/>
      </w:pPr>
      <w:r>
        <w:rPr>
          <w:rFonts w:ascii="仿宋_GB2312" w:hAnsi="仿宋_GB2312" w:eastAsia="仿宋_GB2312"/>
          <w:b w:val="0"/>
          <w:sz w:val="32"/>
        </w:rPr>
        <w:t>九、《财政拨款“三公”经费支出决算表》</w:t>
      </w:r>
    </w:p>
    <w:p w14:paraId="580A4F03">
      <w:pPr>
        <w:spacing w:line="240" w:lineRule="auto"/>
        <w:ind w:firstLine="640"/>
        <w:jc w:val="both"/>
      </w:pPr>
    </w:p>
    <w:p w14:paraId="070CBF75">
      <w:pPr>
        <w:spacing w:line="240" w:lineRule="auto"/>
        <w:ind w:firstLine="640"/>
        <w:jc w:val="both"/>
      </w:pPr>
    </w:p>
    <w:p w14:paraId="77B6FCCF">
      <w:pPr>
        <w:spacing w:line="240" w:lineRule="auto"/>
        <w:ind w:firstLine="640"/>
        <w:jc w:val="both"/>
      </w:pPr>
    </w:p>
    <w:p w14:paraId="0845778B">
      <w:pPr>
        <w:spacing w:line="240" w:lineRule="auto"/>
        <w:ind w:firstLine="640"/>
        <w:jc w:val="both"/>
      </w:pPr>
    </w:p>
    <w:p w14:paraId="10E7D01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A8B25F8"/>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BE34799"/>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437C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4251</Words>
  <Characters>4840</Characters>
  <Lines>0</Lines>
  <Paragraphs>0</Paragraphs>
  <TotalTime>2</TotalTime>
  <ScaleCrop>false</ScaleCrop>
  <LinksUpToDate>false</LinksUpToDate>
  <CharactersWithSpaces>4848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2025-09-04T12:04:24Z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eyJoZGlkIjoiZjc0YWFlMzUxNjVlZTcxY2FlZTNjZDFlMzE3YzBjNDEiLCJ1c2VySWQiOiIyMDM3MTI1NTkifQ==</vt:lpwstr>
  </property>
</Properties>
</file>