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D5825E">
      <w:r>
        <w:br w:type="page"/>
      </w:r>
    </w:p>
    <w:p w14:paraId="7A274CDE">
      <w:pPr>
        <w:spacing w:line="640" w:lineRule="exact"/>
        <w:jc w:val="center"/>
        <w:outlineLvl w:val="1"/>
      </w:pPr>
      <w:r>
        <w:rPr>
          <w:rFonts w:ascii="黑体" w:hAnsi="黑体" w:eastAsia="黑体"/>
          <w:sz w:val="32"/>
        </w:rPr>
        <w:t>第一部分 单位概况</w:t>
      </w:r>
    </w:p>
    <w:p w14:paraId="28A5172D">
      <w:pPr>
        <w:spacing w:line="640" w:lineRule="exact"/>
        <w:ind w:firstLine="640"/>
        <w:jc w:val="both"/>
        <w:outlineLvl w:val="2"/>
      </w:pPr>
      <w:r>
        <w:rPr>
          <w:rFonts w:ascii="黑体" w:hAnsi="黑体" w:eastAsia="黑体"/>
          <w:sz w:val="32"/>
        </w:rPr>
        <w:t>一、主要职能</w:t>
      </w:r>
    </w:p>
    <w:p w14:paraId="59F41444">
      <w:pPr>
        <w:spacing w:line="580" w:lineRule="exact"/>
        <w:ind w:firstLine="640"/>
        <w:jc w:val="both"/>
      </w:pPr>
      <w:r>
        <w:rPr>
          <w:rFonts w:ascii="仿宋_GB2312" w:hAnsi="仿宋_GB2312" w:eastAsia="仿宋_GB2312"/>
          <w:sz w:val="32"/>
        </w:rPr>
        <w:t>1.宣传、贯彻落实《中华人民共和国红十字会法》和《</w:t>
      </w:r>
      <w:r>
        <w:rPr>
          <w:rFonts w:hint="eastAsia" w:ascii="仿宋_GB2312" w:hAnsi="仿宋_GB2312" w:eastAsia="仿宋_GB2312"/>
          <w:sz w:val="32"/>
          <w:lang w:eastAsia="zh-CN"/>
        </w:rPr>
        <w:t>中华人民共和国红十字标志使用办法</w:t>
      </w:r>
      <w:r>
        <w:rPr>
          <w:rFonts w:ascii="仿宋_GB2312" w:hAnsi="仿宋_GB2312" w:eastAsia="仿宋_GB2312"/>
          <w:sz w:val="32"/>
        </w:rPr>
        <w:t>》及《</w:t>
      </w:r>
      <w:r>
        <w:rPr>
          <w:rFonts w:hint="eastAsia" w:ascii="仿宋_GB2312" w:hAnsi="仿宋_GB2312" w:eastAsia="仿宋_GB2312"/>
          <w:sz w:val="32"/>
          <w:lang w:eastAsia="zh-CN"/>
        </w:rPr>
        <w:t>中华人民共和国献血法</w:t>
      </w:r>
      <w:r>
        <w:rPr>
          <w:rFonts w:ascii="仿宋_GB2312" w:hAnsi="仿宋_GB2312" w:eastAsia="仿宋_GB2312"/>
          <w:sz w:val="32"/>
        </w:rPr>
        <w:t>》，指导和协调全州各级红十字会开展的各项工作。</w:t>
      </w:r>
    </w:p>
    <w:p w14:paraId="30ABE28E">
      <w:pPr>
        <w:spacing w:line="580" w:lineRule="exact"/>
        <w:ind w:firstLine="640"/>
        <w:jc w:val="both"/>
      </w:pPr>
      <w:r>
        <w:rPr>
          <w:rFonts w:ascii="仿宋_GB2312" w:hAnsi="仿宋_GB2312" w:eastAsia="仿宋_GB2312"/>
          <w:sz w:val="32"/>
        </w:rPr>
        <w:t>2.开展救灾、备灾工作，在自然灾害和突发事件中，对伤病员和其他受害者实施救助，参加国内外的人道主义救援工作。</w:t>
      </w:r>
    </w:p>
    <w:p w14:paraId="0AE91D85">
      <w:pPr>
        <w:spacing w:line="580" w:lineRule="exact"/>
        <w:ind w:firstLine="640"/>
        <w:jc w:val="both"/>
      </w:pPr>
      <w:r>
        <w:rPr>
          <w:rFonts w:ascii="仿宋_GB2312" w:hAnsi="仿宋_GB2312" w:eastAsia="仿宋_GB2312"/>
          <w:sz w:val="32"/>
        </w:rPr>
        <w:t>3.开展人道主义的社会服务和社会公益活动。组织开展群众性初级卫生、救护训练和现场急救工作，推动无偿献血和非血缘关系骨髓移植</w:t>
      </w:r>
      <w:r>
        <w:rPr>
          <w:rFonts w:hint="eastAsia" w:ascii="仿宋_GB2312" w:hAnsi="仿宋_GB2312" w:eastAsia="仿宋_GB2312"/>
          <w:sz w:val="32"/>
          <w:lang w:eastAsia="zh-CN"/>
        </w:rPr>
        <w:t>工作的开展</w:t>
      </w:r>
      <w:r>
        <w:rPr>
          <w:rFonts w:ascii="仿宋_GB2312" w:hAnsi="仿宋_GB2312" w:eastAsia="仿宋_GB2312"/>
          <w:sz w:val="32"/>
        </w:rPr>
        <w:t>以及捐献遗体器官的宣传工作。</w:t>
      </w:r>
    </w:p>
    <w:p w14:paraId="3CC76F52">
      <w:pPr>
        <w:spacing w:line="580" w:lineRule="exact"/>
        <w:ind w:firstLine="640"/>
        <w:jc w:val="both"/>
      </w:pPr>
      <w:r>
        <w:rPr>
          <w:rFonts w:ascii="仿宋_GB2312" w:hAnsi="仿宋_GB2312" w:eastAsia="仿宋_GB2312"/>
          <w:sz w:val="32"/>
        </w:rPr>
        <w:t>4.组织红十字青少年开展社会主义精神文明和弘扬人道主义精神的活动。</w:t>
      </w:r>
    </w:p>
    <w:p w14:paraId="1251CE39">
      <w:pPr>
        <w:spacing w:line="580" w:lineRule="exact"/>
        <w:ind w:firstLine="640"/>
        <w:jc w:val="both"/>
      </w:pPr>
      <w:r>
        <w:rPr>
          <w:rFonts w:ascii="仿宋_GB2312" w:hAnsi="仿宋_GB2312" w:eastAsia="仿宋_GB2312"/>
          <w:sz w:val="32"/>
        </w:rPr>
        <w:t>5.参与国际和国内红十字活动，加强同各国和国内各级红十字会的友好交往与合作。</w:t>
      </w:r>
    </w:p>
    <w:p w14:paraId="22A90558">
      <w:pPr>
        <w:spacing w:line="580" w:lineRule="exact"/>
        <w:ind w:firstLine="640"/>
        <w:jc w:val="both"/>
      </w:pPr>
      <w:r>
        <w:rPr>
          <w:rFonts w:ascii="仿宋_GB2312" w:hAnsi="仿宋_GB2312" w:eastAsia="仿宋_GB2312"/>
          <w:sz w:val="32"/>
        </w:rPr>
        <w:t>6.宣传国际红十字与红新月会运动确立的基本原则和日内瓦公约及其附加议定书。</w:t>
      </w:r>
    </w:p>
    <w:p w14:paraId="1476F4A6">
      <w:pPr>
        <w:spacing w:line="580" w:lineRule="exact"/>
        <w:ind w:firstLine="640"/>
        <w:jc w:val="both"/>
      </w:pPr>
      <w:r>
        <w:rPr>
          <w:rFonts w:ascii="仿宋_GB2312" w:hAnsi="仿宋_GB2312" w:eastAsia="仿宋_GB2312"/>
          <w:sz w:val="32"/>
        </w:rPr>
        <w:t>7.指导开展全州性红十字会活动。</w:t>
      </w:r>
    </w:p>
    <w:p w14:paraId="296954EB">
      <w:pPr>
        <w:spacing w:line="580" w:lineRule="exact"/>
        <w:ind w:firstLine="640"/>
        <w:jc w:val="both"/>
      </w:pPr>
      <w:r>
        <w:rPr>
          <w:rFonts w:ascii="仿宋_GB2312" w:hAnsi="仿宋_GB2312" w:eastAsia="仿宋_GB2312"/>
          <w:sz w:val="32"/>
        </w:rPr>
        <w:t>8.参与自治州</w:t>
      </w:r>
      <w:r>
        <w:rPr>
          <w:rFonts w:hint="eastAsia" w:ascii="仿宋_GB2312" w:hAnsi="仿宋_GB2312" w:eastAsia="仿宋_GB2312"/>
          <w:sz w:val="32"/>
          <w:lang w:eastAsia="zh-CN"/>
        </w:rPr>
        <w:t>AZB</w:t>
      </w:r>
      <w:r>
        <w:rPr>
          <w:rFonts w:ascii="仿宋_GB2312" w:hAnsi="仿宋_GB2312" w:eastAsia="仿宋_GB2312"/>
          <w:sz w:val="32"/>
        </w:rPr>
        <w:t>预防宣传的咨询服务工作。</w:t>
      </w:r>
    </w:p>
    <w:p w14:paraId="172BFCD4">
      <w:pPr>
        <w:spacing w:line="580" w:lineRule="exact"/>
        <w:ind w:firstLine="640"/>
        <w:jc w:val="both"/>
      </w:pPr>
      <w:r>
        <w:rPr>
          <w:rFonts w:ascii="仿宋_GB2312" w:hAnsi="仿宋_GB2312" w:eastAsia="仿宋_GB2312"/>
          <w:sz w:val="32"/>
        </w:rPr>
        <w:t>9.协助政府</w:t>
      </w:r>
      <w:r>
        <w:rPr>
          <w:rFonts w:hint="eastAsia" w:ascii="仿宋_GB2312" w:hAnsi="仿宋_GB2312" w:eastAsia="仿宋_GB2312"/>
          <w:sz w:val="32"/>
          <w:lang w:eastAsia="zh-CN"/>
        </w:rPr>
        <w:t>开展</w:t>
      </w:r>
      <w:r>
        <w:rPr>
          <w:rFonts w:ascii="仿宋_GB2312" w:hAnsi="仿宋_GB2312" w:eastAsia="仿宋_GB2312"/>
          <w:sz w:val="32"/>
        </w:rPr>
        <w:t>有关工作。</w:t>
      </w:r>
    </w:p>
    <w:p w14:paraId="0269214B">
      <w:pPr>
        <w:spacing w:line="580" w:lineRule="exact"/>
        <w:ind w:firstLine="640"/>
        <w:jc w:val="both"/>
      </w:pPr>
      <w:r>
        <w:rPr>
          <w:rFonts w:ascii="仿宋_GB2312" w:hAnsi="仿宋_GB2312" w:eastAsia="仿宋_GB2312"/>
          <w:sz w:val="32"/>
        </w:rPr>
        <w:t>10.完成州党委、政府及上级红十字会委托的其他有关事宜。</w:t>
      </w:r>
    </w:p>
    <w:p w14:paraId="42643A18">
      <w:pPr>
        <w:spacing w:line="640" w:lineRule="exact"/>
        <w:ind w:firstLine="640"/>
        <w:jc w:val="both"/>
        <w:outlineLvl w:val="2"/>
      </w:pPr>
      <w:r>
        <w:rPr>
          <w:rFonts w:ascii="黑体" w:hAnsi="黑体" w:eastAsia="黑体"/>
          <w:sz w:val="32"/>
        </w:rPr>
        <w:t>二、机构设置及人员情况</w:t>
      </w:r>
    </w:p>
    <w:p w14:paraId="7CFDAEFA">
      <w:pPr>
        <w:spacing w:line="580" w:lineRule="exact"/>
        <w:ind w:firstLine="640"/>
        <w:jc w:val="both"/>
      </w:pPr>
      <w:r>
        <w:rPr>
          <w:rFonts w:ascii="仿宋_GB2312" w:hAnsi="仿宋_GB2312" w:eastAsia="仿宋_GB2312"/>
          <w:sz w:val="32"/>
        </w:rPr>
        <w:t>克孜勒苏柯尔克孜自治州红十字会2024年度，实有人数16人，其中：在职人员8人，减少1人；离休人员0人，增加0人；退休人员8人,增加1人。</w:t>
      </w:r>
    </w:p>
    <w:p w14:paraId="42396698">
      <w:pPr>
        <w:spacing w:line="580" w:lineRule="exact"/>
        <w:ind w:firstLine="640"/>
        <w:jc w:val="both"/>
      </w:pPr>
      <w:r>
        <w:rPr>
          <w:rFonts w:ascii="仿宋_GB2312" w:hAnsi="仿宋_GB2312" w:eastAsia="仿宋_GB2312"/>
          <w:sz w:val="32"/>
        </w:rPr>
        <w:t>克孜勒苏柯尔克孜自治州红十字会无下属预算单位，下设3个科室，分别是：办公室、业务科、项目科。</w:t>
      </w:r>
    </w:p>
    <w:p w14:paraId="5AC89454">
      <w:r>
        <w:br w:type="page"/>
      </w:r>
    </w:p>
    <w:p w14:paraId="2BCEEF92">
      <w:pPr>
        <w:spacing w:line="240" w:lineRule="auto"/>
        <w:jc w:val="center"/>
        <w:outlineLvl w:val="1"/>
      </w:pPr>
      <w:r>
        <w:rPr>
          <w:rFonts w:ascii="黑体" w:hAnsi="黑体" w:eastAsia="黑体"/>
          <w:sz w:val="32"/>
        </w:rPr>
        <w:t>第二部分 部门决算情况说明</w:t>
      </w:r>
    </w:p>
    <w:p w14:paraId="5DED4603">
      <w:pPr>
        <w:spacing w:line="640" w:lineRule="exact"/>
        <w:ind w:firstLine="640"/>
        <w:jc w:val="both"/>
        <w:outlineLvl w:val="2"/>
      </w:pPr>
      <w:r>
        <w:rPr>
          <w:rFonts w:ascii="黑体" w:hAnsi="黑体" w:eastAsia="黑体"/>
          <w:sz w:val="32"/>
        </w:rPr>
        <w:t>一、收入支出决算总体情况说明</w:t>
      </w:r>
    </w:p>
    <w:p w14:paraId="30EA76FB">
      <w:pPr>
        <w:spacing w:line="580" w:lineRule="exact"/>
        <w:ind w:firstLine="640"/>
        <w:jc w:val="both"/>
      </w:pPr>
      <w:r>
        <w:rPr>
          <w:rFonts w:ascii="仿宋_GB2312" w:hAnsi="仿宋_GB2312" w:eastAsia="仿宋_GB2312"/>
          <w:b/>
          <w:sz w:val="32"/>
        </w:rPr>
        <w:t>2024年度收入总计290.50万元，</w:t>
      </w:r>
      <w:r>
        <w:rPr>
          <w:rFonts w:ascii="仿宋_GB2312" w:hAnsi="仿宋_GB2312" w:eastAsia="仿宋_GB2312"/>
          <w:b w:val="0"/>
          <w:sz w:val="32"/>
        </w:rPr>
        <w:t>其中：本年收入合计232.58万元，使用非财政拨款结余（含专用结余）0.00万元，年初结转和结余57.92万元。</w:t>
      </w:r>
    </w:p>
    <w:p w14:paraId="79DFC8B1">
      <w:pPr>
        <w:spacing w:line="580" w:lineRule="exact"/>
        <w:ind w:firstLine="640"/>
        <w:jc w:val="both"/>
      </w:pPr>
      <w:r>
        <w:rPr>
          <w:rFonts w:ascii="仿宋_GB2312" w:hAnsi="仿宋_GB2312" w:eastAsia="仿宋_GB2312"/>
          <w:b/>
          <w:sz w:val="32"/>
        </w:rPr>
        <w:t>2024年度支出总计290.50万元，</w:t>
      </w:r>
      <w:r>
        <w:rPr>
          <w:rFonts w:ascii="仿宋_GB2312" w:hAnsi="仿宋_GB2312" w:eastAsia="仿宋_GB2312"/>
          <w:b w:val="0"/>
          <w:sz w:val="32"/>
        </w:rPr>
        <w:t>其中：本年支出合计288.31万元，结余分配0.00万元，年末结转和结余2.19万元。</w:t>
      </w:r>
    </w:p>
    <w:p w14:paraId="0F716C67">
      <w:pPr>
        <w:spacing w:line="580" w:lineRule="exact"/>
        <w:ind w:firstLine="640"/>
        <w:jc w:val="both"/>
      </w:pPr>
      <w:r>
        <w:rPr>
          <w:rFonts w:ascii="仿宋_GB2312" w:hAnsi="仿宋_GB2312" w:eastAsia="仿宋_GB2312"/>
          <w:b w:val="0"/>
          <w:sz w:val="32"/>
        </w:rPr>
        <w:t>收入支出总体与上年相比，增加14.26万元，增长5.16%，主要原因是：本年在职人员工资调增，社保、公积金基数调增，人员经费增加。</w:t>
      </w:r>
    </w:p>
    <w:p w14:paraId="19EFD881">
      <w:pPr>
        <w:spacing w:line="640" w:lineRule="exact"/>
        <w:ind w:firstLine="640"/>
        <w:jc w:val="both"/>
        <w:outlineLvl w:val="2"/>
      </w:pPr>
      <w:r>
        <w:rPr>
          <w:rFonts w:ascii="黑体" w:hAnsi="黑体" w:eastAsia="黑体"/>
          <w:sz w:val="32"/>
        </w:rPr>
        <w:t>二、收入决算情况说明</w:t>
      </w:r>
    </w:p>
    <w:p w14:paraId="66DDB14A">
      <w:pPr>
        <w:spacing w:line="580" w:lineRule="exact"/>
        <w:ind w:firstLine="640"/>
        <w:jc w:val="both"/>
      </w:pPr>
      <w:r>
        <w:rPr>
          <w:rFonts w:ascii="仿宋_GB2312" w:hAnsi="仿宋_GB2312" w:eastAsia="仿宋_GB2312"/>
          <w:b/>
          <w:sz w:val="32"/>
        </w:rPr>
        <w:t>本年收入232.58万元，</w:t>
      </w:r>
      <w:r>
        <w:rPr>
          <w:rFonts w:ascii="仿宋_GB2312" w:hAnsi="仿宋_GB2312" w:eastAsia="仿宋_GB2312"/>
          <w:b w:val="0"/>
          <w:sz w:val="32"/>
        </w:rPr>
        <w:t>其中：财政拨款收入206.05万元，占88.59%；上级补助收入0.00万元，占0.00%；事业收入0.00万元，占0.00%；经营收入0.00万元，占0.00%；附属单位上缴收入0.00万元，占0.00%；其他收入26.53万元，占11.41%。</w:t>
      </w:r>
    </w:p>
    <w:p w14:paraId="295E7A4C">
      <w:pPr>
        <w:spacing w:line="640" w:lineRule="exact"/>
        <w:ind w:firstLine="640"/>
        <w:jc w:val="both"/>
        <w:outlineLvl w:val="2"/>
      </w:pPr>
      <w:r>
        <w:rPr>
          <w:rFonts w:ascii="黑体" w:hAnsi="黑体" w:eastAsia="黑体"/>
          <w:sz w:val="32"/>
        </w:rPr>
        <w:t>三、支出决算情况说明</w:t>
      </w:r>
    </w:p>
    <w:p w14:paraId="249B06C5">
      <w:pPr>
        <w:spacing w:line="580" w:lineRule="exact"/>
        <w:ind w:firstLine="640"/>
        <w:jc w:val="both"/>
      </w:pPr>
      <w:r>
        <w:rPr>
          <w:rFonts w:ascii="仿宋_GB2312" w:hAnsi="仿宋_GB2312" w:eastAsia="仿宋_GB2312"/>
          <w:b/>
          <w:sz w:val="32"/>
        </w:rPr>
        <w:t>本年支出288.31万元，</w:t>
      </w:r>
      <w:r>
        <w:rPr>
          <w:rFonts w:ascii="仿宋_GB2312" w:hAnsi="仿宋_GB2312" w:eastAsia="仿宋_GB2312"/>
          <w:b w:val="0"/>
          <w:sz w:val="32"/>
        </w:rPr>
        <w:t>其中：基本支出200.30万元，占69.47%；项目支出88.01万元，占30.53%；上缴上级支出0.00万元，占0.00%；经营支出0.00万元，占0.00%；对附属单位补助支出0.00万元，占0.00%。</w:t>
      </w:r>
    </w:p>
    <w:p w14:paraId="4141FB90">
      <w:pPr>
        <w:spacing w:line="640" w:lineRule="exact"/>
        <w:ind w:firstLine="640"/>
        <w:jc w:val="both"/>
        <w:outlineLvl w:val="2"/>
      </w:pPr>
      <w:r>
        <w:rPr>
          <w:rFonts w:ascii="黑体" w:hAnsi="黑体" w:eastAsia="黑体"/>
          <w:sz w:val="32"/>
        </w:rPr>
        <w:t>四、财政拨款收入支出决算总体情况说明</w:t>
      </w:r>
    </w:p>
    <w:p w14:paraId="6FDA085B">
      <w:pPr>
        <w:spacing w:line="580" w:lineRule="exact"/>
        <w:ind w:firstLine="640"/>
        <w:jc w:val="both"/>
      </w:pPr>
      <w:r>
        <w:rPr>
          <w:rFonts w:ascii="仿宋_GB2312" w:hAnsi="仿宋_GB2312" w:eastAsia="仿宋_GB2312"/>
          <w:b/>
          <w:sz w:val="32"/>
        </w:rPr>
        <w:t>2024年度财政拨款收入总计206.05万元，</w:t>
      </w:r>
      <w:r>
        <w:rPr>
          <w:rFonts w:ascii="仿宋_GB2312" w:hAnsi="仿宋_GB2312" w:eastAsia="仿宋_GB2312"/>
          <w:b w:val="0"/>
          <w:sz w:val="32"/>
        </w:rPr>
        <w:t>其中：年初财政拨款结转和结余0.00万元，本年财政拨款收入206.05万元。</w:t>
      </w:r>
      <w:r>
        <w:rPr>
          <w:rFonts w:ascii="仿宋_GB2312" w:hAnsi="仿宋_GB2312" w:eastAsia="仿宋_GB2312"/>
          <w:b/>
          <w:sz w:val="32"/>
        </w:rPr>
        <w:t>财政拨款支出总计206.05万元，</w:t>
      </w:r>
      <w:r>
        <w:rPr>
          <w:rFonts w:ascii="仿宋_GB2312" w:hAnsi="仿宋_GB2312" w:eastAsia="仿宋_GB2312"/>
          <w:b w:val="0"/>
          <w:sz w:val="32"/>
        </w:rPr>
        <w:t>其中：年末财政拨款结转和结余0.00万元，本年财政拨款支出206.05万元。</w:t>
      </w:r>
    </w:p>
    <w:p w14:paraId="7524B30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增加18.54万元，增长9.89%，主要原因是：本年在职人员工资调增，社保、公积金基数调增，人员经费增加。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年初预算数204.79万元，决算数206.05万元，预决算差异率0.62%，主要原因是：年中追加人员工资、社保、公积金基数调增部分资金，导致预决算差异。</w:t>
      </w:r>
    </w:p>
    <w:p w14:paraId="528ED4DC">
      <w:pPr>
        <w:spacing w:line="640" w:lineRule="exact"/>
        <w:ind w:firstLine="640"/>
        <w:jc w:val="both"/>
        <w:outlineLvl w:val="2"/>
      </w:pPr>
      <w:r>
        <w:rPr>
          <w:rFonts w:ascii="黑体" w:hAnsi="黑体" w:eastAsia="黑体"/>
          <w:sz w:val="32"/>
        </w:rPr>
        <w:t>五、一般公共预算财政拨款支出决算情况说明</w:t>
      </w:r>
    </w:p>
    <w:p w14:paraId="2A89F565">
      <w:pPr>
        <w:spacing w:line="640" w:lineRule="exact"/>
        <w:ind w:firstLine="640"/>
        <w:jc w:val="both"/>
        <w:outlineLvl w:val="3"/>
      </w:pPr>
      <w:r>
        <w:rPr>
          <w:rFonts w:ascii="楷体_GB2312" w:hAnsi="楷体_GB2312" w:eastAsia="楷体_GB2312"/>
          <w:b/>
          <w:sz w:val="32"/>
        </w:rPr>
        <w:t>（一）一般公共预算财政拨款支出决算总体情况</w:t>
      </w:r>
    </w:p>
    <w:p w14:paraId="3B92CC93">
      <w:pPr>
        <w:spacing w:line="580" w:lineRule="exact"/>
        <w:ind w:firstLine="640"/>
        <w:jc w:val="both"/>
      </w:pPr>
      <w:r>
        <w:rPr>
          <w:rFonts w:ascii="仿宋_GB2312" w:hAnsi="仿宋_GB2312" w:eastAsia="仿宋_GB2312"/>
          <w:b/>
          <w:sz w:val="32"/>
        </w:rPr>
        <w:t>2024年度一般公共预算财政拨款支出206.05万元，</w:t>
      </w:r>
      <w:r>
        <w:rPr>
          <w:rFonts w:ascii="仿宋_GB2312" w:hAnsi="仿宋_GB2312" w:eastAsia="仿宋_GB2312"/>
          <w:b w:val="0"/>
          <w:sz w:val="32"/>
        </w:rPr>
        <w:t>占本年支出合计的71.47%。</w:t>
      </w:r>
      <w:r>
        <w:rPr>
          <w:rFonts w:ascii="仿宋_GB2312" w:hAnsi="仿宋_GB2312" w:eastAsia="仿宋_GB2312"/>
          <w:b/>
          <w:sz w:val="32"/>
        </w:rPr>
        <w:t>与上年相比，</w:t>
      </w:r>
      <w:r>
        <w:rPr>
          <w:rFonts w:ascii="仿宋_GB2312" w:hAnsi="仿宋_GB2312" w:eastAsia="仿宋_GB2312"/>
          <w:b w:val="0"/>
          <w:sz w:val="32"/>
        </w:rPr>
        <w:t>增加18.54万元，增长9.89%，主要原因是：本年在职人员工资调增，社保、公积金基数调增，人员经费增加。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年初预算数204.79万元，决算数206.05万元，预决算差异率0.62%，主要原因是：年中追加人员工资、社保、公积金基数调增部分资金，导致预决算差异。</w:t>
      </w:r>
    </w:p>
    <w:p w14:paraId="5432936D">
      <w:pPr>
        <w:spacing w:line="640" w:lineRule="exact"/>
        <w:ind w:firstLine="640"/>
        <w:jc w:val="both"/>
        <w:outlineLvl w:val="3"/>
      </w:pPr>
      <w:r>
        <w:rPr>
          <w:rFonts w:ascii="楷体_GB2312" w:hAnsi="楷体_GB2312" w:eastAsia="楷体_GB2312"/>
          <w:b/>
          <w:sz w:val="32"/>
        </w:rPr>
        <w:t>（二）一般公共预算财政拨款支出决算结构情况</w:t>
      </w:r>
    </w:p>
    <w:p w14:paraId="7B75A849">
      <w:pPr>
        <w:spacing w:line="580" w:lineRule="exact"/>
        <w:ind w:firstLine="640"/>
        <w:jc w:val="both"/>
      </w:pPr>
      <w:r>
        <w:rPr>
          <w:rFonts w:ascii="仿宋_GB2312" w:hAnsi="仿宋_GB2312" w:eastAsia="仿宋_GB2312"/>
          <w:b w:val="0"/>
          <w:sz w:val="32"/>
        </w:rPr>
        <w:t>1.社会保障和就业支出(类)206.05万元,占100.00%。</w:t>
      </w:r>
    </w:p>
    <w:p w14:paraId="031935B5">
      <w:pPr>
        <w:spacing w:line="640" w:lineRule="exact"/>
        <w:ind w:firstLine="640"/>
        <w:jc w:val="both"/>
        <w:outlineLvl w:val="3"/>
      </w:pPr>
      <w:r>
        <w:rPr>
          <w:rFonts w:ascii="楷体_GB2312" w:hAnsi="楷体_GB2312" w:eastAsia="楷体_GB2312"/>
          <w:b/>
          <w:sz w:val="32"/>
        </w:rPr>
        <w:t>（三）一般公共预算财政拨款支出决算具体情况</w:t>
      </w:r>
    </w:p>
    <w:p w14:paraId="33718257">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1.社会保障和就业支出(类)行政事业单位养老支出(款)行政单位离退休(项):支出决算数为14.06万元，比上年决算增加3.41万元，增长32.02%,主要原因是：本年退休人员增加，退休费支出增加。</w:t>
      </w:r>
    </w:p>
    <w:p w14:paraId="120724B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17.19万元，比上年决算增加1.16万元，增长7.24%,主要原因是：本年在职人员工资基数调增，养老缴费基数上涨，相应支出增加。</w:t>
      </w:r>
    </w:p>
    <w:p w14:paraId="7668FE2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3.社会保障和就业支出(类)行政事业单位养老支出(款)机关事业单位职业年金缴费支出(项):支出决算数为8.63万元，比上年决算增加8.63万元，增长100.00%,主要原因是：本年新增退休人员，职业年金缴费支出增加。</w:t>
      </w:r>
    </w:p>
    <w:p w14:paraId="24E0A59B">
      <w:pPr>
        <w:spacing w:line="580" w:lineRule="exact"/>
        <w:ind w:firstLine="640"/>
        <w:jc w:val="both"/>
      </w:pPr>
      <w:r>
        <w:rPr>
          <w:rFonts w:ascii="仿宋_GB2312" w:hAnsi="仿宋_GB2312" w:eastAsia="仿宋_GB2312"/>
          <w:b w:val="0"/>
          <w:sz w:val="32"/>
        </w:rPr>
        <w:t>4.社会保障和就业支出(类)就业补助(款)就业见习补贴(项):支出决算数为2.28万元，比上年决算增加1.14万元，增长100.00%,主要原因是：本年就业见习补贴增加，导致就业见习补贴较上年增加。</w:t>
      </w:r>
    </w:p>
    <w:p w14:paraId="5C5D36BE">
      <w:pPr>
        <w:spacing w:line="580" w:lineRule="exact"/>
        <w:ind w:firstLine="640"/>
        <w:jc w:val="both"/>
      </w:pPr>
      <w:r>
        <w:rPr>
          <w:rFonts w:ascii="仿宋_GB2312" w:hAnsi="仿宋_GB2312" w:eastAsia="仿宋_GB2312"/>
          <w:b w:val="0"/>
          <w:sz w:val="32"/>
        </w:rPr>
        <w:t>5.社会保障和就业支出(类)红十字事业(款)行政运行(项):支出决算数为160.39万元，比上年决算增加2.20万元，增长1.39%,主要原因是：本年在职人员工资调增，导致相关人员经费较上年有所增加。</w:t>
      </w:r>
    </w:p>
    <w:p w14:paraId="167F039C">
      <w:pPr>
        <w:spacing w:line="580" w:lineRule="exact"/>
        <w:ind w:firstLine="640"/>
        <w:jc w:val="both"/>
      </w:pPr>
      <w:r>
        <w:rPr>
          <w:rFonts w:ascii="仿宋_GB2312" w:hAnsi="仿宋_GB2312" w:eastAsia="仿宋_GB2312"/>
          <w:b w:val="0"/>
          <w:sz w:val="32"/>
        </w:rPr>
        <w:t>6.社会保障和就业支出(类)红十字事业(款)其他红十字事业支出(项):支出决算数为3.50万元，比上年决算增加2.00万元，增长133.33%,主要原因是：本年度自治区业务经费较上年增加。</w:t>
      </w:r>
    </w:p>
    <w:p w14:paraId="11667ADF">
      <w:pPr>
        <w:spacing w:line="640" w:lineRule="exact"/>
        <w:ind w:firstLine="640"/>
        <w:jc w:val="both"/>
        <w:outlineLvl w:val="2"/>
      </w:pPr>
      <w:r>
        <w:rPr>
          <w:rFonts w:ascii="黑体" w:hAnsi="黑体" w:eastAsia="黑体"/>
          <w:sz w:val="32"/>
        </w:rPr>
        <w:t>六、一般公共预算财政拨款基本支出决算情况说明</w:t>
      </w:r>
    </w:p>
    <w:p w14:paraId="421C40BA">
      <w:pPr>
        <w:spacing w:line="580" w:lineRule="exact"/>
        <w:ind w:firstLine="640"/>
        <w:jc w:val="both"/>
      </w:pPr>
      <w:r>
        <w:rPr>
          <w:rFonts w:ascii="仿宋_GB2312" w:hAnsi="仿宋_GB2312" w:eastAsia="仿宋_GB2312"/>
          <w:b w:val="0"/>
          <w:sz w:val="32"/>
        </w:rPr>
        <w:t>2024年度一般公共预算财政拨款基本支出200.27万元，其中：</w:t>
      </w:r>
      <w:r>
        <w:rPr>
          <w:rFonts w:ascii="仿宋_GB2312" w:hAnsi="仿宋_GB2312" w:eastAsia="仿宋_GB2312"/>
          <w:b/>
          <w:sz w:val="32"/>
        </w:rPr>
        <w:t>人员经费190.30万元，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包括：基本工资、津贴补贴、奖金、机关事业单位基本养老保险缴费、职业年金缴费、职工基本医疗保险缴费、公务员医疗补助缴费、其他社会保障缴费、住房公积金、退休费、生活补助、奖励金。</w:t>
      </w:r>
    </w:p>
    <w:p w14:paraId="2957E6D8">
      <w:pPr>
        <w:spacing w:line="580" w:lineRule="exact"/>
        <w:ind w:firstLine="640"/>
        <w:jc w:val="both"/>
      </w:pPr>
      <w:r>
        <w:rPr>
          <w:rFonts w:ascii="仿宋_GB2312" w:hAnsi="仿宋_GB2312" w:eastAsia="仿宋_GB2312"/>
          <w:b/>
          <w:sz w:val="32"/>
        </w:rPr>
        <w:t>公用经费9.96万元，</w:t>
      </w:r>
      <w:r>
        <w:rPr>
          <w:rFonts w:ascii="仿宋_GB2312" w:hAnsi="仿宋_GB2312" w:eastAsia="仿宋_GB2312"/>
          <w:b w:val="0"/>
          <w:sz w:val="32"/>
        </w:rPr>
        <w:t>包括：办公费、印刷费、水费、电费、邮电费、差旅费、维修（护）费、公务接待费、工会经费、福利费、公务用车运行维护费、办公设备购置。</w:t>
      </w:r>
    </w:p>
    <w:p w14:paraId="2FD2C95C">
      <w:pPr>
        <w:spacing w:line="640" w:lineRule="exact"/>
        <w:ind w:firstLine="640"/>
        <w:jc w:val="both"/>
        <w:outlineLvl w:val="2"/>
      </w:pPr>
      <w:r>
        <w:rPr>
          <w:rFonts w:ascii="黑体" w:hAnsi="黑体" w:eastAsia="黑体"/>
          <w:sz w:val="32"/>
        </w:rPr>
        <w:t>七、政府性基金预算财政拨款收入支出决算情况说明</w:t>
      </w:r>
    </w:p>
    <w:p w14:paraId="1AF4A6B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A0B157">
      <w:pPr>
        <w:spacing w:line="640" w:lineRule="exact"/>
        <w:ind w:firstLine="640"/>
        <w:jc w:val="both"/>
        <w:outlineLvl w:val="2"/>
      </w:pPr>
      <w:r>
        <w:rPr>
          <w:rFonts w:ascii="黑体" w:hAnsi="黑体" w:eastAsia="黑体"/>
          <w:sz w:val="32"/>
        </w:rPr>
        <w:t>八、国有资本经营预算财政拨款收入支出决算情况说明</w:t>
      </w:r>
    </w:p>
    <w:p w14:paraId="0F395C6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1497BF">
      <w:pPr>
        <w:spacing w:line="640" w:lineRule="exact"/>
        <w:ind w:firstLine="640"/>
        <w:jc w:val="both"/>
        <w:outlineLvl w:val="2"/>
      </w:pPr>
      <w:r>
        <w:rPr>
          <w:rFonts w:ascii="黑体" w:hAnsi="黑体" w:eastAsia="黑体"/>
          <w:sz w:val="32"/>
        </w:rPr>
        <w:t>九、财政拨款“三公”经费支出决算情况说明</w:t>
      </w:r>
    </w:p>
    <w:p w14:paraId="4734A61D">
      <w:pPr>
        <w:spacing w:line="580" w:lineRule="exact"/>
        <w:ind w:firstLine="640"/>
        <w:jc w:val="both"/>
      </w:pPr>
      <w:r>
        <w:rPr>
          <w:rFonts w:ascii="仿宋_GB2312" w:hAnsi="仿宋_GB2312" w:eastAsia="仿宋_GB2312"/>
          <w:b/>
          <w:sz w:val="32"/>
        </w:rPr>
        <w:t>2024年度财政拨款“三公”经费支出1.08万元，</w:t>
      </w:r>
      <w:r>
        <w:rPr>
          <w:rFonts w:ascii="仿宋_GB2312" w:hAnsi="仿宋_GB2312" w:eastAsia="仿宋_GB2312"/>
          <w:b w:val="0"/>
          <w:sz w:val="32"/>
        </w:rPr>
        <w:t>比上年减少0.95万元，下降47.03%，主要原因是：严格执行规定，厉行节约，减少公务用车运行维护费、公务接待费。其中：因公出国（境）费支出0.00万元，占0.00%，比上年增加0.00万元，增长0.00%，主要原因是：2023年与2024年均未安排因公出国（境）费支出。公务用车购置及运行维护费支出1.00万元，占92.59%，比上年减少0.50万元，下降33.33%，主要原因是：严格执行规定，厉行节约，减少公务用车运行维护费。公务接待费支出0.07万元，占6.48%，比上年减少0.45万元，下降86.54%，主要原因是：严格执行规定，厉行节约，减少公务接待费。</w:t>
      </w:r>
    </w:p>
    <w:p w14:paraId="07B0DF8A">
      <w:pPr>
        <w:spacing w:line="580" w:lineRule="exact"/>
        <w:ind w:firstLine="640"/>
        <w:jc w:val="both"/>
      </w:pPr>
      <w:r>
        <w:rPr>
          <w:rFonts w:ascii="仿宋_GB2312" w:hAnsi="仿宋_GB2312" w:eastAsia="仿宋_GB2312"/>
          <w:b/>
          <w:sz w:val="32"/>
        </w:rPr>
        <w:t>具体情况如下：</w:t>
      </w:r>
    </w:p>
    <w:p w14:paraId="3212F7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4113A2">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7B1A49DF">
      <w:pPr>
        <w:spacing w:line="580" w:lineRule="exact"/>
        <w:ind w:firstLine="640"/>
        <w:jc w:val="both"/>
      </w:pPr>
      <w:r>
        <w:rPr>
          <w:rFonts w:ascii="仿宋_GB2312" w:hAnsi="仿宋_GB2312" w:eastAsia="仿宋_GB2312"/>
          <w:b w:val="0"/>
          <w:sz w:val="32"/>
        </w:rPr>
        <w:t>公务接待费0.07万元，开支内容包括上级领导检查接待时产生的餐费。单位全年安排的国内公务接待1批次，12人次。</w:t>
      </w:r>
    </w:p>
    <w:p w14:paraId="7E1086F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1.95万元，决算数1.08万元，预决算差异率-44.62%，主要原因是：严格执行规定，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万元，决算数1.00万元，预决算差异率-33.33%，主要原因是：严格执行规定，厉行节约，减少公务用车使用频次，燃油费减少。公务接待费全年预算数0.45万元，决算数0.07万元，预决算差异率-84.44%，主要原因是：严格控制公务接待活动，认真执行经费开支标准，减少公务接待运行成本费用。</w:t>
      </w:r>
    </w:p>
    <w:p w14:paraId="181BA4ED">
      <w:pPr>
        <w:spacing w:line="640" w:lineRule="exact"/>
        <w:ind w:firstLine="640"/>
        <w:jc w:val="both"/>
        <w:outlineLvl w:val="2"/>
      </w:pPr>
      <w:r>
        <w:rPr>
          <w:rFonts w:ascii="黑体" w:hAnsi="黑体" w:eastAsia="黑体"/>
          <w:sz w:val="32"/>
        </w:rPr>
        <w:t>十、其他重要事项的情况说明</w:t>
      </w:r>
    </w:p>
    <w:p w14:paraId="60BCA553">
      <w:pPr>
        <w:spacing w:line="640" w:lineRule="exact"/>
        <w:ind w:firstLine="640"/>
        <w:jc w:val="both"/>
        <w:outlineLvl w:val="3"/>
      </w:pPr>
      <w:r>
        <w:rPr>
          <w:rFonts w:ascii="楷体_GB2312" w:hAnsi="楷体_GB2312" w:eastAsia="楷体_GB2312"/>
          <w:b/>
          <w:sz w:val="32"/>
        </w:rPr>
        <w:t>（一）机关运行经费及公用经费支出情况</w:t>
      </w:r>
    </w:p>
    <w:p w14:paraId="04527F7E">
      <w:pPr>
        <w:spacing w:line="580" w:lineRule="exact"/>
        <w:ind w:firstLine="640"/>
        <w:jc w:val="both"/>
      </w:pPr>
      <w:r>
        <w:rPr>
          <w:rFonts w:ascii="仿宋_GB2312" w:hAnsi="仿宋_GB2312" w:eastAsia="仿宋_GB2312"/>
          <w:b w:val="0"/>
          <w:sz w:val="32"/>
        </w:rPr>
        <w:t>2024年度克孜勒苏柯尔克孜自治州红十字会（行政单位和参照公务员法管理事业单位）机关运行经费支出9.96万元，比上年减少4.54万元，下降31.31%，主要原因是：严控经费支出，厉行节约，减少经费支出。</w:t>
      </w:r>
    </w:p>
    <w:p w14:paraId="0AA11CB4">
      <w:pPr>
        <w:spacing w:line="640" w:lineRule="exact"/>
        <w:ind w:firstLine="640"/>
        <w:jc w:val="both"/>
        <w:outlineLvl w:val="3"/>
      </w:pPr>
      <w:r>
        <w:rPr>
          <w:rFonts w:ascii="楷体_GB2312" w:hAnsi="楷体_GB2312" w:eastAsia="楷体_GB2312"/>
          <w:b/>
          <w:sz w:val="32"/>
        </w:rPr>
        <w:t>（二）政府采购情况</w:t>
      </w:r>
    </w:p>
    <w:p w14:paraId="7C607C2D">
      <w:pPr>
        <w:spacing w:line="580" w:lineRule="exact"/>
        <w:ind w:firstLine="640"/>
        <w:jc w:val="both"/>
      </w:pPr>
      <w:r>
        <w:rPr>
          <w:rFonts w:ascii="仿宋_GB2312" w:hAnsi="仿宋_GB2312" w:eastAsia="仿宋_GB2312"/>
          <w:b w:val="0"/>
          <w:sz w:val="32"/>
        </w:rPr>
        <w:t>2024年度政府采购支出总额1.35万元，其中：政府采购货物支出0.86万元、政府采购工程支出0.00万元、政府采购服务支出0.49万元。</w:t>
      </w:r>
    </w:p>
    <w:p w14:paraId="7A5A2B2F">
      <w:pPr>
        <w:spacing w:line="580" w:lineRule="exact"/>
        <w:ind w:firstLine="640"/>
        <w:jc w:val="both"/>
      </w:pPr>
      <w:r>
        <w:rPr>
          <w:rFonts w:ascii="仿宋_GB2312" w:hAnsi="仿宋_GB2312" w:eastAsia="仿宋_GB2312"/>
          <w:b w:val="0"/>
          <w:sz w:val="32"/>
        </w:rPr>
        <w:t>授予中小企业合同金额0.45万元，占政府采购支出总额的33.33%，其中：授予小微企业合同金额0.45万元，占政府采购支出总额的33.33%。</w:t>
      </w:r>
    </w:p>
    <w:p w14:paraId="7E4D978D">
      <w:pPr>
        <w:spacing w:line="640" w:lineRule="exact"/>
        <w:ind w:firstLine="640"/>
        <w:jc w:val="both"/>
        <w:outlineLvl w:val="3"/>
      </w:pPr>
      <w:r>
        <w:rPr>
          <w:rFonts w:ascii="楷体_GB2312" w:hAnsi="楷体_GB2312" w:eastAsia="楷体_GB2312"/>
          <w:b/>
          <w:sz w:val="32"/>
        </w:rPr>
        <w:t>（三）国有资产占用情况说明</w:t>
      </w:r>
    </w:p>
    <w:p w14:paraId="42A501F3">
      <w:pPr>
        <w:spacing w:line="580" w:lineRule="exact"/>
        <w:ind w:firstLine="640"/>
        <w:jc w:val="both"/>
      </w:pPr>
      <w:r>
        <w:rPr>
          <w:rFonts w:ascii="仿宋_GB2312" w:hAnsi="仿宋_GB2312" w:eastAsia="仿宋_GB2312"/>
          <w:b w:val="0"/>
          <w:sz w:val="32"/>
        </w:rPr>
        <w:t>截至2024年12月31日，房屋0.00平方米，价值0.00万元。车辆1辆，价值21.88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5ECE31B">
      <w:pPr>
        <w:spacing w:line="640" w:lineRule="exact"/>
        <w:ind w:firstLine="640"/>
        <w:jc w:val="both"/>
        <w:outlineLvl w:val="2"/>
      </w:pPr>
      <w:r>
        <w:rPr>
          <w:rFonts w:ascii="黑体" w:hAnsi="黑体" w:eastAsia="黑体"/>
          <w:sz w:val="32"/>
        </w:rPr>
        <w:t>十一、预算绩效的情况说明</w:t>
      </w:r>
    </w:p>
    <w:p w14:paraId="1F401CC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290.50万元，实际执行总额288.31万元；预算绩效评价项目3个，全年预算数91.42万元，全年执行数85.73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整体支出绩效自评表，项目支出绩效自评表和评价报告。</w:t>
      </w:r>
    </w:p>
    <w:p w14:paraId="191ACAC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90FEE7A">
        <w:tblPrEx>
          <w:tblCellMar>
            <w:top w:w="0" w:type="dxa"/>
            <w:left w:w="108" w:type="dxa"/>
            <w:bottom w:w="0" w:type="dxa"/>
            <w:right w:w="108" w:type="dxa"/>
          </w:tblCellMar>
        </w:tblPrEx>
        <w:tc>
          <w:tcPr>
            <w:tcW w:w="8840" w:type="dxa"/>
            <w:gridSpan w:val="8"/>
            <w:vAlign w:val="center"/>
          </w:tcPr>
          <w:p w14:paraId="101ED05A">
            <w:pPr>
              <w:jc w:val="center"/>
            </w:pPr>
            <w:r>
              <w:rPr>
                <w:rFonts w:ascii="宋体" w:hAnsi="宋体" w:eastAsia="宋体"/>
                <w:sz w:val="24"/>
              </w:rPr>
              <w:t>单位整体支出绩效自评表</w:t>
            </w:r>
          </w:p>
        </w:tc>
      </w:tr>
      <w:tr w14:paraId="24BC2B86">
        <w:tblPrEx>
          <w:tblCellMar>
            <w:top w:w="0" w:type="dxa"/>
            <w:left w:w="108" w:type="dxa"/>
            <w:bottom w:w="0" w:type="dxa"/>
            <w:right w:w="108" w:type="dxa"/>
          </w:tblCellMar>
        </w:tblPrEx>
        <w:tc>
          <w:tcPr>
            <w:tcW w:w="8840" w:type="dxa"/>
            <w:gridSpan w:val="8"/>
            <w:vAlign w:val="center"/>
          </w:tcPr>
          <w:p w14:paraId="31B6D213">
            <w:pPr>
              <w:jc w:val="center"/>
            </w:pPr>
            <w:r>
              <w:rPr>
                <w:rFonts w:ascii="宋体" w:hAnsi="宋体" w:eastAsia="宋体"/>
                <w:sz w:val="24"/>
              </w:rPr>
              <w:t>（2024年度）</w:t>
            </w:r>
          </w:p>
        </w:tc>
      </w:tr>
      <w:tr w14:paraId="08247EA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BC18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A17B4">
            <w:pPr>
              <w:jc w:val="center"/>
            </w:pPr>
            <w:r>
              <w:rPr>
                <w:rFonts w:ascii="宋体" w:hAnsi="宋体" w:eastAsia="宋体"/>
                <w:sz w:val="16"/>
              </w:rPr>
              <w:t>克孜勒苏柯尔克孜自治州红十字会</w:t>
            </w:r>
          </w:p>
        </w:tc>
      </w:tr>
      <w:tr w14:paraId="5DEBD8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3AB1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3C3FB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F556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8E4D5">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806C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43D1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36A7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62170">
            <w:pPr>
              <w:jc w:val="center"/>
            </w:pPr>
            <w:r>
              <w:rPr>
                <w:rFonts w:ascii="宋体" w:hAnsi="宋体" w:eastAsia="宋体"/>
                <w:sz w:val="16"/>
              </w:rPr>
              <w:t>得分</w:t>
            </w:r>
          </w:p>
        </w:tc>
      </w:tr>
      <w:tr w14:paraId="33F9BC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8513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B64F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F653D">
            <w:pPr>
              <w:jc w:val="center"/>
            </w:pPr>
            <w:r>
              <w:rPr>
                <w:rFonts w:ascii="宋体" w:hAnsi="宋体" w:eastAsia="宋体"/>
                <w:sz w:val="16"/>
              </w:rPr>
              <w:t>299.79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D12F62">
            <w:pPr>
              <w:jc w:val="center"/>
            </w:pPr>
            <w:r>
              <w:rPr>
                <w:rFonts w:ascii="宋体" w:hAnsi="宋体" w:eastAsia="宋体"/>
                <w:sz w:val="16"/>
              </w:rPr>
              <w:t>290.50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9A3AB">
            <w:pPr>
              <w:jc w:val="center"/>
            </w:pPr>
            <w:r>
              <w:rPr>
                <w:rFonts w:ascii="宋体" w:hAnsi="宋体" w:eastAsia="宋体"/>
                <w:sz w:val="16"/>
              </w:rPr>
              <w:t>288.31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28B8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80964">
            <w:pPr>
              <w:jc w:val="center"/>
            </w:pPr>
            <w:r>
              <w:rPr>
                <w:rFonts w:ascii="宋体" w:hAnsi="宋体" w:eastAsia="宋体"/>
                <w:sz w:val="16"/>
              </w:rPr>
              <w:t>99.25%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68D21">
            <w:pPr>
              <w:jc w:val="center"/>
            </w:pPr>
            <w:r>
              <w:rPr>
                <w:rFonts w:ascii="宋体" w:hAnsi="宋体" w:eastAsia="宋体"/>
                <w:sz w:val="16"/>
              </w:rPr>
              <w:t>9</w:t>
            </w:r>
            <w:r>
              <w:rPr>
                <w:rFonts w:hint="eastAsia" w:ascii="宋体" w:hAnsi="宋体"/>
                <w:sz w:val="16"/>
                <w:lang w:eastAsia="zh-CN"/>
              </w:rPr>
              <w:t>.</w:t>
            </w:r>
            <w:r>
              <w:rPr>
                <w:rFonts w:ascii="宋体" w:hAnsi="宋体" w:eastAsia="宋体"/>
                <w:sz w:val="16"/>
              </w:rPr>
              <w:t>92</w:t>
            </w:r>
          </w:p>
        </w:tc>
      </w:tr>
      <w:tr w14:paraId="71F7883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8A35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4991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3B37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95AA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4AAA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1FCE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37E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2B38C">
            <w:pPr>
              <w:jc w:val="center"/>
            </w:pPr>
            <w:r>
              <w:rPr>
                <w:rFonts w:ascii="宋体" w:hAnsi="宋体" w:eastAsia="宋体"/>
                <w:sz w:val="16"/>
              </w:rPr>
              <w:t>—</w:t>
            </w:r>
          </w:p>
        </w:tc>
      </w:tr>
      <w:tr w14:paraId="1256EA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44AD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C331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856DE">
            <w:pPr>
              <w:jc w:val="center"/>
            </w:pPr>
            <w:r>
              <w:rPr>
                <w:rFonts w:ascii="宋体" w:hAnsi="宋体" w:eastAsia="宋体"/>
                <w:sz w:val="16"/>
              </w:rPr>
              <w:t>204.79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88152">
            <w:pPr>
              <w:jc w:val="center"/>
            </w:pPr>
            <w:r>
              <w:rPr>
                <w:rFonts w:ascii="宋体" w:hAnsi="宋体" w:eastAsia="宋体"/>
                <w:sz w:val="16"/>
              </w:rPr>
              <w:t>206.08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DAF6F">
            <w:pPr>
              <w:jc w:val="center"/>
            </w:pPr>
            <w:r>
              <w:rPr>
                <w:rFonts w:ascii="宋体" w:hAnsi="宋体" w:eastAsia="宋体"/>
                <w:sz w:val="16"/>
              </w:rPr>
              <w:t>206.08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44D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4AB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B252D">
            <w:pPr>
              <w:jc w:val="center"/>
            </w:pPr>
            <w:r>
              <w:rPr>
                <w:rFonts w:ascii="宋体" w:hAnsi="宋体" w:eastAsia="宋体"/>
                <w:sz w:val="16"/>
              </w:rPr>
              <w:t>—</w:t>
            </w:r>
          </w:p>
        </w:tc>
      </w:tr>
      <w:tr w14:paraId="74877B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6F62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FD56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870A1">
            <w:pPr>
              <w:jc w:val="center"/>
            </w:pPr>
            <w:r>
              <w:rPr>
                <w:rFonts w:ascii="宋体" w:hAnsi="宋体" w:eastAsia="宋体"/>
                <w:sz w:val="16"/>
              </w:rPr>
              <w:t>95.00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F0E56">
            <w:pPr>
              <w:jc w:val="center"/>
            </w:pPr>
            <w:r>
              <w:rPr>
                <w:rFonts w:ascii="宋体" w:hAnsi="宋体" w:eastAsia="宋体"/>
                <w:sz w:val="16"/>
              </w:rPr>
              <w:t>84.42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01AD3">
            <w:pPr>
              <w:jc w:val="center"/>
            </w:pPr>
            <w:r>
              <w:rPr>
                <w:rFonts w:ascii="宋体" w:hAnsi="宋体" w:eastAsia="宋体"/>
                <w:sz w:val="16"/>
              </w:rPr>
              <w:t>82.23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D0E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BD1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42050">
            <w:pPr>
              <w:jc w:val="center"/>
            </w:pPr>
            <w:r>
              <w:rPr>
                <w:rFonts w:ascii="宋体" w:hAnsi="宋体" w:eastAsia="宋体"/>
                <w:sz w:val="16"/>
              </w:rPr>
              <w:t>—</w:t>
            </w:r>
          </w:p>
        </w:tc>
      </w:tr>
      <w:tr w14:paraId="5AEE642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3A2F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3FBE7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2F5071">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33DC3A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FAC17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3A2ED7">
            <w:pPr>
              <w:jc w:val="both"/>
            </w:pPr>
            <w:r>
              <w:rPr>
                <w:rFonts w:ascii="宋体" w:hAnsi="宋体" w:eastAsia="宋体"/>
                <w:sz w:val="16"/>
              </w:rPr>
              <w:t>依照《中华人民共和国红十字会法》赋予的职责，大力开展应急救护培训，提高自救互救能力，提高人道救助能力，广泛筹集款物，深入开展品牌救助活动，及机关建设等红十</w:t>
            </w:r>
            <w:r>
              <w:rPr>
                <w:rFonts w:hint="eastAsia" w:ascii="宋体" w:hAnsi="宋体"/>
                <w:sz w:val="16"/>
                <w:lang w:eastAsia="zh-CN"/>
              </w:rPr>
              <w:t>字会</w:t>
            </w:r>
            <w:r>
              <w:rPr>
                <w:rFonts w:ascii="宋体" w:hAnsi="宋体" w:eastAsia="宋体"/>
                <w:sz w:val="16"/>
              </w:rPr>
              <w:t>工作，发挥红十字会在党和政府人道领域的助手和联系群众的桥梁纽带作用。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85ED1F">
            <w:pPr>
              <w:jc w:val="both"/>
            </w:pPr>
            <w:r>
              <w:rPr>
                <w:rFonts w:ascii="宋体" w:hAnsi="宋体" w:eastAsia="宋体"/>
                <w:sz w:val="16"/>
              </w:rPr>
              <w:t>截至2024年12月31日，　　基层红十字会在社会中发挥着多方面的重要作用，例如 应急救援和灾害应对，</w:t>
            </w:r>
            <w:r>
              <w:rPr>
                <w:rFonts w:hint="eastAsia" w:ascii="宋体" w:hAnsi="宋体"/>
                <w:sz w:val="16"/>
                <w:lang w:eastAsia="zh-CN"/>
              </w:rPr>
              <w:t>当</w:t>
            </w:r>
            <w:r>
              <w:rPr>
                <w:rFonts w:ascii="宋体" w:hAnsi="宋体" w:eastAsia="宋体"/>
                <w:sz w:val="16"/>
              </w:rPr>
              <w:t>自然灾害或突发事件发生时，基层红十字会迅速组织志愿者和工作人员，参加现场救援，伤员转运，搭建临时避难所等工作。学会会员可以</w:t>
            </w:r>
            <w:r>
              <w:rPr>
                <w:rFonts w:hint="eastAsia" w:ascii="宋体" w:hAnsi="宋体"/>
                <w:sz w:val="16"/>
                <w:lang w:eastAsia="zh-CN"/>
              </w:rPr>
              <w:t>在</w:t>
            </w:r>
            <w:r>
              <w:rPr>
                <w:rFonts w:ascii="宋体" w:hAnsi="宋体" w:eastAsia="宋体"/>
                <w:sz w:val="16"/>
              </w:rPr>
              <w:t>校园内传播红十字会的人道，博爱，奉献精神，通过参与学校组织的各种宣传活动。将这些理念传递给更多的同学，有助于在校园中营造关心他人，乐于助人的良好氛围。增强公职人员的应急能力：公职人员在应对自然灾害，公共卫生事件等突发事件中承担着组织协调等重要职责。掌握急救知识能使他们在现场更好地组织救援，提高应急处置效率。积极参与“5·8人道公益日”“9·9公益日”等互联网众筹活动，今年首次设计的“博爱送万家”项目成功上线，有效提升互联网时代人道筹资的能力和水平，线上线下筹资20.13万元，主要用于为学生配备护眼灯、为公共场所配备急救设备以及开展困难群众慰问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通过以上工作的实施，坚持以政治建设为统领，加强党对红十字事业的领导，大力推进应急救护培训工作，提升人道筹资能力，提高人道救助能力，紧贴民生关切，阵地服务功能显著增强，弘扬时代新风，向善社会风尚持续激发，保障了</w:t>
            </w:r>
            <w:bookmarkStart w:id="0" w:name="_GoBack"/>
            <w:r>
              <w:rPr>
                <w:rFonts w:hint="eastAsia" w:ascii="宋体" w:hAnsi="宋体"/>
                <w:sz w:val="16"/>
                <w:lang w:eastAsia="zh-CN"/>
              </w:rPr>
              <w:t>本单位</w:t>
            </w:r>
            <w:bookmarkEnd w:id="0"/>
            <w:r>
              <w:rPr>
                <w:rFonts w:ascii="宋体" w:hAnsi="宋体" w:eastAsia="宋体"/>
                <w:sz w:val="16"/>
              </w:rPr>
              <w:t>8名职工的工资、福利及社保正常发放及缴纳，确保民生工作落实到位；保障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w:t>
            </w:r>
          </w:p>
        </w:tc>
      </w:tr>
      <w:tr w14:paraId="47EFE89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F94F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5795D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3B4E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609B6">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3996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F7D0D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CAC5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2CBC2">
            <w:pPr>
              <w:jc w:val="center"/>
            </w:pPr>
            <w:r>
              <w:rPr>
                <w:rFonts w:ascii="宋体" w:hAnsi="宋体" w:eastAsia="宋体"/>
                <w:sz w:val="16"/>
              </w:rPr>
              <w:t>得分</w:t>
            </w:r>
          </w:p>
        </w:tc>
      </w:tr>
      <w:tr w14:paraId="3AF8982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2811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5451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F17B8">
            <w:pPr>
              <w:jc w:val="center"/>
            </w:pPr>
            <w:r>
              <w:rPr>
                <w:rFonts w:ascii="宋体" w:hAnsi="宋体" w:eastAsia="宋体"/>
                <w:sz w:val="16"/>
              </w:rPr>
              <w:t>建立基层红十字会（个）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5FCF5">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96689">
            <w:pPr>
              <w:jc w:val="center"/>
            </w:pPr>
            <w:r>
              <w:rPr>
                <w:rFonts w:ascii="宋体" w:hAnsi="宋体" w:eastAsia="宋体"/>
                <w:sz w:val="16"/>
              </w:rPr>
              <w:t>2024年</w:t>
            </w:r>
            <w:r>
              <w:rPr>
                <w:rFonts w:hint="eastAsia" w:ascii="宋体" w:hAnsi="宋体"/>
                <w:sz w:val="16"/>
                <w:lang w:eastAsia="zh-CN"/>
              </w:rPr>
              <w:t>克孜勒苏柯尔克孜自治州红十字会</w:t>
            </w:r>
            <w:r>
              <w:rPr>
                <w:rFonts w:ascii="宋体" w:hAnsi="宋体" w:eastAsia="宋体"/>
                <w:sz w:val="16"/>
              </w:rPr>
              <w:t>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9583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77E0E">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E9985">
            <w:pPr>
              <w:jc w:val="center"/>
            </w:pPr>
            <w:r>
              <w:rPr>
                <w:rFonts w:ascii="宋体" w:hAnsi="宋体" w:eastAsia="宋体"/>
                <w:sz w:val="16"/>
              </w:rPr>
              <w:t>30</w:t>
            </w:r>
          </w:p>
        </w:tc>
      </w:tr>
      <w:tr w14:paraId="1F16B6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0104B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B775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D041F">
            <w:pPr>
              <w:jc w:val="center"/>
            </w:pPr>
            <w:r>
              <w:rPr>
                <w:rFonts w:ascii="宋体" w:hAnsi="宋体" w:eastAsia="宋体"/>
                <w:sz w:val="16"/>
              </w:rPr>
              <w:t>发展学生会员（名）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63C9D">
            <w:pPr>
              <w:jc w:val="center"/>
            </w:pPr>
            <w:r>
              <w:rPr>
                <w:rFonts w:ascii="宋体" w:hAnsi="宋体" w:eastAsia="宋体"/>
                <w:sz w:val="16"/>
              </w:rPr>
              <w:t>&gt;=100名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64B97">
            <w:pPr>
              <w:jc w:val="center"/>
            </w:pPr>
            <w:r>
              <w:rPr>
                <w:rFonts w:ascii="宋体" w:hAnsi="宋体" w:eastAsia="宋体"/>
                <w:sz w:val="16"/>
              </w:rPr>
              <w:t>2024年</w:t>
            </w:r>
            <w:r>
              <w:rPr>
                <w:rFonts w:hint="eastAsia" w:ascii="宋体" w:hAnsi="宋体"/>
                <w:sz w:val="16"/>
                <w:lang w:eastAsia="zh-CN"/>
              </w:rPr>
              <w:t>克孜勒苏柯尔克孜自治州红十字会</w:t>
            </w:r>
            <w:r>
              <w:rPr>
                <w:rFonts w:ascii="宋体" w:hAnsi="宋体" w:eastAsia="宋体"/>
                <w:sz w:val="16"/>
              </w:rPr>
              <w:t>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B8BEB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E679D">
            <w:pPr>
              <w:jc w:val="center"/>
            </w:pPr>
            <w:r>
              <w:rPr>
                <w:rFonts w:ascii="宋体" w:hAnsi="宋体" w:eastAsia="宋体"/>
                <w:sz w:val="16"/>
              </w:rPr>
              <w:t>100名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AAD3A">
            <w:pPr>
              <w:jc w:val="center"/>
            </w:pPr>
            <w:r>
              <w:rPr>
                <w:rFonts w:ascii="宋体" w:hAnsi="宋体" w:eastAsia="宋体"/>
                <w:sz w:val="16"/>
              </w:rPr>
              <w:t>20</w:t>
            </w:r>
          </w:p>
        </w:tc>
      </w:tr>
      <w:tr w14:paraId="6AF688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0D6B3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043E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BE24B">
            <w:pPr>
              <w:jc w:val="center"/>
            </w:pPr>
            <w:r>
              <w:rPr>
                <w:rFonts w:ascii="宋体" w:hAnsi="宋体" w:eastAsia="宋体"/>
                <w:sz w:val="16"/>
              </w:rPr>
              <w:t>开展应急救护培训进机关（个）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3FD52">
            <w:pPr>
              <w:jc w:val="center"/>
            </w:pPr>
            <w:r>
              <w:rPr>
                <w:rFonts w:ascii="宋体" w:hAnsi="宋体" w:eastAsia="宋体"/>
                <w:sz w:val="16"/>
              </w:rPr>
              <w:t>&gt;=15个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FA131">
            <w:pPr>
              <w:jc w:val="center"/>
            </w:pPr>
            <w:r>
              <w:rPr>
                <w:rFonts w:ascii="宋体" w:hAnsi="宋体" w:eastAsia="宋体"/>
                <w:sz w:val="16"/>
              </w:rPr>
              <w:t>2024年</w:t>
            </w:r>
            <w:r>
              <w:rPr>
                <w:rFonts w:hint="eastAsia" w:ascii="宋体" w:hAnsi="宋体"/>
                <w:sz w:val="16"/>
                <w:lang w:eastAsia="zh-CN"/>
              </w:rPr>
              <w:t>克孜勒苏柯尔克孜自治州红十字会</w:t>
            </w:r>
            <w:r>
              <w:rPr>
                <w:rFonts w:ascii="宋体" w:hAnsi="宋体" w:eastAsia="宋体"/>
                <w:sz w:val="16"/>
              </w:rPr>
              <w:t>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920D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D092F">
            <w:pPr>
              <w:jc w:val="center"/>
            </w:pPr>
            <w:r>
              <w:rPr>
                <w:rFonts w:ascii="宋体" w:hAnsi="宋体" w:eastAsia="宋体"/>
                <w:sz w:val="16"/>
              </w:rPr>
              <w: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12615">
            <w:pPr>
              <w:jc w:val="center"/>
            </w:pPr>
            <w:r>
              <w:rPr>
                <w:rFonts w:ascii="宋体" w:hAnsi="宋体" w:eastAsia="宋体"/>
                <w:sz w:val="16"/>
              </w:rPr>
              <w:t>20</w:t>
            </w:r>
          </w:p>
        </w:tc>
      </w:tr>
      <w:tr w14:paraId="522FFF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DBDE4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829C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9C1F2">
            <w:pPr>
              <w:jc w:val="center"/>
            </w:pPr>
            <w:r>
              <w:rPr>
                <w:rFonts w:ascii="宋体" w:hAnsi="宋体" w:eastAsia="宋体"/>
                <w:sz w:val="16"/>
              </w:rPr>
              <w:t>开展“5·8红十字博爱周”网络筹资（次）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4F8BA">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1BFB8">
            <w:pPr>
              <w:jc w:val="center"/>
            </w:pPr>
            <w:r>
              <w:rPr>
                <w:rFonts w:ascii="宋体" w:hAnsi="宋体" w:eastAsia="宋体"/>
                <w:sz w:val="16"/>
              </w:rPr>
              <w:t>2024年</w:t>
            </w:r>
            <w:r>
              <w:rPr>
                <w:rFonts w:hint="eastAsia" w:ascii="宋体" w:hAnsi="宋体"/>
                <w:sz w:val="16"/>
                <w:lang w:eastAsia="zh-CN"/>
              </w:rPr>
              <w:t>克孜勒苏柯尔克孜自治州红十字会</w:t>
            </w:r>
            <w:r>
              <w:rPr>
                <w:rFonts w:ascii="宋体" w:hAnsi="宋体" w:eastAsia="宋体"/>
                <w:sz w:val="16"/>
              </w:rPr>
              <w:t>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3AAF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A5C66">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CCB56">
            <w:pPr>
              <w:jc w:val="center"/>
            </w:pPr>
            <w:r>
              <w:rPr>
                <w:rFonts w:ascii="宋体" w:hAnsi="宋体" w:eastAsia="宋体"/>
                <w:sz w:val="16"/>
              </w:rPr>
              <w:t>20</w:t>
            </w:r>
          </w:p>
        </w:tc>
      </w:tr>
    </w:tbl>
    <w:p w14:paraId="45E18763">
      <w:r>
        <w:br w:type="page"/>
      </w:r>
    </w:p>
    <w:tbl>
      <w:tblPr>
        <w:tblStyle w:val="9"/>
        <w:tblW w:w="0" w:type="auto"/>
        <w:tblInd w:w="0" w:type="dxa"/>
        <w:tblLayout w:type="fixed"/>
        <w:tblCellMar>
          <w:top w:w="0" w:type="dxa"/>
          <w:left w:w="108" w:type="dxa"/>
          <w:bottom w:w="0" w:type="dxa"/>
          <w:right w:w="108" w:type="dxa"/>
        </w:tblCellMar>
      </w:tblPr>
      <w:tblGrid>
        <w:gridCol w:w="629"/>
        <w:gridCol w:w="626"/>
        <w:gridCol w:w="626"/>
        <w:gridCol w:w="874"/>
        <w:gridCol w:w="598"/>
        <w:gridCol w:w="626"/>
        <w:gridCol w:w="626"/>
        <w:gridCol w:w="626"/>
        <w:gridCol w:w="626"/>
        <w:gridCol w:w="626"/>
        <w:gridCol w:w="696"/>
        <w:gridCol w:w="631"/>
        <w:gridCol w:w="619"/>
        <w:gridCol w:w="631"/>
      </w:tblGrid>
      <w:tr w14:paraId="2BBFAE09">
        <w:tblPrEx>
          <w:tblCellMar>
            <w:top w:w="0" w:type="dxa"/>
            <w:left w:w="108" w:type="dxa"/>
            <w:bottom w:w="0" w:type="dxa"/>
            <w:right w:w="108" w:type="dxa"/>
          </w:tblCellMar>
        </w:tblPrEx>
        <w:tc>
          <w:tcPr>
            <w:tcW w:w="9060" w:type="dxa"/>
            <w:gridSpan w:val="14"/>
            <w:vAlign w:val="center"/>
          </w:tcPr>
          <w:p w14:paraId="5231F9C1">
            <w:pPr>
              <w:jc w:val="center"/>
            </w:pPr>
            <w:r>
              <w:rPr>
                <w:rFonts w:ascii="宋体" w:hAnsi="宋体" w:eastAsia="宋体"/>
                <w:sz w:val="24"/>
              </w:rPr>
              <w:t>项目支出绩效自评表</w:t>
            </w:r>
          </w:p>
        </w:tc>
      </w:tr>
      <w:tr w14:paraId="12FF438E">
        <w:tblPrEx>
          <w:tblCellMar>
            <w:top w:w="0" w:type="dxa"/>
            <w:left w:w="108" w:type="dxa"/>
            <w:bottom w:w="0" w:type="dxa"/>
            <w:right w:w="108" w:type="dxa"/>
          </w:tblCellMar>
        </w:tblPrEx>
        <w:tc>
          <w:tcPr>
            <w:tcW w:w="9060" w:type="dxa"/>
            <w:gridSpan w:val="14"/>
            <w:vAlign w:val="center"/>
          </w:tcPr>
          <w:p w14:paraId="09ED4A10">
            <w:pPr>
              <w:jc w:val="center"/>
            </w:pPr>
            <w:r>
              <w:rPr>
                <w:rFonts w:ascii="宋体" w:hAnsi="宋体" w:eastAsia="宋体"/>
                <w:sz w:val="24"/>
              </w:rPr>
              <w:t>(2024年度)</w:t>
            </w:r>
          </w:p>
        </w:tc>
      </w:tr>
      <w:tr w14:paraId="147129D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AD0CD56">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BA4298">
            <w:pPr>
              <w:jc w:val="center"/>
            </w:pPr>
            <w:r>
              <w:rPr>
                <w:rFonts w:ascii="宋体" w:hAnsi="宋体" w:eastAsia="宋体"/>
                <w:sz w:val="16"/>
              </w:rPr>
              <w:t>2023年结余结转资金</w:t>
            </w:r>
          </w:p>
        </w:tc>
      </w:tr>
      <w:tr w14:paraId="236DA31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F8E7441">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850631">
            <w:pPr>
              <w:jc w:val="center"/>
              <w:rPr>
                <w:rFonts w:hint="eastAsia" w:eastAsia="宋体"/>
                <w:lang w:eastAsia="zh-CN"/>
              </w:rPr>
            </w:pPr>
            <w:r>
              <w:rPr>
                <w:rFonts w:hint="eastAsia" w:ascii="宋体" w:hAnsi="宋体"/>
                <w:sz w:val="16"/>
                <w:lang w:eastAsia="zh-CN"/>
              </w:rPr>
              <w:t>克孜勒苏柯尔克孜自治州红十字会</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C48D16">
            <w:pPr>
              <w:jc w:val="center"/>
            </w:pPr>
            <w:r>
              <w:rPr>
                <w:rFonts w:ascii="宋体" w:hAnsi="宋体" w:eastAsia="宋体"/>
                <w:sz w:val="16"/>
              </w:rPr>
              <w:t>实施单位</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64F705">
            <w:pPr>
              <w:jc w:val="center"/>
            </w:pPr>
            <w:r>
              <w:rPr>
                <w:rFonts w:ascii="宋体" w:hAnsi="宋体" w:eastAsia="宋体"/>
                <w:sz w:val="16"/>
              </w:rPr>
              <w:t>克孜勒苏柯尔克孜自治州红十字会</w:t>
            </w:r>
          </w:p>
        </w:tc>
      </w:tr>
      <w:tr w14:paraId="0C591631">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25168">
            <w:pPr>
              <w:jc w:val="center"/>
            </w:pPr>
            <w:r>
              <w:rPr>
                <w:rFonts w:ascii="宋体" w:hAnsi="宋体" w:eastAsia="宋体"/>
                <w:sz w:val="16"/>
              </w:rPr>
              <w:t>项目资金 （万元）</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AF53E">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DFFA">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2599">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621C">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761DB">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2544">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A3B46E">
            <w:pPr>
              <w:jc w:val="center"/>
            </w:pPr>
            <w:r>
              <w:rPr>
                <w:rFonts w:ascii="宋体" w:hAnsi="宋体" w:eastAsia="宋体"/>
                <w:sz w:val="16"/>
              </w:rPr>
              <w:t>得分</w:t>
            </w:r>
          </w:p>
        </w:tc>
      </w:tr>
      <w:tr w14:paraId="36575DE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08AC74A"/>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71FBF">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081CA">
            <w:pPr>
              <w:jc w:val="center"/>
            </w:pPr>
            <w:r>
              <w:rPr>
                <w:rFonts w:ascii="宋体" w:hAnsi="宋体" w:eastAsia="宋体"/>
                <w:sz w:val="16"/>
              </w:rPr>
              <w:t>35.00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850F">
            <w:pPr>
              <w:jc w:val="center"/>
            </w:pPr>
            <w:r>
              <w:rPr>
                <w:rFonts w:ascii="宋体" w:hAnsi="宋体" w:eastAsia="宋体"/>
                <w:sz w:val="16"/>
              </w:rPr>
              <w:t>27.92</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3DE07">
            <w:pPr>
              <w:jc w:val="center"/>
            </w:pPr>
            <w:r>
              <w:rPr>
                <w:rFonts w:ascii="宋体" w:hAnsi="宋体" w:eastAsia="宋体"/>
                <w:sz w:val="16"/>
              </w:rPr>
              <w:t>27.76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F25B">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FF81E">
            <w:pPr>
              <w:jc w:val="center"/>
            </w:pPr>
            <w:r>
              <w:rPr>
                <w:rFonts w:ascii="宋体" w:hAnsi="宋体" w:eastAsia="宋体"/>
                <w:sz w:val="16"/>
              </w:rPr>
              <w:t>99.4%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AAB5075">
            <w:pPr>
              <w:jc w:val="center"/>
            </w:pPr>
            <w:r>
              <w:rPr>
                <w:rFonts w:ascii="宋体" w:hAnsi="宋体" w:eastAsia="宋体"/>
                <w:sz w:val="16"/>
              </w:rPr>
              <w:t>9.86分</w:t>
            </w:r>
          </w:p>
        </w:tc>
      </w:tr>
      <w:tr w14:paraId="036420B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88032AE"/>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23E1F">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3049B">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F7BE">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9FA3">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4CE6">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E6CD4">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1D16233">
            <w:pPr>
              <w:jc w:val="center"/>
            </w:pPr>
            <w:r>
              <w:rPr>
                <w:rFonts w:ascii="宋体" w:hAnsi="宋体" w:eastAsia="宋体"/>
                <w:sz w:val="16"/>
              </w:rPr>
              <w:t>—</w:t>
            </w:r>
          </w:p>
        </w:tc>
      </w:tr>
      <w:tr w14:paraId="0F811B3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6874E0D"/>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97E4">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03FD">
            <w:pPr>
              <w:jc w:val="center"/>
            </w:pPr>
            <w:r>
              <w:rPr>
                <w:rFonts w:ascii="宋体" w:hAnsi="宋体" w:eastAsia="宋体"/>
                <w:sz w:val="16"/>
              </w:rPr>
              <w:t>35.00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DCD1">
            <w:pPr>
              <w:jc w:val="center"/>
            </w:pPr>
            <w:r>
              <w:rPr>
                <w:rFonts w:ascii="宋体" w:hAnsi="宋体" w:eastAsia="宋体"/>
                <w:sz w:val="16"/>
              </w:rPr>
              <w:t>27.92</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5C1A">
            <w:pPr>
              <w:jc w:val="center"/>
            </w:pPr>
            <w:r>
              <w:rPr>
                <w:rFonts w:ascii="宋体" w:hAnsi="宋体" w:eastAsia="宋体"/>
                <w:sz w:val="16"/>
              </w:rPr>
              <w:t>27.76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20E60">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A0DD4">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84F7CD">
            <w:pPr>
              <w:jc w:val="center"/>
            </w:pPr>
            <w:r>
              <w:rPr>
                <w:rFonts w:ascii="宋体" w:hAnsi="宋体" w:eastAsia="宋体"/>
                <w:sz w:val="16"/>
              </w:rPr>
              <w:t>—</w:t>
            </w:r>
          </w:p>
        </w:tc>
      </w:tr>
      <w:tr w14:paraId="741F4E3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5192E">
            <w:pPr>
              <w:jc w:val="center"/>
            </w:pPr>
            <w:r>
              <w:rPr>
                <w:rFonts w:ascii="宋体" w:hAnsi="宋体" w:eastAsia="宋体"/>
                <w:sz w:val="16"/>
              </w:rPr>
              <w:t>三、目标完成情况</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1867A">
            <w:pPr>
              <w:jc w:val="center"/>
            </w:pPr>
            <w:r>
              <w:rPr>
                <w:rFonts w:ascii="宋体" w:hAnsi="宋体" w:eastAsia="宋体"/>
                <w:sz w:val="16"/>
              </w:rPr>
              <w:t>预期目标</w:t>
            </w:r>
          </w:p>
        </w:tc>
        <w:tc>
          <w:tcPr>
            <w:tcW w:w="38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318F0">
            <w:pPr>
              <w:jc w:val="center"/>
            </w:pPr>
            <w:r>
              <w:rPr>
                <w:rFonts w:ascii="宋体" w:hAnsi="宋体" w:eastAsia="宋体"/>
                <w:sz w:val="16"/>
              </w:rPr>
              <w:t>实际完成情况</w:t>
            </w:r>
          </w:p>
        </w:tc>
      </w:tr>
      <w:tr w14:paraId="241E5E4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4E87D38"/>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D85E8">
            <w:pPr>
              <w:jc w:val="both"/>
            </w:pPr>
            <w:r>
              <w:rPr>
                <w:rFonts w:ascii="宋体" w:hAnsi="宋体" w:eastAsia="宋体"/>
                <w:sz w:val="16"/>
              </w:rPr>
              <w:t>该项目资金投入总额为27.92万元，其中：财政资金0万元，</w:t>
            </w:r>
            <w:r>
              <w:rPr>
                <w:rFonts w:hint="eastAsia" w:ascii="宋体" w:hAnsi="宋体"/>
                <w:sz w:val="16"/>
                <w:lang w:eastAsia="zh-CN"/>
              </w:rPr>
              <w:t>其他</w:t>
            </w:r>
            <w:r>
              <w:rPr>
                <w:rFonts w:ascii="宋体" w:hAnsi="宋体" w:eastAsia="宋体"/>
                <w:sz w:val="16"/>
              </w:rPr>
              <w:t>资金27.92万元。2024年</w:t>
            </w:r>
            <w:r>
              <w:rPr>
                <w:rFonts w:hint="eastAsia" w:ascii="宋体" w:hAnsi="宋体"/>
                <w:sz w:val="16"/>
                <w:lang w:eastAsia="zh-CN"/>
              </w:rPr>
              <w:t>克孜勒苏柯尔克孜自治州红十字会</w:t>
            </w:r>
            <w:r>
              <w:rPr>
                <w:rFonts w:ascii="宋体" w:hAnsi="宋体" w:eastAsia="宋体"/>
                <w:sz w:val="16"/>
              </w:rPr>
              <w:t>工作，依据《中华人民共和国国民经济和社会发展第十四个五年规划和2035年远景目标纲要》《中华人民共和国红十字会法》和《中国红十字事业发展规划纲要(2020- -2024年 )》及</w:t>
            </w:r>
            <w:r>
              <w:rPr>
                <w:rFonts w:hint="eastAsia" w:ascii="宋体" w:hAnsi="宋体"/>
                <w:sz w:val="16"/>
                <w:lang w:eastAsia="zh-CN"/>
              </w:rPr>
              <w:t>克孜勒苏柯尔克孜自治州红十字会</w:t>
            </w:r>
            <w:r>
              <w:rPr>
                <w:rFonts w:ascii="宋体" w:hAnsi="宋体" w:eastAsia="宋体"/>
                <w:sz w:val="16"/>
              </w:rPr>
              <w:t>行业发展需要，要充分发挥红十字会自身优势，统筹推进六项核心业务，积极推进应急救护培训、人道救助、志愿服务、红十字青少年工作，充分发挥党和政府在人道领域的助手和联系群众的桥梁和纽带作用。</w:t>
            </w:r>
          </w:p>
        </w:tc>
        <w:tc>
          <w:tcPr>
            <w:tcW w:w="38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47F749">
            <w:pPr>
              <w:jc w:val="both"/>
            </w:pPr>
            <w:r>
              <w:rPr>
                <w:rFonts w:ascii="宋体" w:hAnsi="宋体" w:eastAsia="宋体"/>
                <w:sz w:val="16"/>
              </w:rPr>
              <w:t>截至2024年12月31日，已完成红十字文化广场设备1个，红十字三救三献工作10次，充分发挥红十字会自身优势，统筹推进六项核心业务，积极推进应急救护培训、人道救助、志愿服务、红十字青少年工作，充分发挥党和政府在人道领域的助手和联系群众的桥梁和纽带作用。</w:t>
            </w:r>
          </w:p>
        </w:tc>
      </w:tr>
      <w:tr w14:paraId="06AAB3F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35453FE3"/>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564517">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03EF45">
            <w:pPr>
              <w:jc w:val="center"/>
            </w:pPr>
            <w:r>
              <w:rPr>
                <w:rFonts w:ascii="宋体" w:hAnsi="宋体" w:eastAsia="宋体"/>
                <w:sz w:val="16"/>
              </w:rPr>
              <w:t>二级指标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002667F7">
            <w:pPr>
              <w:jc w:val="center"/>
            </w:pPr>
            <w:r>
              <w:rPr>
                <w:rFonts w:ascii="宋体" w:hAnsi="宋体" w:eastAsia="宋体"/>
                <w:sz w:val="16"/>
              </w:rPr>
              <w:t>三级指标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5F7546F">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B367BA">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4CFF15">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D7933E5">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CABD93">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D00429">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15B1FC">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F2747EE">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5EA02">
            <w:pPr>
              <w:jc w:val="center"/>
            </w:pPr>
            <w:r>
              <w:rPr>
                <w:rFonts w:ascii="宋体" w:hAnsi="宋体" w:eastAsia="宋体"/>
                <w:sz w:val="16"/>
              </w:rPr>
              <w:t>偏差原因分析及改进措施</w:t>
            </w:r>
          </w:p>
        </w:tc>
      </w:tr>
      <w:tr w14:paraId="50A885A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96214">
            <w:pPr>
              <w:jc w:val="center"/>
            </w:pPr>
            <w:r>
              <w:rPr>
                <w:rFonts w:ascii="宋体" w:hAnsi="宋体" w:eastAsia="宋体"/>
                <w:sz w:val="16"/>
              </w:rPr>
              <w:t>年度绩效指标完成情况</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32CF5">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1DE14">
            <w:pPr>
              <w:jc w:val="center"/>
            </w:pPr>
            <w:r>
              <w:rPr>
                <w:rFonts w:ascii="宋体" w:hAnsi="宋体" w:eastAsia="宋体"/>
                <w:sz w:val="16"/>
              </w:rPr>
              <w:t>数量指标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0F049F98">
            <w:pPr>
              <w:jc w:val="center"/>
            </w:pPr>
            <w:r>
              <w:rPr>
                <w:rFonts w:ascii="宋体" w:hAnsi="宋体" w:eastAsia="宋体"/>
                <w:sz w:val="16"/>
              </w:rPr>
              <w:t>购置红十字文化广场设备（套）</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FE73868">
            <w:pPr>
              <w:jc w:val="center"/>
            </w:pPr>
            <w:r>
              <w:rPr>
                <w:rFonts w:ascii="宋体" w:hAnsi="宋体" w:eastAsia="宋体"/>
                <w:sz w:val="16"/>
              </w:rPr>
              <w:t>&gt;=1个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D43F1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D35F12">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4131D0">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4BE98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5BDA1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FD4B9D">
            <w:pPr>
              <w:jc w:val="center"/>
            </w:pPr>
            <w:r>
              <w:rPr>
                <w:rFonts w:ascii="宋体" w:hAnsi="宋体" w:eastAsia="宋体"/>
                <w:sz w:val="16"/>
              </w:rPr>
              <w:t>=1个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41A11D7">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891FA">
            <w:pPr>
              <w:jc w:val="center"/>
            </w:pPr>
          </w:p>
        </w:tc>
      </w:tr>
      <w:tr w14:paraId="22D41EF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C9677F"/>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D292EC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C76A7DB"/>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1E619E0B">
            <w:pPr>
              <w:jc w:val="center"/>
            </w:pPr>
            <w:r>
              <w:rPr>
                <w:rFonts w:ascii="宋体" w:hAnsi="宋体" w:eastAsia="宋体"/>
                <w:sz w:val="16"/>
              </w:rPr>
              <w:t>完成三救三献工作次数（次）</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E8CD068">
            <w:pPr>
              <w:jc w:val="center"/>
            </w:pPr>
            <w:r>
              <w:rPr>
                <w:rFonts w:ascii="宋体" w:hAnsi="宋体" w:eastAsia="宋体"/>
                <w:sz w:val="16"/>
              </w:rPr>
              <w:t>&gt;=10次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C6D73">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A5675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AB9FD1">
            <w:pPr>
              <w:jc w:val="center"/>
            </w:pPr>
            <w:r>
              <w:rPr>
                <w:rFonts w:ascii="宋体" w:hAnsi="宋体" w:eastAsia="宋体"/>
                <w:sz w:val="16"/>
              </w:rPr>
              <w:t>8</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D3FBF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4D2F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879082">
            <w:pPr>
              <w:jc w:val="center"/>
            </w:pPr>
            <w:r>
              <w:rPr>
                <w:rFonts w:ascii="宋体" w:hAnsi="宋体" w:eastAsia="宋体"/>
                <w:sz w:val="16"/>
              </w:rPr>
              <w:t>=10次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1CDAFD">
            <w:pPr>
              <w:jc w:val="center"/>
            </w:pPr>
            <w:r>
              <w:rPr>
                <w:rFonts w:ascii="宋体" w:hAnsi="宋体" w:eastAsia="宋体"/>
                <w:sz w:val="16"/>
              </w:rPr>
              <w:t>8</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4999">
            <w:pPr>
              <w:jc w:val="center"/>
            </w:pPr>
          </w:p>
        </w:tc>
      </w:tr>
      <w:tr w14:paraId="5AECF75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6F1C626"/>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CD76CA6"/>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0C715">
            <w:pPr>
              <w:jc w:val="center"/>
            </w:pPr>
            <w:r>
              <w:rPr>
                <w:rFonts w:ascii="宋体" w:hAnsi="宋体" w:eastAsia="宋体"/>
                <w:sz w:val="16"/>
              </w:rPr>
              <w:t>质量指标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0DE9502B">
            <w:pPr>
              <w:jc w:val="center"/>
            </w:pPr>
            <w:r>
              <w:rPr>
                <w:rFonts w:ascii="宋体" w:hAnsi="宋体" w:eastAsia="宋体"/>
                <w:sz w:val="16"/>
              </w:rPr>
              <w:t>购置文化广场设备验收合格率（%）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52E6EC52">
            <w:pPr>
              <w:jc w:val="center"/>
            </w:pPr>
            <w:r>
              <w:rPr>
                <w:rFonts w:ascii="宋体" w:hAnsi="宋体" w:eastAsia="宋体"/>
                <w:sz w:val="16"/>
              </w:rPr>
              <w:t>&gt;=90%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1C4B3A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4C406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6837A6">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3A54E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8AD24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7CB289">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A1B71E8">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60765">
            <w:pPr>
              <w:jc w:val="center"/>
            </w:pPr>
          </w:p>
        </w:tc>
      </w:tr>
      <w:tr w14:paraId="29D244F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362AF7B"/>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15E46DC"/>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DA2E646"/>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2581702C">
            <w:pPr>
              <w:jc w:val="center"/>
            </w:pPr>
            <w:r>
              <w:rPr>
                <w:rFonts w:ascii="宋体" w:hAnsi="宋体" w:eastAsia="宋体"/>
                <w:sz w:val="16"/>
              </w:rPr>
              <w:t>三救三献工作群众参与率（%）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0FCF81C">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75FA9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CB210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08FFD3">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52A8F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1A93A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5C8D95">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6A604B">
            <w:pPr>
              <w:jc w:val="center"/>
            </w:pPr>
            <w:r>
              <w:rPr>
                <w:rFonts w:ascii="宋体" w:hAnsi="宋体" w:eastAsia="宋体"/>
                <w:sz w:val="16"/>
              </w:rPr>
              <w:t>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537C">
            <w:pPr>
              <w:jc w:val="center"/>
            </w:pPr>
          </w:p>
        </w:tc>
      </w:tr>
      <w:tr w14:paraId="14673F7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1B57AA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55A5B41"/>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77D19">
            <w:pPr>
              <w:jc w:val="center"/>
            </w:pPr>
            <w:r>
              <w:rPr>
                <w:rFonts w:ascii="宋体" w:hAnsi="宋体" w:eastAsia="宋体"/>
                <w:sz w:val="16"/>
              </w:rPr>
              <w:t>时效指标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07D6A5B8">
            <w:pPr>
              <w:jc w:val="center"/>
            </w:pPr>
            <w:r>
              <w:rPr>
                <w:rFonts w:ascii="宋体" w:hAnsi="宋体" w:eastAsia="宋体"/>
                <w:sz w:val="16"/>
              </w:rPr>
              <w:t>三救三献工作开展及时率（%）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2E0E8A82">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798A0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1AC9AE">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F6EBFE">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7EAB6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304DC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8FB2AE">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E6F2A56">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CCE01">
            <w:pPr>
              <w:jc w:val="center"/>
            </w:pPr>
          </w:p>
        </w:tc>
      </w:tr>
      <w:tr w14:paraId="154B27A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CDFE843"/>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77DBDFE"/>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854368B"/>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52AB7C29">
            <w:pPr>
              <w:jc w:val="center"/>
            </w:pPr>
            <w:r>
              <w:rPr>
                <w:rFonts w:ascii="宋体" w:hAnsi="宋体" w:eastAsia="宋体"/>
                <w:sz w:val="16"/>
              </w:rPr>
              <w:t>工作按时完成率（%）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6EA4AA60">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A8CFD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096D5F">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387F86">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D363E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8B56C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3B6C7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1A09F8D">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933F5">
            <w:pPr>
              <w:jc w:val="center"/>
            </w:pPr>
          </w:p>
        </w:tc>
      </w:tr>
      <w:tr w14:paraId="25E315A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B8D6BDD"/>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B992E">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B09DD">
            <w:pPr>
              <w:jc w:val="center"/>
            </w:pPr>
            <w:r>
              <w:rPr>
                <w:rFonts w:ascii="宋体" w:hAnsi="宋体" w:eastAsia="宋体"/>
                <w:sz w:val="16"/>
              </w:rPr>
              <w:t>经济成本指标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1D6CD2B2">
            <w:pPr>
              <w:jc w:val="center"/>
            </w:pPr>
            <w:r>
              <w:rPr>
                <w:rFonts w:ascii="宋体" w:hAnsi="宋体" w:eastAsia="宋体"/>
                <w:sz w:val="16"/>
              </w:rPr>
              <w:t>购置红十字文化广场设备（万元）</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36B24FFC">
            <w:pPr>
              <w:jc w:val="center"/>
            </w:pPr>
            <w:r>
              <w:rPr>
                <w:rFonts w:ascii="宋体" w:hAnsi="宋体" w:eastAsia="宋体"/>
                <w:sz w:val="16"/>
              </w:rPr>
              <w:t>&lt;=10万元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AA42C0">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C12813">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C6751E">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F85A3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F41B7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CDB6EB">
            <w:pPr>
              <w:jc w:val="center"/>
            </w:pPr>
            <w:r>
              <w:rPr>
                <w:rFonts w:ascii="宋体" w:hAnsi="宋体" w:eastAsia="宋体"/>
                <w:sz w:val="16"/>
              </w:rPr>
              <w:t>=10万元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F6058F0">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DB57">
            <w:pPr>
              <w:jc w:val="center"/>
            </w:pPr>
          </w:p>
        </w:tc>
      </w:tr>
      <w:tr w14:paraId="0B02293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525A9B4"/>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5F78A42"/>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62F6852"/>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2B15FD2E">
            <w:pPr>
              <w:jc w:val="center"/>
            </w:pPr>
            <w:r>
              <w:rPr>
                <w:rFonts w:ascii="宋体" w:hAnsi="宋体" w:eastAsia="宋体"/>
                <w:sz w:val="16"/>
              </w:rPr>
              <w:t>完成三救三献工作（万元）</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0A39FAB8">
            <w:pPr>
              <w:jc w:val="center"/>
            </w:pPr>
            <w:r>
              <w:rPr>
                <w:rFonts w:ascii="宋体" w:hAnsi="宋体" w:eastAsia="宋体"/>
                <w:sz w:val="16"/>
              </w:rPr>
              <w:t>&lt;=17.92万元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161159">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5B0AA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AF7959">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8CEC5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52C36D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2717F3">
            <w:pPr>
              <w:jc w:val="center"/>
            </w:pPr>
            <w:r>
              <w:rPr>
                <w:rFonts w:ascii="宋体" w:hAnsi="宋体" w:eastAsia="宋体"/>
                <w:sz w:val="16"/>
              </w:rPr>
              <w:t>=17.76万元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8552C7D">
            <w:pPr>
              <w:jc w:val="center"/>
            </w:pPr>
            <w:r>
              <w:rPr>
                <w:rFonts w:ascii="宋体" w:hAnsi="宋体" w:eastAsia="宋体"/>
                <w:sz w:val="16"/>
              </w:rPr>
              <w:t>9.77</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D1C8F">
            <w:pPr>
              <w:jc w:val="center"/>
            </w:pPr>
            <w:r>
              <w:rPr>
                <w:rFonts w:ascii="宋体" w:hAnsi="宋体" w:eastAsia="宋体"/>
                <w:sz w:val="16"/>
              </w:rPr>
              <w:t>偏差原因：预算不精准，改进措施：精准预算。</w:t>
            </w:r>
          </w:p>
        </w:tc>
      </w:tr>
      <w:tr w14:paraId="68C62CC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907263B"/>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18D4E0">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A9E883">
            <w:pPr>
              <w:jc w:val="center"/>
            </w:pPr>
            <w:r>
              <w:rPr>
                <w:rFonts w:ascii="宋体" w:hAnsi="宋体" w:eastAsia="宋体"/>
                <w:sz w:val="16"/>
              </w:rPr>
              <w:t>社会效益指标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74D00E97">
            <w:pPr>
              <w:jc w:val="center"/>
            </w:pPr>
            <w:r>
              <w:rPr>
                <w:rFonts w:ascii="宋体" w:hAnsi="宋体" w:eastAsia="宋体"/>
                <w:sz w:val="16"/>
              </w:rPr>
              <w:t>提高红十字知识知晓率(%)</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92EBB18">
            <w:pPr>
              <w:jc w:val="center"/>
            </w:pPr>
            <w:r>
              <w:rPr>
                <w:rFonts w:ascii="宋体" w:hAnsi="宋体" w:eastAsia="宋体"/>
                <w:sz w:val="16"/>
              </w:rPr>
              <w:t>&gt;=90%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FFE1C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C86BD7">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D07E7B">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58529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0FC99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1DC495">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034403F">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416A">
            <w:pPr>
              <w:jc w:val="center"/>
            </w:pPr>
          </w:p>
        </w:tc>
      </w:tr>
      <w:tr w14:paraId="2B6F7A4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9687BD"/>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6A2BD">
            <w:pPr>
              <w:jc w:val="center"/>
            </w:pPr>
            <w:r>
              <w:rPr>
                <w:rFonts w:ascii="宋体" w:hAnsi="宋体" w:eastAsia="宋体"/>
                <w:sz w:val="16"/>
              </w:rPr>
              <w:t>满意度指标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414ED">
            <w:pPr>
              <w:jc w:val="center"/>
            </w:pPr>
            <w:r>
              <w:rPr>
                <w:rFonts w:ascii="宋体" w:hAnsi="宋体" w:eastAsia="宋体"/>
                <w:sz w:val="16"/>
              </w:rPr>
              <w:t>满意度指标</w:t>
            </w:r>
          </w:p>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0543E369">
            <w:pPr>
              <w:jc w:val="center"/>
            </w:pPr>
            <w:r>
              <w:rPr>
                <w:rFonts w:ascii="宋体" w:hAnsi="宋体" w:eastAsia="宋体"/>
                <w:sz w:val="16"/>
              </w:rPr>
              <w:t>受训人员满意度(%)</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47655F7A">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5CC1177">
            <w:pPr>
              <w:jc w:val="center"/>
            </w:pPr>
            <w:r>
              <w:rPr>
                <w:rFonts w:ascii="宋体" w:hAnsi="宋体" w:eastAsia="宋体"/>
                <w:sz w:val="16"/>
              </w:rPr>
              <w:t>其他标准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63CC8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079E93">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9A695E">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6019B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ACDFF0">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AB7EE9">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598D9">
            <w:pPr>
              <w:jc w:val="center"/>
            </w:pPr>
          </w:p>
        </w:tc>
      </w:tr>
      <w:tr w14:paraId="4D4DBC07">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D9F7FD4"/>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46AA217"/>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8D90CF2"/>
        </w:tc>
        <w:tc>
          <w:tcPr>
            <w:tcW w:w="874" w:type="dxa"/>
            <w:tcBorders>
              <w:top w:val="single" w:color="auto" w:sz="10" w:space="0"/>
              <w:left w:val="single" w:color="auto" w:sz="10" w:space="0"/>
              <w:bottom w:val="single" w:color="auto" w:sz="10" w:space="0"/>
              <w:right w:val="single" w:color="auto" w:sz="10" w:space="0"/>
              <w:insideV w:val="single" w:sz="10" w:space="0"/>
            </w:tcBorders>
            <w:vAlign w:val="center"/>
          </w:tcPr>
          <w:p w14:paraId="7AE39605">
            <w:pPr>
              <w:jc w:val="center"/>
            </w:pPr>
            <w:r>
              <w:rPr>
                <w:rFonts w:ascii="宋体" w:hAnsi="宋体" w:eastAsia="宋体"/>
                <w:sz w:val="16"/>
              </w:rPr>
              <w:t>受益群众满意度(%)</w:t>
            </w:r>
          </w:p>
        </w:tc>
        <w:tc>
          <w:tcPr>
            <w:tcW w:w="598" w:type="dxa"/>
            <w:tcBorders>
              <w:top w:val="single" w:color="auto" w:sz="10" w:space="0"/>
              <w:left w:val="single" w:color="auto" w:sz="10" w:space="0"/>
              <w:bottom w:val="single" w:color="auto" w:sz="10" w:space="0"/>
              <w:right w:val="single" w:color="auto" w:sz="10" w:space="0"/>
              <w:insideV w:val="single" w:sz="10" w:space="0"/>
            </w:tcBorders>
            <w:vAlign w:val="center"/>
          </w:tcPr>
          <w:p w14:paraId="7FC5F6E9">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A56146">
            <w:pPr>
              <w:jc w:val="center"/>
            </w:pPr>
            <w:r>
              <w:rPr>
                <w:rFonts w:ascii="宋体" w:hAnsi="宋体" w:eastAsia="宋体"/>
                <w:sz w:val="16"/>
              </w:rPr>
              <w:t>其他标准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C1851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21D44C">
            <w:pPr>
              <w:jc w:val="center"/>
            </w:pPr>
            <w:r>
              <w:rPr>
                <w:rFonts w:ascii="宋体" w:hAnsi="宋体" w:eastAsia="宋体"/>
                <w:sz w:val="16"/>
              </w:rPr>
              <w:t>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DD46B8">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8B898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F12FC0">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E8EEAD">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A00DA">
            <w:pPr>
              <w:jc w:val="center"/>
            </w:pPr>
            <w:r>
              <w:rPr>
                <w:rFonts w:ascii="宋体" w:hAnsi="宋体" w:eastAsia="宋体"/>
                <w:sz w:val="16"/>
              </w:rPr>
              <w:t>偏差原因：还没达到</w:t>
            </w:r>
            <w:r>
              <w:rPr>
                <w:rFonts w:hint="eastAsia" w:ascii="宋体" w:hAnsi="宋体"/>
                <w:sz w:val="16"/>
                <w:lang w:eastAsia="zh-CN"/>
              </w:rPr>
              <w:t>群众</w:t>
            </w:r>
            <w:r>
              <w:rPr>
                <w:rFonts w:ascii="宋体" w:hAnsi="宋体" w:eastAsia="宋体"/>
                <w:sz w:val="16"/>
              </w:rPr>
              <w:t>满意，改进措施：进一步提高工作质量，提高群众满意度</w:t>
            </w:r>
            <w:r>
              <w:rPr>
                <w:rFonts w:hint="eastAsia" w:ascii="宋体" w:hAnsi="宋体"/>
                <w:sz w:val="16"/>
                <w:lang w:eastAsia="zh-CN"/>
              </w:rPr>
              <w:t>。</w:t>
            </w:r>
          </w:p>
        </w:tc>
      </w:tr>
      <w:tr w14:paraId="48E128B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17C6236">
            <w:pPr>
              <w:jc w:val="center"/>
            </w:pPr>
            <w:r>
              <w:rPr>
                <w:rFonts w:ascii="宋体" w:hAnsi="宋体" w:eastAsia="宋体"/>
                <w:sz w:val="16"/>
              </w:rPr>
              <w:t>总分</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689E6">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D91118">
            <w:pPr>
              <w:jc w:val="center"/>
            </w:pPr>
            <w:r>
              <w:rPr>
                <w:rFonts w:ascii="宋体" w:hAnsi="宋体" w:eastAsia="宋体"/>
                <w:sz w:val="16"/>
              </w:rPr>
              <w:t>得分</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767776">
            <w:pPr>
              <w:jc w:val="center"/>
            </w:pPr>
            <w:r>
              <w:rPr>
                <w:rFonts w:ascii="宋体" w:hAnsi="宋体" w:eastAsia="宋体"/>
                <w:sz w:val="16"/>
              </w:rPr>
              <w:t>99.63分</w:t>
            </w:r>
          </w:p>
        </w:tc>
      </w:tr>
    </w:tbl>
    <w:p w14:paraId="68ACB0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EA8081">
        <w:tblPrEx>
          <w:tblCellMar>
            <w:top w:w="0" w:type="dxa"/>
            <w:left w:w="108" w:type="dxa"/>
            <w:bottom w:w="0" w:type="dxa"/>
            <w:right w:w="108" w:type="dxa"/>
          </w:tblCellMar>
        </w:tblPrEx>
        <w:tc>
          <w:tcPr>
            <w:tcW w:w="8848" w:type="dxa"/>
            <w:gridSpan w:val="14"/>
            <w:vAlign w:val="center"/>
          </w:tcPr>
          <w:p w14:paraId="148E33DB">
            <w:pPr>
              <w:jc w:val="center"/>
            </w:pPr>
            <w:r>
              <w:rPr>
                <w:rFonts w:ascii="宋体" w:hAnsi="宋体" w:eastAsia="宋体"/>
                <w:sz w:val="24"/>
              </w:rPr>
              <w:t>项目支出绩效自评表</w:t>
            </w:r>
          </w:p>
        </w:tc>
      </w:tr>
      <w:tr w14:paraId="06CF90E1">
        <w:tblPrEx>
          <w:tblCellMar>
            <w:top w:w="0" w:type="dxa"/>
            <w:left w:w="108" w:type="dxa"/>
            <w:bottom w:w="0" w:type="dxa"/>
            <w:right w:w="108" w:type="dxa"/>
          </w:tblCellMar>
        </w:tblPrEx>
        <w:tc>
          <w:tcPr>
            <w:tcW w:w="8848" w:type="dxa"/>
            <w:gridSpan w:val="14"/>
            <w:vAlign w:val="center"/>
          </w:tcPr>
          <w:p w14:paraId="528B52D4">
            <w:pPr>
              <w:jc w:val="center"/>
            </w:pPr>
            <w:r>
              <w:rPr>
                <w:rFonts w:ascii="宋体" w:hAnsi="宋体" w:eastAsia="宋体"/>
                <w:sz w:val="24"/>
              </w:rPr>
              <w:t>(2024年度)</w:t>
            </w:r>
          </w:p>
        </w:tc>
      </w:tr>
      <w:tr w14:paraId="65A078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0D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3B6038">
            <w:pPr>
              <w:jc w:val="center"/>
            </w:pPr>
            <w:r>
              <w:rPr>
                <w:rFonts w:ascii="宋体" w:hAnsi="宋体" w:eastAsia="宋体"/>
                <w:sz w:val="16"/>
              </w:rPr>
              <w:t>业务工作经费</w:t>
            </w:r>
          </w:p>
        </w:tc>
      </w:tr>
      <w:tr w14:paraId="4C765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42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908EC">
            <w:pPr>
              <w:jc w:val="center"/>
              <w:rPr>
                <w:rFonts w:hint="eastAsia" w:eastAsia="宋体"/>
                <w:lang w:eastAsia="zh-CN"/>
              </w:rPr>
            </w:pPr>
            <w:r>
              <w:rPr>
                <w:rFonts w:hint="eastAsia" w:ascii="宋体" w:hAnsi="宋体"/>
                <w:sz w:val="16"/>
                <w:lang w:eastAsia="zh-CN"/>
              </w:rPr>
              <w:t>克孜勒苏柯尔克孜自治州红十字会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6D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06E4F">
            <w:pPr>
              <w:jc w:val="center"/>
            </w:pPr>
            <w:r>
              <w:rPr>
                <w:rFonts w:ascii="宋体" w:hAnsi="宋体" w:eastAsia="宋体"/>
                <w:sz w:val="16"/>
              </w:rPr>
              <w:t>克孜勒苏柯尔克孜自治州红十字会</w:t>
            </w:r>
          </w:p>
        </w:tc>
      </w:tr>
      <w:tr w14:paraId="6077A3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8D1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EEE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0A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A5E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1B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80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F2E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1A15">
            <w:pPr>
              <w:jc w:val="center"/>
            </w:pPr>
            <w:r>
              <w:rPr>
                <w:rFonts w:ascii="宋体" w:hAnsi="宋体" w:eastAsia="宋体"/>
                <w:sz w:val="16"/>
              </w:rPr>
              <w:t>得分</w:t>
            </w:r>
          </w:p>
        </w:tc>
      </w:tr>
      <w:tr w14:paraId="44DFE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106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1CE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E07DB">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7C2D">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7F06B">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6E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B5B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E842">
            <w:pPr>
              <w:jc w:val="center"/>
            </w:pPr>
            <w:r>
              <w:rPr>
                <w:rFonts w:ascii="宋体" w:hAnsi="宋体" w:eastAsia="宋体"/>
                <w:sz w:val="16"/>
              </w:rPr>
              <w:t>10.00分</w:t>
            </w:r>
          </w:p>
        </w:tc>
      </w:tr>
      <w:tr w14:paraId="1EE63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46B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4D0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04341">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85EA">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721A8">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38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46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6CD">
            <w:pPr>
              <w:jc w:val="center"/>
            </w:pPr>
            <w:r>
              <w:rPr>
                <w:rFonts w:ascii="宋体" w:hAnsi="宋体" w:eastAsia="宋体"/>
                <w:sz w:val="16"/>
              </w:rPr>
              <w:t>—</w:t>
            </w:r>
          </w:p>
        </w:tc>
      </w:tr>
      <w:tr w14:paraId="720BC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DA6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E49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69E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87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E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65E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EE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0CAB">
            <w:pPr>
              <w:jc w:val="center"/>
            </w:pPr>
            <w:r>
              <w:rPr>
                <w:rFonts w:ascii="宋体" w:hAnsi="宋体" w:eastAsia="宋体"/>
                <w:sz w:val="16"/>
              </w:rPr>
              <w:t>—</w:t>
            </w:r>
          </w:p>
        </w:tc>
      </w:tr>
      <w:tr w14:paraId="2B3AED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B6E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898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2B710">
            <w:pPr>
              <w:jc w:val="center"/>
            </w:pPr>
            <w:r>
              <w:rPr>
                <w:rFonts w:ascii="宋体" w:hAnsi="宋体" w:eastAsia="宋体"/>
                <w:sz w:val="16"/>
              </w:rPr>
              <w:t>实际完成情况</w:t>
            </w:r>
          </w:p>
        </w:tc>
      </w:tr>
      <w:tr w14:paraId="66DD7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84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EDEBC">
            <w:pPr>
              <w:jc w:val="both"/>
            </w:pPr>
            <w:r>
              <w:rPr>
                <w:rFonts w:ascii="宋体" w:hAnsi="宋体" w:eastAsia="宋体"/>
                <w:sz w:val="16"/>
              </w:rPr>
              <w:t>2024年</w:t>
            </w:r>
            <w:r>
              <w:rPr>
                <w:rFonts w:hint="eastAsia" w:ascii="宋体" w:hAnsi="宋体"/>
                <w:sz w:val="16"/>
                <w:lang w:eastAsia="zh-CN"/>
              </w:rPr>
              <w:t>克孜勒苏柯尔克孜自治州红十字会</w:t>
            </w:r>
            <w:r>
              <w:rPr>
                <w:rFonts w:ascii="宋体" w:hAnsi="宋体" w:eastAsia="宋体"/>
                <w:sz w:val="16"/>
              </w:rPr>
              <w:t>工作，依据《中华人民共和国国民经济和社会发展第十四个五年规划和2035年远景目标纲要》《中华人民共和国红十字会法》和《中国红十字事业发展规划纲要(2020- -2024年 )》及</w:t>
            </w:r>
            <w:r>
              <w:rPr>
                <w:rFonts w:hint="eastAsia" w:ascii="宋体" w:hAnsi="宋体"/>
                <w:sz w:val="16"/>
                <w:lang w:eastAsia="zh-CN"/>
              </w:rPr>
              <w:t>克孜勒苏柯尔克孜自治州红十字会</w:t>
            </w:r>
            <w:r>
              <w:rPr>
                <w:rFonts w:ascii="宋体" w:hAnsi="宋体" w:eastAsia="宋体"/>
                <w:sz w:val="16"/>
              </w:rPr>
              <w:t>行业发展需要，要充分发挥红十字会自身优势，统筹推进六项核心业务，积极推进应急救护培训、人道救助、志愿服务、红十字青少年工作，充分发挥党和政府在人道领域的助手和联系群众的桥梁和纽带作用。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A7AC3">
            <w:pPr>
              <w:jc w:val="both"/>
            </w:pPr>
            <w:r>
              <w:rPr>
                <w:rFonts w:ascii="宋体" w:hAnsi="宋体" w:eastAsia="宋体"/>
                <w:sz w:val="16"/>
              </w:rPr>
              <w:t>截至2024年12月31日，已完成开展业务工作宣传培训次数5次，审计捐赠账户1次，运送发放的救助、救灾物资3次，统筹推进六项核心业务，积极推进应急救护培训、人道救助、志愿服务、红十字青少年工作，充分发挥党和政府在人道领域的助手和联系群众的桥梁和纽带作用。</w:t>
            </w:r>
          </w:p>
        </w:tc>
      </w:tr>
      <w:tr w14:paraId="442B3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9D7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CD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05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5A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56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F6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97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79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22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BC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1F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D4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0A4E">
            <w:pPr>
              <w:jc w:val="center"/>
            </w:pPr>
            <w:r>
              <w:rPr>
                <w:rFonts w:ascii="宋体" w:hAnsi="宋体" w:eastAsia="宋体"/>
                <w:sz w:val="16"/>
              </w:rPr>
              <w:t>偏差原因分析及改进措施</w:t>
            </w:r>
          </w:p>
        </w:tc>
      </w:tr>
      <w:tr w14:paraId="62719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A80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E68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CD2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3742">
            <w:pPr>
              <w:jc w:val="center"/>
            </w:pPr>
            <w:r>
              <w:rPr>
                <w:rFonts w:ascii="宋体" w:hAnsi="宋体" w:eastAsia="宋体"/>
                <w:sz w:val="16"/>
              </w:rPr>
              <w:t>运送发放的救助、救灾物资（次）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38E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9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C0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57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C5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A4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EFF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B1F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E29DF">
            <w:pPr>
              <w:jc w:val="center"/>
            </w:pPr>
          </w:p>
        </w:tc>
      </w:tr>
      <w:tr w14:paraId="104A3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8B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34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23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94BD">
            <w:pPr>
              <w:jc w:val="center"/>
            </w:pPr>
            <w:r>
              <w:rPr>
                <w:rFonts w:ascii="宋体" w:hAnsi="宋体" w:eastAsia="宋体"/>
                <w:sz w:val="16"/>
              </w:rPr>
              <w:t>审计捐赠账户（次）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616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7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CF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2C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7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D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C47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88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465A8">
            <w:pPr>
              <w:jc w:val="center"/>
            </w:pPr>
          </w:p>
        </w:tc>
      </w:tr>
      <w:tr w14:paraId="1CE15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84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C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CF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8EBF">
            <w:pPr>
              <w:jc w:val="center"/>
            </w:pPr>
            <w:r>
              <w:rPr>
                <w:rFonts w:ascii="宋体" w:hAnsi="宋体" w:eastAsia="宋体"/>
                <w:sz w:val="16"/>
              </w:rPr>
              <w:t>开展业务工作宣传培训次数（次）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CAA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9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53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AD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1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B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FB1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78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DD10">
            <w:pPr>
              <w:jc w:val="center"/>
            </w:pPr>
          </w:p>
        </w:tc>
      </w:tr>
      <w:tr w14:paraId="238FA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D46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3D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C8E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2A25">
            <w:pPr>
              <w:jc w:val="center"/>
            </w:pPr>
            <w:r>
              <w:rPr>
                <w:rFonts w:ascii="宋体" w:hAnsi="宋体" w:eastAsia="宋体"/>
                <w:sz w:val="16"/>
              </w:rPr>
              <w:t>救灾救助物资完好无损率（%）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25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0C4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B9A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DD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0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B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4F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E2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84D2B">
            <w:pPr>
              <w:jc w:val="center"/>
            </w:pPr>
          </w:p>
        </w:tc>
      </w:tr>
      <w:tr w14:paraId="332C2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73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A0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0B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C1DE">
            <w:pPr>
              <w:jc w:val="center"/>
            </w:pPr>
            <w:r>
              <w:rPr>
                <w:rFonts w:ascii="宋体" w:hAnsi="宋体" w:eastAsia="宋体"/>
                <w:sz w:val="16"/>
              </w:rPr>
              <w:t>宣传培训群众参与率（%）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0F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2E9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6B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54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9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0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A4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4D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F63D">
            <w:pPr>
              <w:jc w:val="center"/>
            </w:pPr>
          </w:p>
        </w:tc>
      </w:tr>
      <w:tr w14:paraId="4A2FA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B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4DB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C92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D7A1">
            <w:pPr>
              <w:jc w:val="center"/>
            </w:pPr>
            <w:r>
              <w:rPr>
                <w:rFonts w:ascii="宋体" w:hAnsi="宋体" w:eastAsia="宋体"/>
                <w:sz w:val="16"/>
              </w:rPr>
              <w:t>物资运送及时率（%）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2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3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7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3B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4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B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8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70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EB8F">
            <w:pPr>
              <w:jc w:val="center"/>
            </w:pPr>
          </w:p>
        </w:tc>
      </w:tr>
      <w:tr w14:paraId="2331F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78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E0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1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ADBF">
            <w:pPr>
              <w:jc w:val="center"/>
            </w:pPr>
            <w:r>
              <w:rPr>
                <w:rFonts w:ascii="宋体" w:hAnsi="宋体" w:eastAsia="宋体"/>
                <w:sz w:val="16"/>
              </w:rPr>
              <w:t>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B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D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4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6C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D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13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1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F6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618A0">
            <w:pPr>
              <w:jc w:val="center"/>
            </w:pPr>
          </w:p>
        </w:tc>
      </w:tr>
      <w:tr w14:paraId="2E88B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8B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7C8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5E3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F44E">
            <w:pPr>
              <w:jc w:val="center"/>
            </w:pPr>
            <w:r>
              <w:rPr>
                <w:rFonts w:ascii="宋体" w:hAnsi="宋体" w:eastAsia="宋体"/>
                <w:sz w:val="16"/>
              </w:rPr>
              <w:t>平均每次运送发放的救助、救灾物资费用（万元/次）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8AC7">
            <w:pPr>
              <w:jc w:val="center"/>
            </w:pPr>
            <w:r>
              <w:rPr>
                <w:rFonts w:ascii="宋体" w:hAnsi="宋体" w:eastAsia="宋体"/>
                <w:sz w:val="16"/>
              </w:rPr>
              <w:t>&lt;=0.20万/次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2F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1F8D">
            <w:pPr>
              <w:jc w:val="center"/>
            </w:pPr>
            <w:r>
              <w:rPr>
                <w:rFonts w:ascii="宋体" w:hAnsi="宋体" w:eastAsia="宋体"/>
                <w:sz w:val="16"/>
              </w:rPr>
              <w:t>0.10万元/次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DB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F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3E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B2FD">
            <w:pPr>
              <w:jc w:val="center"/>
            </w:pPr>
            <w:r>
              <w:rPr>
                <w:rFonts w:ascii="宋体" w:hAnsi="宋体" w:eastAsia="宋体"/>
                <w:sz w:val="16"/>
              </w:rPr>
              <w:t>=0.2万/次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9FB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7E0A4">
            <w:pPr>
              <w:jc w:val="center"/>
            </w:pPr>
          </w:p>
        </w:tc>
      </w:tr>
      <w:tr w14:paraId="73CA5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B3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9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9F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1EB2">
            <w:pPr>
              <w:jc w:val="center"/>
            </w:pPr>
            <w:r>
              <w:rPr>
                <w:rFonts w:ascii="宋体" w:hAnsi="宋体" w:eastAsia="宋体"/>
                <w:sz w:val="16"/>
              </w:rPr>
              <w:t>审计捐赠账户的费用（万元/次）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D1D2">
            <w:pPr>
              <w:jc w:val="center"/>
            </w:pPr>
            <w:r>
              <w:rPr>
                <w:rFonts w:ascii="宋体" w:hAnsi="宋体" w:eastAsia="宋体"/>
                <w:sz w:val="16"/>
              </w:rPr>
              <w:t>&lt;=0.50万元/次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6E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A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A1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E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D8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AC76">
            <w:pPr>
              <w:jc w:val="center"/>
            </w:pPr>
            <w:r>
              <w:rPr>
                <w:rFonts w:ascii="宋体" w:hAnsi="宋体" w:eastAsia="宋体"/>
                <w:sz w:val="16"/>
              </w:rPr>
              <w:t>=0.5万元/次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61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B73B">
            <w:pPr>
              <w:jc w:val="center"/>
            </w:pPr>
          </w:p>
        </w:tc>
      </w:tr>
      <w:tr w14:paraId="61775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DF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38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2C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D074">
            <w:pPr>
              <w:jc w:val="center"/>
            </w:pPr>
            <w:r>
              <w:rPr>
                <w:rFonts w:ascii="宋体" w:hAnsi="宋体" w:eastAsia="宋体"/>
                <w:sz w:val="16"/>
              </w:rPr>
              <w:t>平均每次开展宣传培训的费用（元/次）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D272">
            <w:pPr>
              <w:jc w:val="center"/>
            </w:pPr>
            <w:r>
              <w:rPr>
                <w:rFonts w:ascii="宋体" w:hAnsi="宋体" w:eastAsia="宋体"/>
                <w:sz w:val="16"/>
              </w:rPr>
              <w:t>&lt;=0.48万元/次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0C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97D5">
            <w:pPr>
              <w:jc w:val="center"/>
            </w:pPr>
            <w:r>
              <w:rPr>
                <w:rFonts w:ascii="宋体" w:hAnsi="宋体" w:eastAsia="宋体"/>
                <w:sz w:val="16"/>
              </w:rPr>
              <w:t>2040元/次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2B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B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AC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2487">
            <w:pPr>
              <w:jc w:val="center"/>
            </w:pPr>
            <w:r>
              <w:rPr>
                <w:rFonts w:ascii="宋体" w:hAnsi="宋体" w:eastAsia="宋体"/>
                <w:sz w:val="16"/>
              </w:rPr>
              <w:t>=0.48万元/次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814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6444E">
            <w:pPr>
              <w:jc w:val="center"/>
            </w:pPr>
          </w:p>
        </w:tc>
      </w:tr>
      <w:tr w14:paraId="53EC7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03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3D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BB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EABA">
            <w:pPr>
              <w:jc w:val="center"/>
            </w:pPr>
            <w:r>
              <w:rPr>
                <w:rFonts w:ascii="宋体" w:hAnsi="宋体" w:eastAsia="宋体"/>
                <w:sz w:val="16"/>
              </w:rPr>
              <w:t>提高红十字知识知晓率(%)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05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0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B7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37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D9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48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52B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E4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F087F">
            <w:pPr>
              <w:jc w:val="center"/>
            </w:pPr>
          </w:p>
        </w:tc>
      </w:tr>
      <w:tr w14:paraId="2BFD2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2FA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DC01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DF9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A0F4">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C0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1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20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A5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09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9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F3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70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C53E1">
            <w:pPr>
              <w:jc w:val="center"/>
            </w:pPr>
          </w:p>
        </w:tc>
      </w:tr>
      <w:tr w14:paraId="4F34E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8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0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E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DDF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20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92A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F8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88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AB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0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FB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CF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561B7">
            <w:pPr>
              <w:jc w:val="center"/>
            </w:pPr>
          </w:p>
        </w:tc>
      </w:tr>
      <w:tr w14:paraId="293FCD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881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E8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D89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3F6264">
            <w:pPr>
              <w:jc w:val="center"/>
            </w:pPr>
            <w:r>
              <w:rPr>
                <w:rFonts w:ascii="宋体" w:hAnsi="宋体" w:eastAsia="宋体"/>
                <w:sz w:val="16"/>
              </w:rPr>
              <w:t>100分</w:t>
            </w:r>
          </w:p>
        </w:tc>
      </w:tr>
    </w:tbl>
    <w:p w14:paraId="549C68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02714BE">
        <w:tblPrEx>
          <w:tblCellMar>
            <w:top w:w="0" w:type="dxa"/>
            <w:left w:w="108" w:type="dxa"/>
            <w:bottom w:w="0" w:type="dxa"/>
            <w:right w:w="108" w:type="dxa"/>
          </w:tblCellMar>
        </w:tblPrEx>
        <w:tc>
          <w:tcPr>
            <w:tcW w:w="8848" w:type="dxa"/>
            <w:gridSpan w:val="14"/>
            <w:vAlign w:val="center"/>
          </w:tcPr>
          <w:p w14:paraId="0D933272">
            <w:pPr>
              <w:jc w:val="center"/>
            </w:pPr>
            <w:r>
              <w:rPr>
                <w:rFonts w:ascii="宋体" w:hAnsi="宋体" w:eastAsia="宋体"/>
                <w:sz w:val="24"/>
              </w:rPr>
              <w:t>项目支出绩效自评表</w:t>
            </w:r>
          </w:p>
        </w:tc>
      </w:tr>
      <w:tr w14:paraId="3D76A67A">
        <w:tblPrEx>
          <w:tblCellMar>
            <w:top w:w="0" w:type="dxa"/>
            <w:left w:w="108" w:type="dxa"/>
            <w:bottom w:w="0" w:type="dxa"/>
            <w:right w:w="108" w:type="dxa"/>
          </w:tblCellMar>
        </w:tblPrEx>
        <w:tc>
          <w:tcPr>
            <w:tcW w:w="8848" w:type="dxa"/>
            <w:gridSpan w:val="14"/>
            <w:vAlign w:val="center"/>
          </w:tcPr>
          <w:p w14:paraId="2103F3AE">
            <w:pPr>
              <w:jc w:val="center"/>
            </w:pPr>
            <w:r>
              <w:rPr>
                <w:rFonts w:ascii="宋体" w:hAnsi="宋体" w:eastAsia="宋体"/>
                <w:sz w:val="24"/>
              </w:rPr>
              <w:t>(2024年度)</w:t>
            </w:r>
          </w:p>
        </w:tc>
      </w:tr>
      <w:tr w14:paraId="295FF2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D5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E9AAEE">
            <w:pPr>
              <w:jc w:val="center"/>
            </w:pPr>
            <w:r>
              <w:rPr>
                <w:rFonts w:ascii="宋体" w:hAnsi="宋体" w:eastAsia="宋体"/>
                <w:sz w:val="16"/>
              </w:rPr>
              <w:t>单位资金其他收入</w:t>
            </w:r>
          </w:p>
        </w:tc>
      </w:tr>
      <w:tr w14:paraId="18355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3A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2C665">
            <w:pPr>
              <w:jc w:val="center"/>
              <w:rPr>
                <w:rFonts w:hint="eastAsia" w:eastAsia="宋体"/>
                <w:lang w:eastAsia="zh-CN"/>
              </w:rPr>
            </w:pPr>
            <w:r>
              <w:rPr>
                <w:rFonts w:hint="eastAsia" w:ascii="宋体" w:hAnsi="宋体"/>
                <w:sz w:val="16"/>
                <w:lang w:eastAsia="zh-CN"/>
              </w:rPr>
              <w:t>克孜勒苏柯尔克孜自治州红十字会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97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0FC1C">
            <w:pPr>
              <w:jc w:val="center"/>
            </w:pPr>
            <w:r>
              <w:rPr>
                <w:rFonts w:ascii="宋体" w:hAnsi="宋体" w:eastAsia="宋体"/>
                <w:sz w:val="16"/>
              </w:rPr>
              <w:t>克孜勒苏柯尔克孜自治州红十字会</w:t>
            </w:r>
          </w:p>
        </w:tc>
      </w:tr>
      <w:tr w14:paraId="0A64F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67A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82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4D9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02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4C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CBD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5EF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74B5">
            <w:pPr>
              <w:jc w:val="center"/>
            </w:pPr>
            <w:r>
              <w:rPr>
                <w:rFonts w:ascii="宋体" w:hAnsi="宋体" w:eastAsia="宋体"/>
                <w:sz w:val="16"/>
              </w:rPr>
              <w:t>得分</w:t>
            </w:r>
          </w:p>
        </w:tc>
      </w:tr>
      <w:tr w14:paraId="394A0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36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E17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AB0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6F9B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81090">
            <w:pPr>
              <w:jc w:val="center"/>
            </w:pPr>
            <w:r>
              <w:rPr>
                <w:rFonts w:ascii="宋体" w:hAnsi="宋体" w:eastAsia="宋体"/>
                <w:sz w:val="16"/>
              </w:rPr>
              <w:t>54.47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B1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D390">
            <w:pPr>
              <w:jc w:val="center"/>
            </w:pPr>
            <w:r>
              <w:rPr>
                <w:rFonts w:ascii="宋体" w:hAnsi="宋体" w:eastAsia="宋体"/>
                <w:sz w:val="16"/>
              </w:rPr>
              <w:t>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BDA5">
            <w:pPr>
              <w:jc w:val="center"/>
            </w:pPr>
            <w:r>
              <w:rPr>
                <w:rFonts w:ascii="宋体" w:hAnsi="宋体" w:eastAsia="宋体"/>
                <w:sz w:val="16"/>
              </w:rPr>
              <w:t>7.70分</w:t>
            </w:r>
          </w:p>
        </w:tc>
      </w:tr>
      <w:tr w14:paraId="48B90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848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F7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CD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C9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1DA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7B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224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9E16">
            <w:pPr>
              <w:jc w:val="center"/>
            </w:pPr>
            <w:r>
              <w:rPr>
                <w:rFonts w:ascii="宋体" w:hAnsi="宋体" w:eastAsia="宋体"/>
                <w:sz w:val="16"/>
              </w:rPr>
              <w:t>—</w:t>
            </w:r>
          </w:p>
        </w:tc>
      </w:tr>
      <w:tr w14:paraId="52DF2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EC3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4D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65A0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ACB6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65DC6">
            <w:pPr>
              <w:jc w:val="center"/>
            </w:pPr>
            <w:r>
              <w:rPr>
                <w:rFonts w:ascii="宋体" w:hAnsi="宋体" w:eastAsia="宋体"/>
                <w:sz w:val="16"/>
              </w:rPr>
              <w:t>54.47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80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3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08A0">
            <w:pPr>
              <w:jc w:val="center"/>
            </w:pPr>
            <w:r>
              <w:rPr>
                <w:rFonts w:ascii="宋体" w:hAnsi="宋体" w:eastAsia="宋体"/>
                <w:sz w:val="16"/>
              </w:rPr>
              <w:t>—</w:t>
            </w:r>
          </w:p>
        </w:tc>
      </w:tr>
      <w:tr w14:paraId="162A4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6BF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C3B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A4C33">
            <w:pPr>
              <w:jc w:val="center"/>
            </w:pPr>
            <w:r>
              <w:rPr>
                <w:rFonts w:ascii="宋体" w:hAnsi="宋体" w:eastAsia="宋体"/>
                <w:sz w:val="16"/>
              </w:rPr>
              <w:t>实际完成情况</w:t>
            </w:r>
          </w:p>
        </w:tc>
      </w:tr>
      <w:tr w14:paraId="2CE32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D75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450E0">
            <w:pPr>
              <w:jc w:val="both"/>
            </w:pPr>
            <w:r>
              <w:rPr>
                <w:rFonts w:ascii="宋体" w:hAnsi="宋体" w:eastAsia="宋体"/>
                <w:sz w:val="16"/>
              </w:rPr>
              <w:t>该项目资金投入总额为60.00万元，其中：财政资金0万元，</w:t>
            </w:r>
            <w:r>
              <w:rPr>
                <w:rFonts w:hint="eastAsia" w:ascii="宋体" w:hAnsi="宋体"/>
                <w:sz w:val="16"/>
                <w:lang w:eastAsia="zh-CN"/>
              </w:rPr>
              <w:t>其他</w:t>
            </w:r>
            <w:r>
              <w:rPr>
                <w:rFonts w:ascii="宋体" w:hAnsi="宋体" w:eastAsia="宋体"/>
                <w:sz w:val="16"/>
              </w:rPr>
              <w:t>资金60.00万元。2024年</w:t>
            </w:r>
            <w:r>
              <w:rPr>
                <w:rFonts w:hint="eastAsia" w:ascii="宋体" w:hAnsi="宋体"/>
                <w:sz w:val="16"/>
                <w:lang w:eastAsia="zh-CN"/>
              </w:rPr>
              <w:t>克孜勒苏柯尔克孜自治州红十字会</w:t>
            </w:r>
            <w:r>
              <w:rPr>
                <w:rFonts w:ascii="宋体" w:hAnsi="宋体" w:eastAsia="宋体"/>
                <w:sz w:val="16"/>
              </w:rPr>
              <w:t>工作，依据《中华人民共和国国民经济和社会发展第十四个五年规划和2035年远景目标纲要》《中华人民共和国红十字会法》和《中国红十字事业发展规划纲要(2020- -2024年 )》及</w:t>
            </w:r>
            <w:r>
              <w:rPr>
                <w:rFonts w:hint="eastAsia" w:ascii="宋体" w:hAnsi="宋体"/>
                <w:sz w:val="16"/>
                <w:lang w:eastAsia="zh-CN"/>
              </w:rPr>
              <w:t>克孜勒苏柯尔克孜自治州红十字会</w:t>
            </w:r>
            <w:r>
              <w:rPr>
                <w:rFonts w:ascii="宋体" w:hAnsi="宋体" w:eastAsia="宋体"/>
                <w:sz w:val="16"/>
              </w:rPr>
              <w:t>行业发展需要，要充分发挥红十字会自身优势，统筹推进六项核心业务，积极推进应急救护培训、人道救助、志愿服务、红十字青少年工作，充分发挥党和政府在人道领域的助手和联系群众的桥梁和纽带作用。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A45BF4">
            <w:pPr>
              <w:jc w:val="both"/>
            </w:pPr>
            <w:r>
              <w:rPr>
                <w:rFonts w:ascii="宋体" w:hAnsi="宋体" w:eastAsia="宋体"/>
                <w:sz w:val="16"/>
              </w:rPr>
              <w:t>截至2024年12月31日，已完成购置生命健康安全体验室1个，开展业务工作宣传培训20次，购置博爱校医室1个，统筹推进六项核心业务，积极推进应急救护培训、人道救助、志愿服务、红十字青少年工作，充分发挥党和政府在人道领域的助手和联系群众的桥梁和纽带作用。</w:t>
            </w:r>
          </w:p>
        </w:tc>
      </w:tr>
      <w:tr w14:paraId="7310DB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C70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D6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A7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E1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3A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97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34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3A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73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20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3A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9B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0A2B">
            <w:pPr>
              <w:jc w:val="center"/>
            </w:pPr>
            <w:r>
              <w:rPr>
                <w:rFonts w:ascii="宋体" w:hAnsi="宋体" w:eastAsia="宋体"/>
                <w:sz w:val="16"/>
              </w:rPr>
              <w:t>偏差原因分析及改进措施</w:t>
            </w:r>
          </w:p>
        </w:tc>
      </w:tr>
      <w:tr w14:paraId="110D3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FDA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AB1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E4A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4F3D">
            <w:pPr>
              <w:jc w:val="center"/>
            </w:pPr>
            <w:r>
              <w:rPr>
                <w:rFonts w:ascii="宋体" w:hAnsi="宋体" w:eastAsia="宋体"/>
                <w:sz w:val="16"/>
              </w:rPr>
              <w:t>购置生命健康安全体验室设备（套）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923D">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1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41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C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2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0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2D6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C3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5A676">
            <w:pPr>
              <w:jc w:val="center"/>
            </w:pPr>
          </w:p>
        </w:tc>
      </w:tr>
      <w:tr w14:paraId="1C258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0E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45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BD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4628">
            <w:pPr>
              <w:jc w:val="center"/>
            </w:pPr>
            <w:r>
              <w:rPr>
                <w:rFonts w:ascii="宋体" w:hAnsi="宋体" w:eastAsia="宋体"/>
                <w:sz w:val="16"/>
              </w:rPr>
              <w:t>开展业务工作宣传培训次数（次）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E58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B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4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D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F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6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6B70">
            <w:pPr>
              <w:jc w:val="center"/>
            </w:pPr>
            <w:r>
              <w:rPr>
                <w:rFonts w:ascii="宋体" w:hAnsi="宋体" w:eastAsia="宋体"/>
                <w:sz w:val="16"/>
              </w:rPr>
              <w:t>=29次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C76D">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FF3A5">
            <w:pPr>
              <w:jc w:val="center"/>
            </w:pPr>
            <w:r>
              <w:rPr>
                <w:rFonts w:ascii="宋体" w:hAnsi="宋体" w:eastAsia="宋体"/>
                <w:sz w:val="16"/>
              </w:rPr>
              <w:t>偏差原因：预算设置不合理。改进措施：精准预算目标设置。</w:t>
            </w:r>
          </w:p>
        </w:tc>
      </w:tr>
      <w:tr w14:paraId="07A75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2A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0C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9A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9A32">
            <w:pPr>
              <w:jc w:val="center"/>
            </w:pPr>
            <w:r>
              <w:rPr>
                <w:rFonts w:ascii="宋体" w:hAnsi="宋体" w:eastAsia="宋体"/>
                <w:sz w:val="16"/>
              </w:rPr>
              <w:t>购置博爱校医设备（套）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3FA5">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F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37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B4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1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C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D51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BD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6322">
            <w:pPr>
              <w:jc w:val="center"/>
            </w:pPr>
          </w:p>
        </w:tc>
      </w:tr>
      <w:tr w14:paraId="325F6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A5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23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39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263E">
            <w:pPr>
              <w:jc w:val="center"/>
            </w:pPr>
            <w:r>
              <w:rPr>
                <w:rFonts w:ascii="宋体" w:hAnsi="宋体" w:eastAsia="宋体"/>
                <w:sz w:val="16"/>
              </w:rPr>
              <w:t>购置应急救护培训室设备（套）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1D1A">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7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D1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04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A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8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CD1C">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B2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6ABA">
            <w:pPr>
              <w:jc w:val="center"/>
            </w:pPr>
            <w:r>
              <w:rPr>
                <w:rFonts w:ascii="宋体" w:hAnsi="宋体" w:eastAsia="宋体"/>
                <w:sz w:val="16"/>
              </w:rPr>
              <w:t>偏差原因：预算设置不合理。改进措施：精准预算目标设置。</w:t>
            </w:r>
          </w:p>
        </w:tc>
      </w:tr>
      <w:tr w14:paraId="0CC2B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9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5F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D06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BCE3">
            <w:pPr>
              <w:jc w:val="center"/>
            </w:pPr>
            <w:r>
              <w:rPr>
                <w:rFonts w:ascii="宋体" w:hAnsi="宋体" w:eastAsia="宋体"/>
                <w:sz w:val="16"/>
              </w:rPr>
              <w:t>购置设备验收合格率（%）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5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2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F8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BB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8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E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0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6C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8144">
            <w:pPr>
              <w:jc w:val="center"/>
            </w:pPr>
          </w:p>
        </w:tc>
      </w:tr>
      <w:tr w14:paraId="73922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1B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C9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2F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FF3B">
            <w:pPr>
              <w:jc w:val="center"/>
            </w:pPr>
            <w:r>
              <w:rPr>
                <w:rFonts w:ascii="宋体" w:hAnsi="宋体" w:eastAsia="宋体"/>
                <w:sz w:val="16"/>
              </w:rPr>
              <w:t>宣传培训群众参与率（%）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70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0DB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52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8C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A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A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3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09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4957">
            <w:pPr>
              <w:jc w:val="center"/>
            </w:pPr>
          </w:p>
        </w:tc>
      </w:tr>
      <w:tr w14:paraId="76DC1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B4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9CD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B19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9DCF">
            <w:pPr>
              <w:jc w:val="center"/>
            </w:pPr>
            <w:r>
              <w:rPr>
                <w:rFonts w:ascii="宋体" w:hAnsi="宋体" w:eastAsia="宋体"/>
                <w:sz w:val="16"/>
              </w:rPr>
              <w:t>购置设备及时率（%）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00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0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A2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0A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4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8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6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4D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4ACF">
            <w:pPr>
              <w:jc w:val="center"/>
            </w:pPr>
          </w:p>
        </w:tc>
      </w:tr>
      <w:tr w14:paraId="78934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2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E8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8C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2856">
            <w:pPr>
              <w:jc w:val="center"/>
            </w:pPr>
            <w:r>
              <w:rPr>
                <w:rFonts w:ascii="宋体" w:hAnsi="宋体" w:eastAsia="宋体"/>
                <w:sz w:val="16"/>
              </w:rPr>
              <w:t>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4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2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0F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F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4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6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2C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94B4">
            <w:pPr>
              <w:jc w:val="center"/>
            </w:pPr>
          </w:p>
        </w:tc>
      </w:tr>
      <w:tr w14:paraId="13E8E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2A2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A2A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D5F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D091">
            <w:pPr>
              <w:jc w:val="center"/>
            </w:pPr>
            <w:r>
              <w:rPr>
                <w:rFonts w:ascii="宋体" w:hAnsi="宋体" w:eastAsia="宋体"/>
                <w:sz w:val="16"/>
              </w:rPr>
              <w:t>平均每次开展宣传培训的费用（元/次）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3DC2">
            <w:pPr>
              <w:jc w:val="center"/>
            </w:pPr>
            <w:r>
              <w:rPr>
                <w:rFonts w:ascii="宋体" w:hAnsi="宋体" w:eastAsia="宋体"/>
                <w:sz w:val="16"/>
              </w:rPr>
              <w:t>&lt;=0.50万元/次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93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61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F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8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17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3A04">
            <w:pPr>
              <w:jc w:val="center"/>
            </w:pPr>
            <w:r>
              <w:rPr>
                <w:rFonts w:ascii="宋体" w:hAnsi="宋体" w:eastAsia="宋体"/>
                <w:sz w:val="16"/>
              </w:rPr>
              <w:t>=0.5万元/次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1C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91E69">
            <w:pPr>
              <w:jc w:val="center"/>
            </w:pPr>
            <w:r>
              <w:rPr>
                <w:rFonts w:ascii="宋体" w:hAnsi="宋体" w:eastAsia="宋体"/>
                <w:sz w:val="16"/>
              </w:rPr>
              <w:t>偏差原因：预算设置不合理。改进措施：精准预算目标设置。</w:t>
            </w:r>
          </w:p>
        </w:tc>
      </w:tr>
      <w:tr w14:paraId="45BF2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2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6A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53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A476">
            <w:pPr>
              <w:jc w:val="center"/>
            </w:pPr>
            <w:r>
              <w:rPr>
                <w:rFonts w:ascii="宋体" w:hAnsi="宋体" w:eastAsia="宋体"/>
                <w:sz w:val="16"/>
              </w:rPr>
              <w:t>购置应急救护培训室设备（万元/套）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C873">
            <w:pPr>
              <w:jc w:val="center"/>
            </w:pPr>
            <w:r>
              <w:rPr>
                <w:rFonts w:ascii="宋体" w:hAnsi="宋体" w:eastAsia="宋体"/>
                <w:sz w:val="16"/>
              </w:rPr>
              <w:t>&lt;=10万元/个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12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4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A4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F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48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D94F">
            <w:pPr>
              <w:jc w:val="center"/>
            </w:pPr>
            <w:r>
              <w:rPr>
                <w:rFonts w:ascii="宋体" w:hAnsi="宋体" w:eastAsia="宋体"/>
                <w:sz w:val="16"/>
              </w:rPr>
              <w:t>=0万元/个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8B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71AA">
            <w:pPr>
              <w:jc w:val="center"/>
            </w:pPr>
            <w:r>
              <w:rPr>
                <w:rFonts w:ascii="宋体" w:hAnsi="宋体" w:eastAsia="宋体"/>
                <w:sz w:val="16"/>
              </w:rPr>
              <w:t>偏差原因：预算设置不合理。改进措施：精准预算目标设置。</w:t>
            </w:r>
          </w:p>
        </w:tc>
      </w:tr>
      <w:tr w14:paraId="06E92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1B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CD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E0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40E5">
            <w:pPr>
              <w:jc w:val="center"/>
            </w:pPr>
            <w:r>
              <w:rPr>
                <w:rFonts w:ascii="宋体" w:hAnsi="宋体" w:eastAsia="宋体"/>
                <w:sz w:val="16"/>
              </w:rPr>
              <w:t>购置生命健康体验室设备（万元/套）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5653">
            <w:pPr>
              <w:jc w:val="center"/>
            </w:pPr>
            <w:r>
              <w:rPr>
                <w:rFonts w:ascii="宋体" w:hAnsi="宋体" w:eastAsia="宋体"/>
                <w:sz w:val="16"/>
              </w:rPr>
              <w:t>&lt;=30（万元/个）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CC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6E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1D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7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C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08FF">
            <w:pPr>
              <w:jc w:val="center"/>
            </w:pPr>
            <w:r>
              <w:rPr>
                <w:rFonts w:ascii="宋体" w:hAnsi="宋体" w:eastAsia="宋体"/>
                <w:sz w:val="16"/>
              </w:rPr>
              <w:t>=30（万元/个）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FE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FC766">
            <w:pPr>
              <w:jc w:val="center"/>
            </w:pPr>
          </w:p>
        </w:tc>
      </w:tr>
      <w:tr w14:paraId="50B2E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F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D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51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4017">
            <w:pPr>
              <w:jc w:val="center"/>
            </w:pPr>
            <w:r>
              <w:rPr>
                <w:rFonts w:ascii="宋体" w:hAnsi="宋体" w:eastAsia="宋体"/>
                <w:sz w:val="16"/>
              </w:rPr>
              <w:t>购置博爱校医室设备（万元/套）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2DA2">
            <w:pPr>
              <w:jc w:val="center"/>
            </w:pPr>
            <w:r>
              <w:rPr>
                <w:rFonts w:ascii="宋体" w:hAnsi="宋体" w:eastAsia="宋体"/>
                <w:sz w:val="16"/>
              </w:rPr>
              <w:t>&lt;=10万元/个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7A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5D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BA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7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16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64C5">
            <w:pPr>
              <w:jc w:val="center"/>
            </w:pPr>
            <w:r>
              <w:rPr>
                <w:rFonts w:ascii="宋体" w:hAnsi="宋体" w:eastAsia="宋体"/>
                <w:sz w:val="16"/>
              </w:rPr>
              <w:t>=10万元/个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2F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D32B2">
            <w:pPr>
              <w:jc w:val="center"/>
            </w:pPr>
          </w:p>
        </w:tc>
      </w:tr>
      <w:tr w14:paraId="7B37E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42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85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19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2073">
            <w:pPr>
              <w:jc w:val="center"/>
            </w:pPr>
            <w:r>
              <w:rPr>
                <w:rFonts w:ascii="宋体" w:hAnsi="宋体" w:eastAsia="宋体"/>
                <w:sz w:val="16"/>
              </w:rPr>
              <w:t>提高红十字知识知晓率(%)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46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1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1D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7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C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E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5BE4">
            <w:pPr>
              <w:jc w:val="center"/>
            </w:pPr>
            <w:r>
              <w:rPr>
                <w:rFonts w:ascii="宋体" w:hAnsi="宋体" w:eastAsia="宋体"/>
                <w:sz w:val="16"/>
              </w:rPr>
              <w:t>17.78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C9C6B">
            <w:pPr>
              <w:jc w:val="center"/>
            </w:pPr>
            <w:r>
              <w:rPr>
                <w:rFonts w:ascii="宋体" w:hAnsi="宋体" w:eastAsia="宋体"/>
                <w:sz w:val="16"/>
              </w:rPr>
              <w:t>偏差原因：预算设置不合理。改进措施：精准预算目标设置。</w:t>
            </w:r>
          </w:p>
        </w:tc>
      </w:tr>
      <w:tr w14:paraId="79078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CB5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C5DE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3EF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E0F1">
            <w:pPr>
              <w:jc w:val="center"/>
            </w:pPr>
            <w:r>
              <w:rPr>
                <w:rFonts w:ascii="宋体" w:hAnsi="宋体" w:eastAsia="宋体"/>
                <w:sz w:val="16"/>
              </w:rPr>
              <w:t>受训人员满意度（%）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03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A4C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F8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71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CD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9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74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1C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A41A">
            <w:pPr>
              <w:jc w:val="center"/>
            </w:pPr>
          </w:p>
        </w:tc>
      </w:tr>
      <w:tr w14:paraId="633D6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17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86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1F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F7E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33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9C2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1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71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F5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7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94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73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B7779">
            <w:pPr>
              <w:jc w:val="center"/>
            </w:pPr>
          </w:p>
        </w:tc>
      </w:tr>
      <w:tr w14:paraId="635933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4C4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10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35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84270">
            <w:pPr>
              <w:jc w:val="center"/>
            </w:pPr>
            <w:r>
              <w:rPr>
                <w:rFonts w:ascii="宋体" w:hAnsi="宋体" w:eastAsia="宋体"/>
                <w:sz w:val="16"/>
              </w:rPr>
              <w:t>83.23分</w:t>
            </w:r>
          </w:p>
        </w:tc>
      </w:tr>
    </w:tbl>
    <w:p w14:paraId="0C4697B1">
      <w:r>
        <w:br w:type="page"/>
      </w:r>
    </w:p>
    <w:p w14:paraId="3568B980">
      <w:pPr>
        <w:spacing w:line="640" w:lineRule="exact"/>
        <w:ind w:firstLine="640"/>
        <w:jc w:val="both"/>
        <w:outlineLvl w:val="2"/>
      </w:pPr>
      <w:r>
        <w:rPr>
          <w:rFonts w:ascii="黑体" w:hAnsi="黑体" w:eastAsia="黑体"/>
          <w:sz w:val="32"/>
        </w:rPr>
        <w:t>十二、其他需说明的事项</w:t>
      </w:r>
    </w:p>
    <w:p w14:paraId="2584AED3">
      <w:pPr>
        <w:spacing w:line="580" w:lineRule="exact"/>
        <w:ind w:firstLine="640"/>
        <w:jc w:val="both"/>
      </w:pPr>
      <w:r>
        <w:rPr>
          <w:rFonts w:ascii="仿宋_GB2312" w:hAnsi="仿宋_GB2312" w:eastAsia="仿宋_GB2312"/>
          <w:b w:val="0"/>
          <w:sz w:val="32"/>
        </w:rPr>
        <w:t>本单位无其他需说明的事项。</w:t>
      </w:r>
    </w:p>
    <w:p w14:paraId="72CDE7F5">
      <w:r>
        <w:br w:type="page"/>
      </w:r>
    </w:p>
    <w:p w14:paraId="32E2D9BA">
      <w:pPr>
        <w:spacing w:line="240" w:lineRule="auto"/>
        <w:jc w:val="center"/>
        <w:outlineLvl w:val="1"/>
      </w:pPr>
      <w:r>
        <w:rPr>
          <w:rFonts w:ascii="黑体" w:hAnsi="黑体" w:eastAsia="黑体"/>
          <w:sz w:val="32"/>
        </w:rPr>
        <w:t>第三部分 专业名词解释</w:t>
      </w:r>
    </w:p>
    <w:p w14:paraId="0E193F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78C5E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F03E8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FC5CEB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54D52E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B05B2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D51E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F017D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5CB56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03315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7F1FD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24F95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182F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DEF01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A63996">
      <w:r>
        <w:br w:type="page"/>
      </w:r>
    </w:p>
    <w:p w14:paraId="36897E94">
      <w:pPr>
        <w:spacing w:line="240" w:lineRule="auto"/>
        <w:jc w:val="center"/>
        <w:outlineLvl w:val="1"/>
      </w:pPr>
      <w:r>
        <w:rPr>
          <w:rFonts w:ascii="黑体" w:hAnsi="黑体" w:eastAsia="黑体"/>
          <w:sz w:val="32"/>
        </w:rPr>
        <w:t>第四部分 部门决算报表（见附表）</w:t>
      </w:r>
    </w:p>
    <w:p w14:paraId="3A193218">
      <w:pPr>
        <w:spacing w:line="240" w:lineRule="auto"/>
        <w:ind w:firstLine="640"/>
        <w:jc w:val="both"/>
      </w:pPr>
      <w:r>
        <w:rPr>
          <w:rFonts w:ascii="仿宋_GB2312" w:hAnsi="仿宋_GB2312" w:eastAsia="仿宋_GB2312"/>
          <w:b w:val="0"/>
          <w:sz w:val="32"/>
        </w:rPr>
        <w:t>一、《收入支出决算总表》</w:t>
      </w:r>
    </w:p>
    <w:p w14:paraId="079B7B2E">
      <w:pPr>
        <w:spacing w:line="240" w:lineRule="auto"/>
        <w:ind w:firstLine="640"/>
        <w:jc w:val="both"/>
      </w:pPr>
      <w:r>
        <w:rPr>
          <w:rFonts w:ascii="仿宋_GB2312" w:hAnsi="仿宋_GB2312" w:eastAsia="仿宋_GB2312"/>
          <w:b w:val="0"/>
          <w:sz w:val="32"/>
        </w:rPr>
        <w:t>二、《收入决算表》</w:t>
      </w:r>
    </w:p>
    <w:p w14:paraId="650B2EF9">
      <w:pPr>
        <w:spacing w:line="240" w:lineRule="auto"/>
        <w:ind w:firstLine="640"/>
        <w:jc w:val="both"/>
      </w:pPr>
      <w:r>
        <w:rPr>
          <w:rFonts w:ascii="仿宋_GB2312" w:hAnsi="仿宋_GB2312" w:eastAsia="仿宋_GB2312"/>
          <w:b w:val="0"/>
          <w:sz w:val="32"/>
        </w:rPr>
        <w:t>三、《支出决算表》</w:t>
      </w:r>
    </w:p>
    <w:p w14:paraId="5322372F">
      <w:pPr>
        <w:spacing w:line="240" w:lineRule="auto"/>
        <w:ind w:firstLine="640"/>
        <w:jc w:val="both"/>
      </w:pPr>
      <w:r>
        <w:rPr>
          <w:rFonts w:ascii="仿宋_GB2312" w:hAnsi="仿宋_GB2312" w:eastAsia="仿宋_GB2312"/>
          <w:b w:val="0"/>
          <w:sz w:val="32"/>
        </w:rPr>
        <w:t>四、《财政拨款收入支出决算总表》</w:t>
      </w:r>
    </w:p>
    <w:p w14:paraId="3155C3C2">
      <w:pPr>
        <w:spacing w:line="240" w:lineRule="auto"/>
        <w:ind w:firstLine="640"/>
        <w:jc w:val="both"/>
      </w:pPr>
      <w:r>
        <w:rPr>
          <w:rFonts w:ascii="仿宋_GB2312" w:hAnsi="仿宋_GB2312" w:eastAsia="仿宋_GB2312"/>
          <w:b w:val="0"/>
          <w:sz w:val="32"/>
        </w:rPr>
        <w:t>五、《一般公共预算财政拨款支出决算表》</w:t>
      </w:r>
    </w:p>
    <w:p w14:paraId="0DC64E30">
      <w:pPr>
        <w:spacing w:line="240" w:lineRule="auto"/>
        <w:ind w:firstLine="640"/>
        <w:jc w:val="both"/>
      </w:pPr>
      <w:r>
        <w:rPr>
          <w:rFonts w:ascii="仿宋_GB2312" w:hAnsi="仿宋_GB2312" w:eastAsia="仿宋_GB2312"/>
          <w:b w:val="0"/>
          <w:sz w:val="32"/>
        </w:rPr>
        <w:t>六、《一般公共预算财政拨款基本支出决算表》</w:t>
      </w:r>
    </w:p>
    <w:p w14:paraId="54FBC802">
      <w:pPr>
        <w:spacing w:line="240" w:lineRule="auto"/>
        <w:ind w:firstLine="640"/>
        <w:jc w:val="both"/>
      </w:pPr>
      <w:r>
        <w:rPr>
          <w:rFonts w:ascii="仿宋_GB2312" w:hAnsi="仿宋_GB2312" w:eastAsia="仿宋_GB2312"/>
          <w:b w:val="0"/>
          <w:sz w:val="32"/>
        </w:rPr>
        <w:t>七、《政府性基金预算财政拨款收入支出决算表》</w:t>
      </w:r>
    </w:p>
    <w:p w14:paraId="62FCE665">
      <w:pPr>
        <w:spacing w:line="240" w:lineRule="auto"/>
        <w:ind w:firstLine="640"/>
        <w:jc w:val="both"/>
      </w:pPr>
      <w:r>
        <w:rPr>
          <w:rFonts w:ascii="仿宋_GB2312" w:hAnsi="仿宋_GB2312" w:eastAsia="仿宋_GB2312"/>
          <w:b w:val="0"/>
          <w:sz w:val="32"/>
        </w:rPr>
        <w:t>八、《国有资本经营预算财政拨款收入支出决算表》</w:t>
      </w:r>
    </w:p>
    <w:p w14:paraId="60C0DE37">
      <w:pPr>
        <w:spacing w:line="240" w:lineRule="auto"/>
        <w:ind w:firstLine="640"/>
        <w:jc w:val="both"/>
      </w:pPr>
      <w:r>
        <w:rPr>
          <w:rFonts w:ascii="仿宋_GB2312" w:hAnsi="仿宋_GB2312" w:eastAsia="仿宋_GB2312"/>
          <w:b w:val="0"/>
          <w:sz w:val="32"/>
        </w:rPr>
        <w:t>九、《财政拨款“三公”经费支出决算表》</w:t>
      </w:r>
    </w:p>
    <w:p w14:paraId="7031108F">
      <w:pPr>
        <w:spacing w:line="240" w:lineRule="auto"/>
        <w:ind w:firstLine="640"/>
        <w:jc w:val="both"/>
      </w:pPr>
    </w:p>
    <w:p w14:paraId="23EB0840">
      <w:pPr>
        <w:spacing w:line="240" w:lineRule="auto"/>
        <w:ind w:firstLine="640"/>
        <w:jc w:val="both"/>
      </w:pPr>
    </w:p>
    <w:p w14:paraId="3C709A13">
      <w:pPr>
        <w:spacing w:line="240" w:lineRule="auto"/>
        <w:ind w:firstLine="640"/>
        <w:jc w:val="both"/>
      </w:pPr>
    </w:p>
    <w:p w14:paraId="1E01A102">
      <w:pPr>
        <w:spacing w:line="240" w:lineRule="auto"/>
        <w:ind w:firstLine="640"/>
        <w:jc w:val="both"/>
      </w:pPr>
    </w:p>
    <w:p w14:paraId="0FF3AC8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071ACD-54C5-419F-A066-31B4CC4BDD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B0E9B42-3799-4720-99E4-CEAD835AFD78}"/>
  </w:font>
  <w:font w:name="仿宋_GB2312">
    <w:panose1 w:val="02010609030101010101"/>
    <w:charset w:val="86"/>
    <w:family w:val="modern"/>
    <w:pitch w:val="default"/>
    <w:sig w:usb0="00000001" w:usb1="080E0000" w:usb2="00000000" w:usb3="00000000" w:csb0="00040000" w:csb1="00000000"/>
    <w:embedRegular r:id="rId3" w:fontKey="{D4FCEA4A-B946-40E2-B7D0-54F0064D1CBA}"/>
  </w:font>
  <w:font w:name="楷体_GB2312">
    <w:altName w:val="楷体"/>
    <w:panose1 w:val="00000000000000000000"/>
    <w:charset w:val="00"/>
    <w:family w:val="auto"/>
    <w:pitch w:val="default"/>
    <w:sig w:usb0="00000000" w:usb1="00000000" w:usb2="00000000" w:usb3="00000000" w:csb0="00000000" w:csb1="00000000"/>
    <w:embedRegular r:id="rId4" w:fontKey="{C136484A-37A7-42DD-9316-687C677FBD2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F76AB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4B6396"/>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840C85"/>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4630</Words>
  <Characters>5221</Characters>
  <Lines>0</Lines>
  <Paragraphs>0</Paragraphs>
  <TotalTime>2</TotalTime>
  <ScaleCrop>false</ScaleCrop>
  <LinksUpToDate>false</LinksUpToDate>
  <CharactersWithSpaces>5229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2025-09-02T04:28:34Z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