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2A5D0D6">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eastAsia="zh-CN"/>
        </w:rPr>
      </w:pPr>
      <w:r>
        <w:rPr>
          <w:rFonts w:hint="eastAsia" w:ascii="方正小标宋_GBK" w:hAnsi="宋体" w:eastAsia="方正小标宋_GBK"/>
          <w:sz w:val="44"/>
          <w:szCs w:val="44"/>
          <w:highlight w:val="none"/>
          <w:lang w:val="en-US" w:eastAsia="zh-CN"/>
        </w:rPr>
        <w:t>克孜勒苏柯尔克孜自治州检察院2024</w:t>
      </w:r>
      <w:r>
        <w:rPr>
          <w:rFonts w:hint="eastAsia" w:ascii="方正小标宋_GBK" w:hAnsi="宋体" w:eastAsia="方正小标宋_GBK"/>
          <w:sz w:val="44"/>
          <w:szCs w:val="44"/>
          <w:highlight w:val="none"/>
          <w:lang w:eastAsia="zh-CN"/>
        </w:rPr>
        <w:t>年度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0F2211E">
      <w:r>
        <w:br w:type="page"/>
      </w:r>
    </w:p>
    <w:p w14:paraId="4B24EB98">
      <w:pPr>
        <w:spacing w:line="640" w:lineRule="exact"/>
        <w:jc w:val="center"/>
        <w:outlineLvl w:val="1"/>
      </w:pPr>
      <w:r>
        <w:rPr>
          <w:rFonts w:ascii="黑体" w:hAnsi="黑体" w:eastAsia="黑体"/>
          <w:sz w:val="32"/>
        </w:rPr>
        <w:t>第一部分 单位概况</w:t>
      </w:r>
    </w:p>
    <w:p w14:paraId="307858E7">
      <w:pPr>
        <w:spacing w:line="640" w:lineRule="exact"/>
        <w:ind w:firstLine="640"/>
        <w:jc w:val="both"/>
        <w:outlineLvl w:val="2"/>
      </w:pPr>
      <w:r>
        <w:rPr>
          <w:rFonts w:ascii="黑体" w:hAnsi="黑体" w:eastAsia="黑体"/>
          <w:sz w:val="32"/>
        </w:rPr>
        <w:t>一、主要职能</w:t>
      </w:r>
    </w:p>
    <w:p w14:paraId="1404A45C">
      <w:pPr>
        <w:spacing w:line="580" w:lineRule="exact"/>
        <w:ind w:firstLine="640"/>
        <w:jc w:val="both"/>
        <w:rPr>
          <w:rFonts w:ascii="仿宋_GB2312" w:hAnsi="仿宋_GB2312" w:eastAsia="仿宋_GB2312"/>
          <w:sz w:val="32"/>
        </w:rPr>
      </w:pPr>
      <w:r>
        <w:rPr>
          <w:rFonts w:ascii="仿宋_GB2312" w:hAnsi="仿宋_GB2312" w:eastAsia="仿宋_GB2312"/>
          <w:sz w:val="32"/>
        </w:rPr>
        <w:t>（一）深入贯彻习近平新时代中国特色社会主义思想，深入贯彻党的路线方针政策和决策部署，统一全州检察机关思想和行动，坚持党对检察工作的绝对领导，坚决维护习近平总书记的核心地位，坚决维护党中央权威和集中统一领导。</w:t>
      </w:r>
    </w:p>
    <w:p w14:paraId="6C5A8357">
      <w:pPr>
        <w:spacing w:line="580" w:lineRule="exact"/>
        <w:ind w:firstLine="640"/>
        <w:jc w:val="both"/>
      </w:pPr>
      <w:r>
        <w:rPr>
          <w:rFonts w:ascii="仿宋_GB2312" w:hAnsi="仿宋_GB2312" w:eastAsia="仿宋_GB2312"/>
          <w:sz w:val="32"/>
        </w:rPr>
        <w:t>（二）依法向自治州人民代表大会及其常务委员会提出议案，接受自治州人民代表大会及自治州人民代表大会常务委员会的监督。</w:t>
      </w:r>
    </w:p>
    <w:p w14:paraId="5B652669">
      <w:pPr>
        <w:spacing w:line="580" w:lineRule="exact"/>
        <w:ind w:firstLine="640"/>
        <w:jc w:val="both"/>
      </w:pPr>
      <w:r>
        <w:rPr>
          <w:rFonts w:ascii="仿宋_GB2312" w:hAnsi="仿宋_GB2312" w:eastAsia="仿宋_GB2312"/>
          <w:sz w:val="32"/>
        </w:rPr>
        <w:t>（三）领导全州检察机关的工作，对下级检察院相关业务进行指导，贯彻检察工作方针，部署检察工作任务。</w:t>
      </w:r>
    </w:p>
    <w:p w14:paraId="56F7A9B8">
      <w:pPr>
        <w:spacing w:line="580" w:lineRule="exact"/>
        <w:ind w:firstLine="640"/>
        <w:jc w:val="both"/>
      </w:pPr>
      <w:r>
        <w:rPr>
          <w:rFonts w:ascii="仿宋_GB2312" w:hAnsi="仿宋_GB2312" w:eastAsia="仿宋_GB2312"/>
          <w:sz w:val="32"/>
        </w:rPr>
        <w:t>（四）依照法律规定对由自治州人民检察院直接受理的刑事案件行使侦查权。</w:t>
      </w:r>
    </w:p>
    <w:p w14:paraId="37A0B859">
      <w:pPr>
        <w:spacing w:line="580" w:lineRule="exact"/>
        <w:ind w:firstLine="640"/>
        <w:jc w:val="both"/>
      </w:pPr>
      <w:r>
        <w:rPr>
          <w:rFonts w:ascii="仿宋_GB2312" w:hAnsi="仿宋_GB2312" w:eastAsia="仿宋_GB2312"/>
          <w:sz w:val="32"/>
        </w:rPr>
        <w:t>（五）对自治州重大刑事犯罪案件依法审查批准逮捕、决定逮捕、提起公诉，领导下级人民检察院开展对刑事犯罪案件的审查批准逮捕、决定逮捕、提起公诉工作。</w:t>
      </w:r>
    </w:p>
    <w:p w14:paraId="695E4ED7">
      <w:pPr>
        <w:spacing w:line="580" w:lineRule="exact"/>
        <w:ind w:firstLine="640"/>
        <w:jc w:val="both"/>
        <w:rPr>
          <w:rFonts w:ascii="仿宋_GB2312" w:hAnsi="仿宋_GB2312" w:eastAsia="仿宋_GB2312"/>
          <w:sz w:val="32"/>
        </w:rPr>
      </w:pPr>
      <w:r>
        <w:rPr>
          <w:rFonts w:ascii="仿宋_GB2312" w:hAnsi="仿宋_GB2312" w:eastAsia="仿宋_GB2312"/>
          <w:sz w:val="32"/>
        </w:rPr>
        <w:t>（六）负责应由自治州人民检察院承办的刑事、民事、行政诉讼活动及刑事、民事、行政判决和裁定等生效法律文书执行的法律监督工作，领导下级人民检察院对刑事、民事、行政诉讼活动及判决和裁定等生效法律执行的法律监督工作。</w:t>
      </w:r>
    </w:p>
    <w:p w14:paraId="77F6E58F">
      <w:pPr>
        <w:spacing w:line="580" w:lineRule="exact"/>
        <w:ind w:firstLine="640"/>
        <w:jc w:val="both"/>
      </w:pPr>
      <w:r>
        <w:rPr>
          <w:rFonts w:ascii="仿宋_GB2312" w:hAnsi="仿宋_GB2312" w:eastAsia="仿宋_GB2312"/>
          <w:sz w:val="32"/>
        </w:rPr>
        <w:t>（七）负责应由自治州人民检察院承办的提起公益诉讼工作，领导下级人民检察院开展提起公益诉讼工作。</w:t>
      </w:r>
    </w:p>
    <w:p w14:paraId="43F65BA1">
      <w:pPr>
        <w:spacing w:line="580" w:lineRule="exact"/>
        <w:ind w:firstLine="640"/>
        <w:jc w:val="both"/>
      </w:pPr>
      <w:r>
        <w:rPr>
          <w:rFonts w:ascii="仿宋_GB2312" w:hAnsi="仿宋_GB2312" w:eastAsia="仿宋_GB2312"/>
          <w:sz w:val="32"/>
        </w:rPr>
        <w:t>（八）负责应由自治州人民检察院承办的对监狱、看守所、社区矫正机构等执法活动的法律监督工作，领导下级人民检察院开展对监狱、看守所、社区矫正机构等执法活动的法律监督工作。</w:t>
      </w:r>
    </w:p>
    <w:p w14:paraId="4CB1840D">
      <w:pPr>
        <w:spacing w:line="580" w:lineRule="exact"/>
        <w:ind w:firstLine="640"/>
        <w:jc w:val="both"/>
      </w:pPr>
      <w:r>
        <w:rPr>
          <w:rFonts w:ascii="仿宋_GB2312" w:hAnsi="仿宋_GB2312" w:eastAsia="仿宋_GB2312"/>
          <w:sz w:val="32"/>
        </w:rPr>
        <w:t>（九）受理向自治州人民检察院的控告申诉，领导下级人民检察院的控告申诉检察工作。</w:t>
      </w:r>
    </w:p>
    <w:p w14:paraId="34CD6E2B">
      <w:pPr>
        <w:spacing w:line="580" w:lineRule="exact"/>
        <w:ind w:firstLine="640"/>
        <w:jc w:val="both"/>
      </w:pPr>
      <w:r>
        <w:rPr>
          <w:rFonts w:ascii="仿宋_GB2312" w:hAnsi="仿宋_GB2312" w:eastAsia="仿宋_GB2312"/>
          <w:sz w:val="32"/>
        </w:rPr>
        <w:t>（十）对下级人民检察院在行使检察权中作出的决定进行审查，纠正错误决定。</w:t>
      </w:r>
    </w:p>
    <w:p w14:paraId="1C4F2669">
      <w:pPr>
        <w:spacing w:line="580" w:lineRule="exact"/>
        <w:ind w:firstLine="640"/>
        <w:jc w:val="both"/>
      </w:pPr>
      <w:r>
        <w:rPr>
          <w:rFonts w:ascii="仿宋_GB2312" w:hAnsi="仿宋_GB2312" w:eastAsia="仿宋_GB2312"/>
          <w:sz w:val="32"/>
        </w:rPr>
        <w:t>（十一）对检察工作中具体应用法律问题进行研究，进行请示和答复，指导全州检察机关理论研究工作。</w:t>
      </w:r>
    </w:p>
    <w:p w14:paraId="1354B561">
      <w:pPr>
        <w:spacing w:line="580" w:lineRule="exact"/>
        <w:ind w:firstLine="640"/>
        <w:jc w:val="both"/>
      </w:pPr>
      <w:r>
        <w:rPr>
          <w:rFonts w:ascii="仿宋_GB2312" w:hAnsi="仿宋_GB2312" w:eastAsia="仿宋_GB2312"/>
          <w:sz w:val="32"/>
        </w:rPr>
        <w:t>（十二）负责自治州检察机关队伍建设和思想政治工作。领导下级人民检察院依法管理检察官及其他检察人员的工作，协同下级主管部门管理人民检察院的机构设置及人员编制，制定相关人员管理办法。</w:t>
      </w:r>
    </w:p>
    <w:p w14:paraId="1F3454CB">
      <w:pPr>
        <w:spacing w:line="580" w:lineRule="exact"/>
        <w:ind w:firstLine="640"/>
        <w:jc w:val="both"/>
      </w:pPr>
      <w:r>
        <w:rPr>
          <w:rFonts w:ascii="仿宋_GB2312" w:hAnsi="仿宋_GB2312" w:eastAsia="仿宋_GB2312"/>
          <w:sz w:val="32"/>
        </w:rPr>
        <w:t>（十三）依照有关规定，协同自治州党委主管部门管理和考核本级院的院领导和其他检察人员，协同自治州党委主管部门、地方党委管理和考核下级人民检察院的检察长、副检察长；提请自治州人民代表大会常务委员会批准任免本级院检委会委员、检察员以及下级人民检察院检察长；建议自治州人民代表大会常务委员会撤换本级院检委会委员、检察员以及下级人民检察院检察长。</w:t>
      </w:r>
    </w:p>
    <w:p w14:paraId="41CA1E61">
      <w:pPr>
        <w:spacing w:line="580" w:lineRule="exact"/>
        <w:ind w:firstLine="640"/>
        <w:jc w:val="both"/>
      </w:pPr>
      <w:r>
        <w:rPr>
          <w:rFonts w:ascii="仿宋_GB2312" w:hAnsi="仿宋_GB2312" w:eastAsia="仿宋_GB2312"/>
          <w:sz w:val="32"/>
        </w:rPr>
        <w:t>（十四）领导下级人民检察院的检务督察工作。</w:t>
      </w:r>
    </w:p>
    <w:p w14:paraId="6E78DA0F">
      <w:pPr>
        <w:spacing w:line="580" w:lineRule="exact"/>
        <w:ind w:firstLine="640"/>
        <w:jc w:val="both"/>
      </w:pPr>
      <w:r>
        <w:rPr>
          <w:rFonts w:ascii="仿宋_GB2312" w:hAnsi="仿宋_GB2312" w:eastAsia="仿宋_GB2312"/>
          <w:sz w:val="32"/>
        </w:rPr>
        <w:t>（十五）负责全州检察机关教育培训工作。</w:t>
      </w:r>
    </w:p>
    <w:p w14:paraId="153044D8">
      <w:pPr>
        <w:spacing w:line="580" w:lineRule="exact"/>
        <w:ind w:firstLine="640"/>
        <w:jc w:val="both"/>
      </w:pPr>
      <w:r>
        <w:rPr>
          <w:rFonts w:ascii="仿宋_GB2312" w:hAnsi="仿宋_GB2312" w:eastAsia="仿宋_GB2312"/>
          <w:sz w:val="32"/>
        </w:rPr>
        <w:t>（十六）规划和指导全州检察机关的财务装备工作，指导全州检察机关的检察技术信息工作。</w:t>
      </w:r>
    </w:p>
    <w:p w14:paraId="6BE77AE0">
      <w:pPr>
        <w:spacing w:line="580" w:lineRule="exact"/>
        <w:ind w:firstLine="640"/>
        <w:jc w:val="both"/>
      </w:pPr>
      <w:r>
        <w:rPr>
          <w:rFonts w:ascii="仿宋_GB2312" w:hAnsi="仿宋_GB2312" w:eastAsia="仿宋_GB2312"/>
          <w:sz w:val="32"/>
        </w:rPr>
        <w:t>（十七）负责其他应当由自治州人民检察院承办的事项。</w:t>
      </w:r>
    </w:p>
    <w:p w14:paraId="58F5F60A">
      <w:pPr>
        <w:spacing w:line="640" w:lineRule="exact"/>
        <w:ind w:firstLine="640"/>
        <w:jc w:val="both"/>
        <w:outlineLvl w:val="2"/>
      </w:pPr>
      <w:r>
        <w:rPr>
          <w:rFonts w:ascii="黑体" w:hAnsi="黑体" w:eastAsia="黑体"/>
          <w:sz w:val="32"/>
        </w:rPr>
        <w:t>二、机构设置及人员情况</w:t>
      </w:r>
    </w:p>
    <w:p w14:paraId="2E933B34">
      <w:pPr>
        <w:spacing w:line="580" w:lineRule="exact"/>
        <w:ind w:firstLine="640"/>
        <w:jc w:val="both"/>
      </w:pPr>
      <w:r>
        <w:rPr>
          <w:rFonts w:ascii="仿宋_GB2312" w:hAnsi="仿宋_GB2312" w:eastAsia="仿宋_GB2312"/>
          <w:sz w:val="32"/>
        </w:rPr>
        <w:t>克孜勒苏柯尔克孜自治州检察院2024年度，实有人数113人，其中：在职人员66人，减少6人；离休人员0人，增加0人；退休人员47人,增加4人。</w:t>
      </w:r>
    </w:p>
    <w:p w14:paraId="588E44D6">
      <w:pPr>
        <w:spacing w:line="580" w:lineRule="exact"/>
        <w:ind w:firstLine="640"/>
        <w:jc w:val="both"/>
      </w:pPr>
      <w:r>
        <w:rPr>
          <w:rFonts w:ascii="仿宋_GB2312" w:hAnsi="仿宋_GB2312" w:eastAsia="仿宋_GB2312"/>
          <w:sz w:val="32"/>
        </w:rPr>
        <w:t>克孜勒苏柯尔克孜自治州检察院无下属预算单位，下设13个科室，分别是：办公室、政治部、检务督察部、行政装备处、法警支队、第一检察部、第二检察部、第三检察部、第四检察部、第五检察部、第六检察部、综合检察部、机关党委。</w:t>
      </w:r>
    </w:p>
    <w:p w14:paraId="4BC3E982">
      <w:r>
        <w:br w:type="page"/>
      </w:r>
    </w:p>
    <w:p w14:paraId="313C87B1">
      <w:pPr>
        <w:spacing w:line="240" w:lineRule="auto"/>
        <w:jc w:val="center"/>
        <w:outlineLvl w:val="1"/>
      </w:pPr>
      <w:r>
        <w:rPr>
          <w:rFonts w:ascii="黑体" w:hAnsi="黑体" w:eastAsia="黑体"/>
          <w:sz w:val="32"/>
        </w:rPr>
        <w:t>第二部分 部门决算情况说明</w:t>
      </w:r>
    </w:p>
    <w:p w14:paraId="60E2903C">
      <w:pPr>
        <w:spacing w:line="640" w:lineRule="exact"/>
        <w:ind w:firstLine="640"/>
        <w:jc w:val="both"/>
        <w:outlineLvl w:val="2"/>
      </w:pPr>
      <w:r>
        <w:rPr>
          <w:rFonts w:ascii="黑体" w:hAnsi="黑体" w:eastAsia="黑体"/>
          <w:sz w:val="32"/>
        </w:rPr>
        <w:t>一、收入支出决算总体情况说明</w:t>
      </w:r>
    </w:p>
    <w:p w14:paraId="28429648">
      <w:pPr>
        <w:spacing w:line="580" w:lineRule="exact"/>
        <w:ind w:firstLine="640"/>
        <w:jc w:val="both"/>
      </w:pPr>
      <w:r>
        <w:rPr>
          <w:rFonts w:ascii="仿宋_GB2312" w:hAnsi="仿宋_GB2312" w:eastAsia="仿宋_GB2312"/>
          <w:b/>
          <w:sz w:val="32"/>
        </w:rPr>
        <w:t>2024年度收入总计2,039.02万元，</w:t>
      </w:r>
      <w:r>
        <w:rPr>
          <w:rFonts w:ascii="仿宋_GB2312" w:hAnsi="仿宋_GB2312" w:eastAsia="仿宋_GB2312"/>
          <w:b w:val="0"/>
          <w:sz w:val="32"/>
        </w:rPr>
        <w:t>其中：本年收入合计1,925.40万元，使用非财政拨款结余（含专用结余）0.00万元，年初结转和结余113.62万元。</w:t>
      </w:r>
    </w:p>
    <w:p w14:paraId="15A58BA0">
      <w:pPr>
        <w:spacing w:line="580" w:lineRule="exact"/>
        <w:ind w:firstLine="640"/>
        <w:jc w:val="both"/>
      </w:pPr>
      <w:r>
        <w:rPr>
          <w:rFonts w:ascii="仿宋_GB2312" w:hAnsi="仿宋_GB2312" w:eastAsia="仿宋_GB2312"/>
          <w:b/>
          <w:sz w:val="32"/>
        </w:rPr>
        <w:t>2024年度支出总计2,039.02万元，</w:t>
      </w:r>
      <w:r>
        <w:rPr>
          <w:rFonts w:ascii="仿宋_GB2312" w:hAnsi="仿宋_GB2312" w:eastAsia="仿宋_GB2312"/>
          <w:b w:val="0"/>
          <w:sz w:val="32"/>
        </w:rPr>
        <w:t>其中：本年支出合计1,973.37万元，结余分配0.00万元，年末结转和结余65.65万元。</w:t>
      </w:r>
    </w:p>
    <w:p w14:paraId="2A4E765C">
      <w:pPr>
        <w:spacing w:line="580" w:lineRule="exact"/>
        <w:ind w:firstLine="640"/>
        <w:jc w:val="both"/>
      </w:pPr>
      <w:r>
        <w:rPr>
          <w:rFonts w:ascii="仿宋_GB2312" w:hAnsi="仿宋_GB2312" w:eastAsia="仿宋_GB2312"/>
          <w:b w:val="0"/>
          <w:sz w:val="32"/>
        </w:rPr>
        <w:t>收入支出总体与上年相比，减少601.42万元，下降22.78%，主要原因是：本年在职人员减少，相关人员经费较上年减少。本年减少司改绩效经费、援疆专项业务经费。</w:t>
      </w:r>
    </w:p>
    <w:p w14:paraId="7FABFA8B">
      <w:pPr>
        <w:spacing w:line="640" w:lineRule="exact"/>
        <w:ind w:firstLine="640"/>
        <w:jc w:val="both"/>
        <w:outlineLvl w:val="2"/>
      </w:pPr>
      <w:r>
        <w:rPr>
          <w:rFonts w:ascii="黑体" w:hAnsi="黑体" w:eastAsia="黑体"/>
          <w:sz w:val="32"/>
        </w:rPr>
        <w:t>二、收入决算情况说明</w:t>
      </w:r>
    </w:p>
    <w:p w14:paraId="4ACF7220">
      <w:pPr>
        <w:spacing w:line="580" w:lineRule="exact"/>
        <w:ind w:firstLine="640"/>
        <w:jc w:val="both"/>
      </w:pPr>
      <w:r>
        <w:rPr>
          <w:rFonts w:ascii="仿宋_GB2312" w:hAnsi="仿宋_GB2312" w:eastAsia="仿宋_GB2312"/>
          <w:b/>
          <w:sz w:val="32"/>
        </w:rPr>
        <w:t>本年收入1,925.40万元，</w:t>
      </w:r>
      <w:r>
        <w:rPr>
          <w:rFonts w:ascii="仿宋_GB2312" w:hAnsi="仿宋_GB2312" w:eastAsia="仿宋_GB2312"/>
          <w:b w:val="0"/>
          <w:sz w:val="32"/>
        </w:rPr>
        <w:t>其中：财政拨款收入1,924.00万元，占99.93%；上级补助收入0.00万元，占0.00%；事业收入0.00万元，占0.00%；经营收入0.00万元，占0.00%；附属单位上缴收入0.00万元，占0.00%；其他收入1.40万元，占0.07%。</w:t>
      </w:r>
    </w:p>
    <w:p w14:paraId="3E98343C">
      <w:pPr>
        <w:spacing w:line="640" w:lineRule="exact"/>
        <w:ind w:firstLine="640"/>
        <w:jc w:val="both"/>
        <w:outlineLvl w:val="2"/>
      </w:pPr>
      <w:r>
        <w:rPr>
          <w:rFonts w:ascii="黑体" w:hAnsi="黑体" w:eastAsia="黑体"/>
          <w:sz w:val="32"/>
        </w:rPr>
        <w:t>三、支出决算情况说明</w:t>
      </w:r>
    </w:p>
    <w:p w14:paraId="43C81EBB">
      <w:pPr>
        <w:spacing w:line="580" w:lineRule="exact"/>
        <w:ind w:firstLine="640"/>
        <w:jc w:val="both"/>
      </w:pPr>
      <w:r>
        <w:rPr>
          <w:rFonts w:ascii="仿宋_GB2312" w:hAnsi="仿宋_GB2312" w:eastAsia="仿宋_GB2312"/>
          <w:b/>
          <w:sz w:val="32"/>
        </w:rPr>
        <w:t>本年支出1,973.37万元，</w:t>
      </w:r>
      <w:r>
        <w:rPr>
          <w:rFonts w:ascii="仿宋_GB2312" w:hAnsi="仿宋_GB2312" w:eastAsia="仿宋_GB2312"/>
          <w:b w:val="0"/>
          <w:sz w:val="32"/>
        </w:rPr>
        <w:t>其中：基本支出1,539.89万元，占78.03%；项目支出433.48万元，占21.97%；上缴上级支出0.00万元，占0.00%；经营支出0.00万元，占0.00%；对附属单位补助支出0.00万元，占0.00%。</w:t>
      </w:r>
    </w:p>
    <w:p w14:paraId="64E27E02">
      <w:pPr>
        <w:spacing w:line="640" w:lineRule="exact"/>
        <w:ind w:firstLine="640"/>
        <w:jc w:val="both"/>
        <w:outlineLvl w:val="2"/>
      </w:pPr>
      <w:r>
        <w:rPr>
          <w:rFonts w:ascii="黑体" w:hAnsi="黑体" w:eastAsia="黑体"/>
          <w:sz w:val="32"/>
        </w:rPr>
        <w:t>四、财政拨款收入支出决算总体情况说明</w:t>
      </w:r>
    </w:p>
    <w:p w14:paraId="39E65B96">
      <w:pPr>
        <w:spacing w:line="580" w:lineRule="exact"/>
        <w:ind w:firstLine="640"/>
        <w:jc w:val="both"/>
      </w:pPr>
      <w:r>
        <w:rPr>
          <w:rFonts w:ascii="仿宋_GB2312" w:hAnsi="仿宋_GB2312" w:eastAsia="仿宋_GB2312"/>
          <w:b/>
          <w:sz w:val="32"/>
        </w:rPr>
        <w:t>2024年度财政拨款收入总计1,924.00万元，</w:t>
      </w:r>
      <w:r>
        <w:rPr>
          <w:rFonts w:ascii="仿宋_GB2312" w:hAnsi="仿宋_GB2312" w:eastAsia="仿宋_GB2312"/>
          <w:b w:val="0"/>
          <w:sz w:val="32"/>
        </w:rPr>
        <w:t>其中：年初财政拨款结转和结余0.00万元，本年财政拨款收入1,924.00万元。</w:t>
      </w:r>
      <w:r>
        <w:rPr>
          <w:rFonts w:ascii="仿宋_GB2312" w:hAnsi="仿宋_GB2312" w:eastAsia="仿宋_GB2312"/>
          <w:b/>
          <w:sz w:val="32"/>
        </w:rPr>
        <w:t>财政拨款支出总计1,924.00万元，</w:t>
      </w:r>
      <w:r>
        <w:rPr>
          <w:rFonts w:ascii="仿宋_GB2312" w:hAnsi="仿宋_GB2312" w:eastAsia="仿宋_GB2312"/>
          <w:b w:val="0"/>
          <w:sz w:val="32"/>
        </w:rPr>
        <w:t>其中：年末财政拨款结转和结余0.00万元，本年财政拨款支出1,924.00万元。</w:t>
      </w:r>
    </w:p>
    <w:p w14:paraId="68B4A4C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减少320.95万元，下降14.30%，主要原因是：本年在职人员减少，相关人员经费较上年减少。本年减少司改绩效经费。</w:t>
      </w:r>
      <w:r>
        <w:rPr>
          <w:rFonts w:ascii="仿宋_GB2312" w:hAnsi="仿宋_GB2312" w:eastAsia="仿宋_GB2312"/>
          <w:b/>
          <w:sz w:val="32"/>
        </w:rPr>
        <w:t>与年初预算相比，</w:t>
      </w:r>
      <w:r>
        <w:rPr>
          <w:rFonts w:ascii="仿宋_GB2312" w:hAnsi="仿宋_GB2312" w:eastAsia="仿宋_GB2312"/>
          <w:b w:val="0"/>
          <w:sz w:val="32"/>
        </w:rPr>
        <w:t>年初预算数1,874.70万元，决算数1,924.00万元，预决算差异率2.63%，主要原因是：年中追加人员工资、社保、公积金基数调增部分资金，导致预决算存在差异。</w:t>
      </w:r>
    </w:p>
    <w:p w14:paraId="7D75E8E3">
      <w:pPr>
        <w:spacing w:line="640" w:lineRule="exact"/>
        <w:ind w:firstLine="640"/>
        <w:jc w:val="both"/>
        <w:outlineLvl w:val="2"/>
      </w:pPr>
      <w:r>
        <w:rPr>
          <w:rFonts w:ascii="黑体" w:hAnsi="黑体" w:eastAsia="黑体"/>
          <w:sz w:val="32"/>
        </w:rPr>
        <w:t>五、一般公共预算财政拨款支出决算情况说明</w:t>
      </w:r>
    </w:p>
    <w:p w14:paraId="37870FDC">
      <w:pPr>
        <w:spacing w:line="640" w:lineRule="exact"/>
        <w:ind w:firstLine="640"/>
        <w:jc w:val="both"/>
        <w:outlineLvl w:val="3"/>
      </w:pPr>
      <w:r>
        <w:rPr>
          <w:rFonts w:ascii="楷体_GB2312" w:hAnsi="楷体_GB2312" w:eastAsia="楷体_GB2312"/>
          <w:b/>
          <w:sz w:val="32"/>
        </w:rPr>
        <w:t>（一）一般公共预算财政拨款支出决算总体情况</w:t>
      </w:r>
    </w:p>
    <w:p w14:paraId="7B28A209">
      <w:pPr>
        <w:spacing w:line="580" w:lineRule="exact"/>
        <w:ind w:firstLine="640"/>
        <w:jc w:val="both"/>
      </w:pPr>
      <w:r>
        <w:rPr>
          <w:rFonts w:ascii="仿宋_GB2312" w:hAnsi="仿宋_GB2312" w:eastAsia="仿宋_GB2312"/>
          <w:b/>
          <w:sz w:val="32"/>
        </w:rPr>
        <w:t>2024年度一般公共预算财政拨款支出1,924.00万元，</w:t>
      </w:r>
      <w:r>
        <w:rPr>
          <w:rFonts w:ascii="仿宋_GB2312" w:hAnsi="仿宋_GB2312" w:eastAsia="仿宋_GB2312"/>
          <w:b w:val="0"/>
          <w:sz w:val="32"/>
        </w:rPr>
        <w:t>占本年支出合计的97.50%。</w:t>
      </w:r>
      <w:r>
        <w:rPr>
          <w:rFonts w:ascii="仿宋_GB2312" w:hAnsi="仿宋_GB2312" w:eastAsia="仿宋_GB2312"/>
          <w:b/>
          <w:sz w:val="32"/>
        </w:rPr>
        <w:t>与上年相比，</w:t>
      </w:r>
      <w:r>
        <w:rPr>
          <w:rFonts w:ascii="仿宋_GB2312" w:hAnsi="仿宋_GB2312" w:eastAsia="仿宋_GB2312"/>
          <w:b w:val="0"/>
          <w:sz w:val="32"/>
        </w:rPr>
        <w:t>减少320.95万元，下降14.30%，主要原因是：本年在职人员减少，相关人员经费较上年减少。本年减少司改绩效经费。</w:t>
      </w:r>
      <w:r>
        <w:rPr>
          <w:rFonts w:ascii="仿宋_GB2312" w:hAnsi="仿宋_GB2312" w:eastAsia="仿宋_GB2312"/>
          <w:b/>
          <w:sz w:val="32"/>
        </w:rPr>
        <w:t>与年初预算相比,</w:t>
      </w:r>
      <w:r>
        <w:rPr>
          <w:rFonts w:ascii="仿宋_GB2312" w:hAnsi="仿宋_GB2312" w:eastAsia="仿宋_GB2312"/>
          <w:b w:val="0"/>
          <w:sz w:val="32"/>
        </w:rPr>
        <w:t>年初预算数1,874.70万元，决算数1,924.00万元，预决算差异率2.63%，主要原因是：年中追加人员工资、社保、公积金基数调增部分资金，导致预决算存在差异。</w:t>
      </w:r>
    </w:p>
    <w:p w14:paraId="4793EB1A">
      <w:pPr>
        <w:spacing w:line="640" w:lineRule="exact"/>
        <w:ind w:firstLine="640"/>
        <w:jc w:val="both"/>
        <w:outlineLvl w:val="3"/>
      </w:pPr>
      <w:r>
        <w:rPr>
          <w:rFonts w:ascii="楷体_GB2312" w:hAnsi="楷体_GB2312" w:eastAsia="楷体_GB2312"/>
          <w:b/>
          <w:sz w:val="32"/>
        </w:rPr>
        <w:t>（二）一般公共预算财政拨款支出决算结构情况</w:t>
      </w:r>
    </w:p>
    <w:p w14:paraId="205E8FBE">
      <w:pPr>
        <w:spacing w:line="580" w:lineRule="exact"/>
        <w:ind w:firstLine="640"/>
        <w:jc w:val="both"/>
      </w:pPr>
      <w:r>
        <w:rPr>
          <w:rFonts w:ascii="仿宋_GB2312" w:hAnsi="仿宋_GB2312" w:eastAsia="仿宋_GB2312"/>
          <w:b w:val="0"/>
          <w:sz w:val="32"/>
        </w:rPr>
        <w:t>1.公共安全支出(类)1,650.29万元,占85.77%。</w:t>
      </w:r>
    </w:p>
    <w:p w14:paraId="163DBA24">
      <w:pPr>
        <w:spacing w:line="580" w:lineRule="exact"/>
        <w:ind w:firstLine="640"/>
        <w:jc w:val="both"/>
      </w:pPr>
      <w:r>
        <w:rPr>
          <w:rFonts w:ascii="仿宋_GB2312" w:hAnsi="仿宋_GB2312" w:eastAsia="仿宋_GB2312"/>
          <w:b w:val="0"/>
          <w:sz w:val="32"/>
        </w:rPr>
        <w:t>2.社会保障和就业支出(类)273.72万元,占14.23%。</w:t>
      </w:r>
    </w:p>
    <w:p w14:paraId="7EE653E8">
      <w:pPr>
        <w:spacing w:line="640" w:lineRule="exact"/>
        <w:ind w:firstLine="640"/>
        <w:jc w:val="both"/>
        <w:outlineLvl w:val="3"/>
      </w:pPr>
      <w:r>
        <w:rPr>
          <w:rFonts w:ascii="楷体_GB2312" w:hAnsi="楷体_GB2312" w:eastAsia="楷体_GB2312"/>
          <w:b/>
          <w:sz w:val="32"/>
        </w:rPr>
        <w:t>（三）一般公共预算财政拨款支出决算具体情况</w:t>
      </w:r>
    </w:p>
    <w:p w14:paraId="732D8835">
      <w:pPr>
        <w:spacing w:line="580" w:lineRule="exact"/>
        <w:ind w:firstLine="640"/>
        <w:jc w:val="both"/>
      </w:pPr>
      <w:r>
        <w:rPr>
          <w:rFonts w:ascii="仿宋_GB2312" w:hAnsi="仿宋_GB2312" w:eastAsia="仿宋_GB2312"/>
          <w:b w:val="0"/>
          <w:sz w:val="32"/>
        </w:rPr>
        <w:t>1.公共安全支出(类)检察(款)行政运行(项):支出决算数为1,046.31万元，比上年决算减少134.01万元，下降11.35%,主要原因是：本年在职人员调入调出，人员职级不同，工资基数不同，导致人员经费较上年减少。</w:t>
      </w:r>
    </w:p>
    <w:p w14:paraId="5440D95B">
      <w:pPr>
        <w:spacing w:line="580" w:lineRule="exact"/>
        <w:ind w:firstLine="640"/>
        <w:jc w:val="both"/>
      </w:pPr>
      <w:r>
        <w:rPr>
          <w:rFonts w:ascii="仿宋_GB2312" w:hAnsi="仿宋_GB2312" w:eastAsia="仿宋_GB2312"/>
          <w:b w:val="0"/>
          <w:sz w:val="32"/>
        </w:rPr>
        <w:t>2.公共安全支出(类)检察(款)一般行政管理事务(项):支出决算数为86.65万元，比上年决算增加76.65万元，增长766.50%,主要原因是：本年检察官绩效上涨，在职人员经费增加。</w:t>
      </w:r>
    </w:p>
    <w:p w14:paraId="17223BE3">
      <w:pPr>
        <w:spacing w:line="580" w:lineRule="exact"/>
        <w:ind w:firstLine="640"/>
        <w:jc w:val="both"/>
      </w:pPr>
      <w:r>
        <w:rPr>
          <w:rFonts w:ascii="仿宋_GB2312" w:hAnsi="仿宋_GB2312" w:eastAsia="仿宋_GB2312"/>
          <w:b w:val="0"/>
          <w:sz w:val="32"/>
        </w:rPr>
        <w:t>3.公共安全支出(类)检察(款)事业运行(项):支出决算数为170.50万元，比上年决算增加46.50万元，增长37.50%,主要原因是：本年聘用书记员增加，人员经费增加。</w:t>
      </w:r>
    </w:p>
    <w:p w14:paraId="21F96B0E">
      <w:pPr>
        <w:spacing w:line="580" w:lineRule="exact"/>
        <w:ind w:firstLine="640"/>
        <w:jc w:val="both"/>
      </w:pPr>
      <w:r>
        <w:rPr>
          <w:rFonts w:ascii="仿宋_GB2312" w:hAnsi="仿宋_GB2312" w:eastAsia="仿宋_GB2312"/>
          <w:b w:val="0"/>
          <w:sz w:val="32"/>
        </w:rPr>
        <w:t>4.公共安全支出(类)检察(款)其他检察支出(项):支出决算数为346.83万元，比上年决算减少369.29万元，下降51.57%,主要原因是：本年司改绩效经费减少，故支出较上年减少。</w:t>
      </w:r>
    </w:p>
    <w:p w14:paraId="5DDB3F77">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5.社会保障和就业支出(类)行政事业单位养老支出(款)行政单位离退休(项):支出决算数为85.94万元，比上年决算增加16.11万元，增长23.07%,主要原因是：本年退休人员增加，导致退休人员经费增加。</w:t>
      </w:r>
    </w:p>
    <w:p w14:paraId="088120F6">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134.50万元，比上年决算增加10.27万元，增长8.27%,主要原因是：本年在职人员工资基数调增，养老缴费基数上涨，相应支出增加。</w:t>
      </w:r>
    </w:p>
    <w:p w14:paraId="6A2E8475">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7.社会保障和就业支出(类)行政事业单位养老支出(款)机关事业单位职业年金缴费支出(项):支出决算数为53.27万元，比上年决算增加32.81万元，增长160.36%,主要原因是：本年新增退休人员，职业年金缴费支出增加。</w:t>
      </w:r>
    </w:p>
    <w:p w14:paraId="229986B0">
      <w:pPr>
        <w:spacing w:line="640" w:lineRule="exact"/>
        <w:ind w:firstLine="640"/>
        <w:jc w:val="both"/>
        <w:outlineLvl w:val="2"/>
      </w:pPr>
      <w:r>
        <w:rPr>
          <w:rFonts w:ascii="黑体" w:hAnsi="黑体" w:eastAsia="黑体"/>
          <w:sz w:val="32"/>
        </w:rPr>
        <w:t>六、一般公共预算财政拨款基本支出决算情况说明</w:t>
      </w:r>
    </w:p>
    <w:p w14:paraId="4C39CAD0">
      <w:pPr>
        <w:spacing w:line="580" w:lineRule="exact"/>
        <w:ind w:firstLine="640"/>
        <w:jc w:val="both"/>
      </w:pPr>
      <w:r>
        <w:rPr>
          <w:rFonts w:ascii="仿宋_GB2312" w:hAnsi="仿宋_GB2312" w:eastAsia="仿宋_GB2312"/>
          <w:b w:val="0"/>
          <w:sz w:val="32"/>
        </w:rPr>
        <w:t>2024年度一般公共预算财政拨款基本支出1,490.52万元，其中：</w:t>
      </w:r>
      <w:r>
        <w:rPr>
          <w:rFonts w:ascii="仿宋_GB2312" w:hAnsi="仿宋_GB2312" w:eastAsia="仿宋_GB2312"/>
          <w:b/>
          <w:sz w:val="32"/>
        </w:rPr>
        <w:t>人员经费1,427.23万元，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退休费、生活补助、奖励金、其他对个人和家庭的补助。</w:t>
      </w:r>
    </w:p>
    <w:p w14:paraId="557A3A50">
      <w:pPr>
        <w:spacing w:line="580" w:lineRule="exact"/>
        <w:ind w:firstLine="640"/>
        <w:jc w:val="both"/>
      </w:pPr>
      <w:r>
        <w:rPr>
          <w:rFonts w:ascii="仿宋_GB2312" w:hAnsi="仿宋_GB2312" w:eastAsia="仿宋_GB2312"/>
          <w:b/>
          <w:sz w:val="32"/>
        </w:rPr>
        <w:t>公用经费63.30万元，</w:t>
      </w:r>
      <w:r>
        <w:rPr>
          <w:rFonts w:ascii="仿宋_GB2312" w:hAnsi="仿宋_GB2312" w:eastAsia="仿宋_GB2312"/>
          <w:b w:val="0"/>
          <w:sz w:val="32"/>
        </w:rPr>
        <w:t>包括：办公费、水费、电费、取暖费、差旅费、公务接待费、工会经费、福利费、其他商品和服务支出。</w:t>
      </w:r>
    </w:p>
    <w:p w14:paraId="404F4D52">
      <w:pPr>
        <w:spacing w:line="640" w:lineRule="exact"/>
        <w:ind w:firstLine="640"/>
        <w:jc w:val="both"/>
        <w:outlineLvl w:val="2"/>
      </w:pPr>
      <w:r>
        <w:rPr>
          <w:rFonts w:ascii="黑体" w:hAnsi="黑体" w:eastAsia="黑体"/>
          <w:sz w:val="32"/>
        </w:rPr>
        <w:t>七、政府性基金预算财政拨款收入支出决算情况说明</w:t>
      </w:r>
    </w:p>
    <w:p w14:paraId="2E14260A">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E355122">
      <w:pPr>
        <w:spacing w:line="640" w:lineRule="exact"/>
        <w:ind w:firstLine="640"/>
        <w:jc w:val="both"/>
        <w:outlineLvl w:val="2"/>
      </w:pPr>
      <w:r>
        <w:rPr>
          <w:rFonts w:ascii="黑体" w:hAnsi="黑体" w:eastAsia="黑体"/>
          <w:sz w:val="32"/>
        </w:rPr>
        <w:t>八、国有资本经营预算财政拨款收入支出决算情况说明</w:t>
      </w:r>
    </w:p>
    <w:p w14:paraId="3A5D7DB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6D8FEA9">
      <w:pPr>
        <w:spacing w:line="640" w:lineRule="exact"/>
        <w:ind w:firstLine="640"/>
        <w:jc w:val="both"/>
        <w:outlineLvl w:val="2"/>
      </w:pPr>
      <w:r>
        <w:rPr>
          <w:rFonts w:ascii="黑体" w:hAnsi="黑体" w:eastAsia="黑体"/>
          <w:sz w:val="32"/>
        </w:rPr>
        <w:t>九、财政拨款“三公”经费支出决算情况说明</w:t>
      </w:r>
    </w:p>
    <w:p w14:paraId="685FEBB1">
      <w:pPr>
        <w:spacing w:line="580" w:lineRule="exact"/>
        <w:ind w:firstLine="640"/>
        <w:jc w:val="both"/>
      </w:pPr>
      <w:r>
        <w:rPr>
          <w:rFonts w:ascii="仿宋_GB2312" w:hAnsi="仿宋_GB2312" w:eastAsia="仿宋_GB2312"/>
          <w:b/>
          <w:sz w:val="32"/>
        </w:rPr>
        <w:t>2024年度财政拨款“三公”经费支出35.09万元，</w:t>
      </w:r>
      <w:r>
        <w:rPr>
          <w:rFonts w:ascii="仿宋_GB2312" w:hAnsi="仿宋_GB2312" w:eastAsia="仿宋_GB2312"/>
          <w:b w:val="0"/>
          <w:sz w:val="32"/>
        </w:rPr>
        <w:t>比上年减少7.86万元，下降18.30%，主要原因是：严格落实</w:t>
      </w:r>
      <w:r>
        <w:rPr>
          <w:rFonts w:hint="eastAsia" w:ascii="仿宋_GB2312" w:hAnsi="仿宋_GB2312" w:eastAsia="仿宋_GB2312"/>
          <w:b w:val="0"/>
          <w:sz w:val="32"/>
          <w:lang w:val="en-US" w:eastAsia="zh-CN"/>
        </w:rPr>
        <w:t>中央</w:t>
      </w:r>
      <w:r>
        <w:rPr>
          <w:rFonts w:ascii="仿宋_GB2312" w:hAnsi="仿宋_GB2312" w:eastAsia="仿宋_GB2312"/>
          <w:b w:val="0"/>
          <w:sz w:val="32"/>
        </w:rPr>
        <w:t>八项规定，减少公务用车使用频次，减少公车运行维护费；严格执行</w:t>
      </w:r>
      <w:r>
        <w:rPr>
          <w:rFonts w:hint="eastAsia" w:ascii="仿宋_GB2312" w:hAnsi="仿宋_GB2312" w:eastAsia="仿宋_GB2312"/>
          <w:b w:val="0"/>
          <w:sz w:val="32"/>
          <w:lang w:val="en-US" w:eastAsia="zh-CN"/>
        </w:rPr>
        <w:t>中央</w:t>
      </w:r>
      <w:r>
        <w:rPr>
          <w:rFonts w:ascii="仿宋_GB2312" w:hAnsi="仿宋_GB2312" w:eastAsia="仿宋_GB2312"/>
          <w:b w:val="0"/>
          <w:sz w:val="32"/>
        </w:rPr>
        <w:t>八项规定，厉行节约，减少公务接待费。其中：因公出国（境）费支出0.00万元，占0.00%，比上年增加0.00万元，增长0.00%，主要原因是：2023年与2024年均未安排因公出国（境）费支出。公务用车购置及运行维护费支出33.71万元，占96.07%，比上年减少6.98万元，下降17.15%，主要原因是：严格落实</w:t>
      </w:r>
      <w:r>
        <w:rPr>
          <w:rFonts w:hint="eastAsia" w:ascii="仿宋_GB2312" w:hAnsi="仿宋_GB2312" w:eastAsia="仿宋_GB2312"/>
          <w:b w:val="0"/>
          <w:sz w:val="32"/>
          <w:lang w:val="en-US" w:eastAsia="zh-CN"/>
        </w:rPr>
        <w:t>中央</w:t>
      </w:r>
      <w:r>
        <w:rPr>
          <w:rFonts w:ascii="仿宋_GB2312" w:hAnsi="仿宋_GB2312" w:eastAsia="仿宋_GB2312"/>
          <w:b w:val="0"/>
          <w:sz w:val="32"/>
        </w:rPr>
        <w:t>八项规定，减少公务用车使用频次，减少公车运行维护费。公务接待费支出1.38万元，占3.93%，比上年减少0.88万元，下降38.94%，主要原因是：严格执行</w:t>
      </w:r>
      <w:r>
        <w:rPr>
          <w:rFonts w:hint="eastAsia" w:ascii="仿宋_GB2312" w:hAnsi="仿宋_GB2312" w:eastAsia="仿宋_GB2312"/>
          <w:b w:val="0"/>
          <w:sz w:val="32"/>
          <w:lang w:val="en-US" w:eastAsia="zh-CN"/>
        </w:rPr>
        <w:t>中央</w:t>
      </w:r>
      <w:r>
        <w:rPr>
          <w:rFonts w:ascii="仿宋_GB2312" w:hAnsi="仿宋_GB2312" w:eastAsia="仿宋_GB2312"/>
          <w:b w:val="0"/>
          <w:sz w:val="32"/>
        </w:rPr>
        <w:t>八项规定，厉行节约，减少公务接待费。</w:t>
      </w:r>
    </w:p>
    <w:p w14:paraId="21350536">
      <w:pPr>
        <w:spacing w:line="580" w:lineRule="exact"/>
        <w:ind w:firstLine="640"/>
        <w:jc w:val="both"/>
      </w:pPr>
      <w:r>
        <w:rPr>
          <w:rFonts w:ascii="仿宋_GB2312" w:hAnsi="仿宋_GB2312" w:eastAsia="仿宋_GB2312"/>
          <w:b/>
          <w:sz w:val="32"/>
        </w:rPr>
        <w:t>具体情况如下：</w:t>
      </w:r>
    </w:p>
    <w:p w14:paraId="5205B40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A9F06F9">
      <w:pPr>
        <w:spacing w:line="580" w:lineRule="exact"/>
        <w:ind w:firstLine="640"/>
        <w:jc w:val="both"/>
      </w:pPr>
      <w:r>
        <w:rPr>
          <w:rFonts w:ascii="仿宋_GB2312" w:hAnsi="仿宋_GB2312" w:eastAsia="仿宋_GB2312"/>
          <w:b w:val="0"/>
          <w:sz w:val="32"/>
        </w:rPr>
        <w:t>公务用车购置及运行维护费33.71万元，其中：公务用车购置费18.00万元，公务用车运行维护费15.71万元。公务用车运行维护费开支内容包括车辆加油费，车辆维修费，车辆保险等。公务用车购置数1辆，公务用车保有量16辆。国有资产占用情况中固定资产车辆16辆，与公务用车保有量差异原因是：本单位固定资产车辆与公务用车保有量一致无差异。</w:t>
      </w:r>
    </w:p>
    <w:p w14:paraId="1C127473">
      <w:pPr>
        <w:spacing w:line="580" w:lineRule="exact"/>
        <w:ind w:firstLine="640"/>
        <w:jc w:val="both"/>
      </w:pPr>
      <w:r>
        <w:rPr>
          <w:rFonts w:ascii="仿宋_GB2312" w:hAnsi="仿宋_GB2312" w:eastAsia="仿宋_GB2312"/>
          <w:b w:val="0"/>
          <w:sz w:val="32"/>
        </w:rPr>
        <w:t>公务接待费1.38万元，开支内容包括接待上级领导检查产生的就餐费。单位全年安排的国内公务接待8批次，127人次。</w:t>
      </w:r>
    </w:p>
    <w:p w14:paraId="05E8166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35.09万元，决算数35.09万元，预决算差异率0.00%，主要原因是：严格按照预算执行，预决算无差异。其中：因公出国（境）费全年预算数0.00万元，决算数0.00万元，预决算差异率0.00%，主要原因是：本单位无因公出国（境）费。公务用车购置费全年预算数18.00万元，决算数18.00万元，预决算差异率0.00%，主要原因是：严格按照预算执行，预决算无差异。公务用车运行维护费全年预算数15.71万元，决算数15.71万元，预决算差异率0.00%，主要原因是：严格按照预算执行，预决算无差异。公务接待费全年预算数1.38万元，决算数1.38万元，预决算差异率0.00%，主要原因是：严格按照预算执行，预决算无差异。</w:t>
      </w:r>
    </w:p>
    <w:p w14:paraId="270F3C48">
      <w:pPr>
        <w:spacing w:line="640" w:lineRule="exact"/>
        <w:ind w:firstLine="640"/>
        <w:jc w:val="both"/>
        <w:outlineLvl w:val="2"/>
      </w:pPr>
      <w:r>
        <w:rPr>
          <w:rFonts w:ascii="黑体" w:hAnsi="黑体" w:eastAsia="黑体"/>
          <w:sz w:val="32"/>
        </w:rPr>
        <w:t>十、其他重要事项的情况说明</w:t>
      </w:r>
    </w:p>
    <w:p w14:paraId="360E57FD">
      <w:pPr>
        <w:spacing w:line="640" w:lineRule="exact"/>
        <w:ind w:firstLine="640"/>
        <w:jc w:val="both"/>
        <w:outlineLvl w:val="3"/>
      </w:pPr>
      <w:r>
        <w:rPr>
          <w:rFonts w:ascii="楷体_GB2312" w:hAnsi="楷体_GB2312" w:eastAsia="楷体_GB2312"/>
          <w:b/>
          <w:sz w:val="32"/>
        </w:rPr>
        <w:t>（一）机关运行经费及公用经费支出情况</w:t>
      </w:r>
    </w:p>
    <w:p w14:paraId="4AA55852">
      <w:pPr>
        <w:spacing w:line="580" w:lineRule="exact"/>
        <w:ind w:firstLine="640"/>
        <w:jc w:val="both"/>
      </w:pPr>
      <w:r>
        <w:rPr>
          <w:rFonts w:ascii="仿宋_GB2312" w:hAnsi="仿宋_GB2312" w:eastAsia="仿宋_GB2312"/>
          <w:b w:val="0"/>
          <w:sz w:val="32"/>
        </w:rPr>
        <w:t>2024年度克孜勒苏柯尔克孜自治州检察院（行政单位和参照公务员法管理事业单位）机关运行经费支出63.30万元，比上年减少28.39万元，下降30.96%，主要原因是：严控经费支出，厉行节约，减少取暖费、劳务经费支出。</w:t>
      </w:r>
    </w:p>
    <w:p w14:paraId="12EC0290">
      <w:pPr>
        <w:spacing w:line="640" w:lineRule="exact"/>
        <w:ind w:firstLine="640"/>
        <w:jc w:val="both"/>
        <w:outlineLvl w:val="3"/>
      </w:pPr>
      <w:r>
        <w:rPr>
          <w:rFonts w:ascii="楷体_GB2312" w:hAnsi="楷体_GB2312" w:eastAsia="楷体_GB2312"/>
          <w:b/>
          <w:sz w:val="32"/>
        </w:rPr>
        <w:t>（二）政府采购情况</w:t>
      </w:r>
    </w:p>
    <w:p w14:paraId="08667A5E">
      <w:pPr>
        <w:spacing w:line="580" w:lineRule="exact"/>
        <w:ind w:firstLine="640"/>
        <w:jc w:val="both"/>
      </w:pPr>
      <w:r>
        <w:rPr>
          <w:rFonts w:ascii="仿宋_GB2312" w:hAnsi="仿宋_GB2312" w:eastAsia="仿宋_GB2312"/>
          <w:b w:val="0"/>
          <w:sz w:val="32"/>
        </w:rPr>
        <w:t>2024年度政府采购支出总额153.89万元，其中：政府采购货物支出63.20万元、政府采购工程支出46.17万元、政府采购服务支出44.52万元。</w:t>
      </w:r>
    </w:p>
    <w:p w14:paraId="502E9334">
      <w:pPr>
        <w:spacing w:line="580" w:lineRule="exact"/>
        <w:ind w:firstLine="640"/>
        <w:jc w:val="both"/>
      </w:pPr>
      <w:r>
        <w:rPr>
          <w:rFonts w:ascii="仿宋_GB2312" w:hAnsi="仿宋_GB2312" w:eastAsia="仿宋_GB2312"/>
          <w:b w:val="0"/>
          <w:sz w:val="32"/>
        </w:rPr>
        <w:t>授予中小企业合同金额149.59万元，占政府采购支出总额的97.21%，其中：授予小微企业合同金额149.42万元，占政府采购支出总额的97.10%。</w:t>
      </w:r>
    </w:p>
    <w:p w14:paraId="533373A0">
      <w:pPr>
        <w:spacing w:line="640" w:lineRule="exact"/>
        <w:ind w:firstLine="640"/>
        <w:jc w:val="both"/>
        <w:outlineLvl w:val="3"/>
      </w:pPr>
      <w:r>
        <w:rPr>
          <w:rFonts w:ascii="楷体_GB2312" w:hAnsi="楷体_GB2312" w:eastAsia="楷体_GB2312"/>
          <w:b/>
          <w:sz w:val="32"/>
        </w:rPr>
        <w:t>（三）国有资产占用情况说明</w:t>
      </w:r>
    </w:p>
    <w:p w14:paraId="3F04C9E1">
      <w:pPr>
        <w:spacing w:line="580" w:lineRule="exact"/>
        <w:ind w:firstLine="640"/>
        <w:jc w:val="both"/>
      </w:pPr>
      <w:r>
        <w:rPr>
          <w:rFonts w:ascii="仿宋_GB2312" w:hAnsi="仿宋_GB2312" w:eastAsia="仿宋_GB2312"/>
          <w:b w:val="0"/>
          <w:sz w:val="32"/>
        </w:rPr>
        <w:t>截至2024年12月31日，房屋7,013.31平方米，价值1,819.40万元。车辆16辆，价值340.00万元，其中：副部（省）级及以上领导用车0辆、主要负责人用车0辆、机要通信用车0辆、应急保障用车0辆、执法执勤用车7辆、特种专业技术用车2辆、离退休干部服务用车0辆、其他用车7辆，其他用车主要是：一般公务用车。单价100万元（含）以上设备（不含车辆）1台（套）。</w:t>
      </w:r>
    </w:p>
    <w:p w14:paraId="4D13D5B2">
      <w:pPr>
        <w:spacing w:line="640" w:lineRule="exact"/>
        <w:ind w:firstLine="640"/>
        <w:jc w:val="both"/>
        <w:outlineLvl w:val="2"/>
      </w:pPr>
      <w:r>
        <w:rPr>
          <w:rFonts w:ascii="黑体" w:hAnsi="黑体" w:eastAsia="黑体"/>
          <w:sz w:val="32"/>
        </w:rPr>
        <w:t>十一、预算绩效的情况说明</w:t>
      </w:r>
    </w:p>
    <w:p w14:paraId="19F9FF23">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2,039.02万元，实际执行总额1,973.38万元；预算绩效评价项目4个，全年预算数437.90万元，全年执行数423.98万元。预算绩效管理取得的成效：一是确保资金的高效使用，切实发挥</w:t>
      </w:r>
      <w:r>
        <w:rPr>
          <w:rFonts w:hint="eastAsia" w:ascii="仿宋_GB2312" w:hAnsi="仿宋_GB2312" w:eastAsia="仿宋_GB2312"/>
          <w:b w:val="0"/>
          <w:sz w:val="32"/>
          <w:lang w:eastAsia="zh-CN"/>
        </w:rPr>
        <w:t>财政资金使用</w:t>
      </w:r>
      <w:r>
        <w:rPr>
          <w:rFonts w:ascii="仿宋_GB2312" w:hAnsi="仿宋_GB2312" w:eastAsia="仿宋_GB2312"/>
          <w:b w:val="0"/>
          <w:sz w:val="32"/>
        </w:rPr>
        <w:t>效果。二是严格按照工作职责和相关文件依据，确保专款专用。三是严格控制资金的流出方向，确保资金的合规性。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加强学习，进一步明确如何参照考核体系，科学合理设定绩效目标，充分发挥预算绩效管理工作效用。二是财务上会计核算要更加详细，为本单位各项工作的开展、总结、评估提供有效数据资料支撑,为各项业务工作更好</w:t>
      </w:r>
      <w:r>
        <w:rPr>
          <w:rFonts w:hint="eastAsia" w:ascii="仿宋_GB2312" w:hAnsi="仿宋_GB2312" w:eastAsia="仿宋_GB2312"/>
          <w:b w:val="0"/>
          <w:sz w:val="32"/>
          <w:lang w:eastAsia="zh-CN"/>
        </w:rPr>
        <w:t>地</w:t>
      </w:r>
      <w:r>
        <w:rPr>
          <w:rFonts w:ascii="仿宋_GB2312" w:hAnsi="仿宋_GB2312" w:eastAsia="仿宋_GB2312"/>
          <w:b w:val="0"/>
          <w:sz w:val="32"/>
        </w:rPr>
        <w:t>开展提供帮助。三是从源头上强化对专项资金预算管理，实行专项资金预算管理，结合单位实际,按轻重缓急统筹安排编制预算,提高预算编制科学性和合理性，优化资金结构。具体附整体支出绩效自评表，项目支出绩效自评表和评价报告。</w:t>
      </w:r>
    </w:p>
    <w:p w14:paraId="31847A21">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3E6FC4DB">
        <w:tblPrEx>
          <w:tblCellMar>
            <w:top w:w="0" w:type="dxa"/>
            <w:left w:w="108" w:type="dxa"/>
            <w:bottom w:w="0" w:type="dxa"/>
            <w:right w:w="108" w:type="dxa"/>
          </w:tblCellMar>
        </w:tblPrEx>
        <w:tc>
          <w:tcPr>
            <w:tcW w:w="8840" w:type="dxa"/>
            <w:gridSpan w:val="8"/>
            <w:vAlign w:val="center"/>
          </w:tcPr>
          <w:p w14:paraId="43EA1903">
            <w:pPr>
              <w:jc w:val="center"/>
            </w:pPr>
            <w:r>
              <w:rPr>
                <w:rFonts w:ascii="宋体" w:hAnsi="宋体" w:eastAsia="宋体"/>
                <w:sz w:val="24"/>
              </w:rPr>
              <w:t>单位整体支出绩效自评表</w:t>
            </w:r>
          </w:p>
        </w:tc>
      </w:tr>
      <w:tr w14:paraId="17339E04">
        <w:tblPrEx>
          <w:tblCellMar>
            <w:top w:w="0" w:type="dxa"/>
            <w:left w:w="108" w:type="dxa"/>
            <w:bottom w:w="0" w:type="dxa"/>
            <w:right w:w="108" w:type="dxa"/>
          </w:tblCellMar>
        </w:tblPrEx>
        <w:tc>
          <w:tcPr>
            <w:tcW w:w="8840" w:type="dxa"/>
            <w:gridSpan w:val="8"/>
            <w:vAlign w:val="center"/>
          </w:tcPr>
          <w:p w14:paraId="61B9A878">
            <w:pPr>
              <w:jc w:val="center"/>
            </w:pPr>
            <w:r>
              <w:rPr>
                <w:rFonts w:ascii="宋体" w:hAnsi="宋体" w:eastAsia="宋体"/>
                <w:sz w:val="24"/>
              </w:rPr>
              <w:t>（2024年度）</w:t>
            </w:r>
          </w:p>
        </w:tc>
      </w:tr>
      <w:tr w14:paraId="151EB3B0">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15B3DF">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AC8F50">
            <w:pPr>
              <w:jc w:val="center"/>
            </w:pPr>
            <w:r>
              <w:rPr>
                <w:rFonts w:ascii="宋体" w:hAnsi="宋体" w:eastAsia="宋体"/>
                <w:sz w:val="16"/>
              </w:rPr>
              <w:t>克孜勒苏柯尔克孜自治州检察院</w:t>
            </w:r>
          </w:p>
        </w:tc>
      </w:tr>
      <w:tr w14:paraId="215D4D9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3961D8">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AB086F">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A30D53">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0643A2">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3289F9">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0F442C">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73D5FD">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0986E5">
            <w:pPr>
              <w:jc w:val="center"/>
            </w:pPr>
            <w:r>
              <w:rPr>
                <w:rFonts w:ascii="宋体" w:hAnsi="宋体" w:eastAsia="宋体"/>
                <w:sz w:val="16"/>
              </w:rPr>
              <w:t>得分</w:t>
            </w:r>
          </w:p>
        </w:tc>
      </w:tr>
      <w:tr w14:paraId="1AB3140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956A0B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E8BDDE">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34BB2F">
            <w:pPr>
              <w:jc w:val="center"/>
            </w:pPr>
            <w:r>
              <w:rPr>
                <w:rFonts w:ascii="宋体" w:hAnsi="宋体" w:eastAsia="宋体"/>
                <w:sz w:val="16"/>
              </w:rPr>
              <w:t>2,290.70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EF6041">
            <w:pPr>
              <w:jc w:val="center"/>
            </w:pPr>
            <w:r>
              <w:rPr>
                <w:rFonts w:ascii="宋体" w:hAnsi="宋体" w:eastAsia="宋体"/>
                <w:sz w:val="16"/>
              </w:rPr>
              <w:t>2,039.02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5AB224">
            <w:pPr>
              <w:jc w:val="center"/>
            </w:pPr>
            <w:r>
              <w:rPr>
                <w:rFonts w:ascii="宋体" w:hAnsi="宋体" w:eastAsia="宋体"/>
                <w:sz w:val="16"/>
              </w:rPr>
              <w:t>1,973.38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CF0DAC">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31DCA7">
            <w:pPr>
              <w:jc w:val="center"/>
            </w:pPr>
            <w:r>
              <w:rPr>
                <w:rFonts w:ascii="宋体" w:hAnsi="宋体" w:eastAsia="宋体"/>
                <w:sz w:val="16"/>
              </w:rPr>
              <w:t>96.78%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965FDC">
            <w:pPr>
              <w:jc w:val="center"/>
              <w:rPr>
                <w:rFonts w:hint="default" w:eastAsia="宋体"/>
                <w:lang w:val="en-US" w:eastAsia="zh-CN"/>
              </w:rPr>
            </w:pPr>
            <w:r>
              <w:rPr>
                <w:rFonts w:hint="eastAsia" w:ascii="宋体" w:hAnsi="宋体"/>
                <w:sz w:val="16"/>
                <w:lang w:val="en-US" w:eastAsia="zh-CN"/>
              </w:rPr>
              <w:t>9.68</w:t>
            </w:r>
          </w:p>
        </w:tc>
      </w:tr>
      <w:tr w14:paraId="4CD798C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2A99BB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1F4D73">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33D165">
            <w:pPr>
              <w:jc w:val="center"/>
            </w:pPr>
            <w:r>
              <w:rPr>
                <w:rFonts w:ascii="宋体" w:hAnsi="宋体" w:eastAsia="宋体"/>
                <w:sz w:val="16"/>
              </w:rPr>
              <w:t>367.63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84B1B8">
            <w:pPr>
              <w:jc w:val="center"/>
            </w:pPr>
            <w:r>
              <w:rPr>
                <w:rFonts w:ascii="宋体" w:hAnsi="宋体" w:eastAsia="宋体"/>
                <w:sz w:val="16"/>
              </w:rPr>
              <w:t>433.48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606D5A">
            <w:pPr>
              <w:jc w:val="center"/>
            </w:pPr>
            <w:r>
              <w:rPr>
                <w:rFonts w:ascii="宋体" w:hAnsi="宋体" w:eastAsia="宋体"/>
                <w:sz w:val="16"/>
              </w:rPr>
              <w:t>433.48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D7A05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8A754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7F769B">
            <w:pPr>
              <w:jc w:val="center"/>
            </w:pPr>
            <w:r>
              <w:rPr>
                <w:rFonts w:ascii="宋体" w:hAnsi="宋体" w:eastAsia="宋体"/>
                <w:sz w:val="16"/>
              </w:rPr>
              <w:t>—</w:t>
            </w:r>
          </w:p>
        </w:tc>
      </w:tr>
      <w:tr w14:paraId="6049A0F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DCCB08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252551">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673798">
            <w:pPr>
              <w:jc w:val="center"/>
            </w:pPr>
            <w:r>
              <w:rPr>
                <w:rFonts w:ascii="宋体" w:hAnsi="宋体" w:eastAsia="宋体"/>
                <w:sz w:val="16"/>
              </w:rPr>
              <w:t>1,507.07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139398">
            <w:pPr>
              <w:jc w:val="center"/>
            </w:pPr>
            <w:r>
              <w:rPr>
                <w:rFonts w:ascii="宋体" w:hAnsi="宋体" w:eastAsia="宋体"/>
                <w:sz w:val="16"/>
              </w:rPr>
              <w:t>1,605.54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789514">
            <w:pPr>
              <w:jc w:val="center"/>
            </w:pPr>
            <w:r>
              <w:rPr>
                <w:rFonts w:ascii="宋体" w:hAnsi="宋体" w:eastAsia="宋体"/>
                <w:sz w:val="16"/>
              </w:rPr>
              <w:t>1,539.90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95459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F8A1D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2FB5B9">
            <w:pPr>
              <w:jc w:val="center"/>
            </w:pPr>
            <w:r>
              <w:rPr>
                <w:rFonts w:ascii="宋体" w:hAnsi="宋体" w:eastAsia="宋体"/>
                <w:sz w:val="16"/>
              </w:rPr>
              <w:t>—</w:t>
            </w:r>
          </w:p>
        </w:tc>
      </w:tr>
      <w:tr w14:paraId="4BE8F32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F0C208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2E11BB">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9A16C8">
            <w:pPr>
              <w:jc w:val="center"/>
            </w:pPr>
            <w:r>
              <w:rPr>
                <w:rFonts w:ascii="宋体" w:hAnsi="宋体" w:eastAsia="宋体"/>
                <w:sz w:val="16"/>
              </w:rPr>
              <w:t>416.00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41D0AD">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EBA2B8">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3E4A8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01C36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CCAEF9">
            <w:pPr>
              <w:jc w:val="center"/>
            </w:pPr>
            <w:r>
              <w:rPr>
                <w:rFonts w:ascii="宋体" w:hAnsi="宋体" w:eastAsia="宋体"/>
                <w:sz w:val="16"/>
              </w:rPr>
              <w:t>—</w:t>
            </w:r>
          </w:p>
        </w:tc>
      </w:tr>
      <w:tr w14:paraId="1047D25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DCD314">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1E034B4">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DBBEFF9">
            <w:pPr>
              <w:jc w:val="center"/>
              <w:rPr>
                <w:rFonts w:hint="eastAsia" w:eastAsia="宋体"/>
                <w:lang w:eastAsia="zh-CN"/>
              </w:rPr>
            </w:pPr>
            <w:r>
              <w:rPr>
                <w:rFonts w:ascii="宋体" w:hAnsi="宋体" w:eastAsia="宋体"/>
                <w:sz w:val="16"/>
              </w:rPr>
              <w:t>实际完成</w:t>
            </w:r>
            <w:r>
              <w:rPr>
                <w:rFonts w:hint="eastAsia" w:ascii="宋体" w:hAnsi="宋体"/>
                <w:sz w:val="16"/>
                <w:lang w:val="en-US" w:eastAsia="zh-CN"/>
              </w:rPr>
              <w:t>情况</w:t>
            </w:r>
          </w:p>
        </w:tc>
      </w:tr>
      <w:tr w14:paraId="0C36829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21B7221"/>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336A0F5">
            <w:pPr>
              <w:jc w:val="both"/>
            </w:pPr>
            <w:r>
              <w:rPr>
                <w:rFonts w:ascii="宋体" w:hAnsi="宋体" w:eastAsia="宋体"/>
                <w:sz w:val="16"/>
              </w:rPr>
              <w:t>目标1.贯彻落实自治区党委反恐</w:t>
            </w:r>
            <w:r>
              <w:rPr>
                <w:rFonts w:hint="eastAsia" w:ascii="宋体" w:hAnsi="宋体"/>
                <w:sz w:val="16"/>
                <w:lang w:eastAsia="zh-CN"/>
              </w:rPr>
              <w:t>WW</w:t>
            </w:r>
            <w:r>
              <w:rPr>
                <w:rFonts w:ascii="宋体" w:hAnsi="宋体" w:eastAsia="宋体"/>
                <w:sz w:val="16"/>
              </w:rPr>
              <w:t>“组合拳”工作部署，坚决精准打击</w:t>
            </w:r>
            <w:r>
              <w:rPr>
                <w:rFonts w:hint="eastAsia" w:ascii="宋体" w:hAnsi="宋体"/>
                <w:sz w:val="16"/>
                <w:lang w:eastAsia="zh-CN"/>
              </w:rPr>
              <w:t>暴</w:t>
            </w:r>
            <w:r>
              <w:rPr>
                <w:rFonts w:ascii="宋体" w:hAnsi="宋体" w:eastAsia="宋体"/>
                <w:sz w:val="16"/>
              </w:rPr>
              <w:t>恐犯罪，持续开展扫黑除恶斗争，充分发挥批捕、起诉等职能作用，全力维护社会稳定和长治久安。目标2.精准服务脱贫攻坚，服务污染防治攻坚战。目标3.办理公益诉讼案件，维护社会公共利益，做好生态环境与资源保护。目标4.强化信访工作，维护当事人合法权益。目标5.打造“智慧检察院”，助推互联网、大数据、智能化与检察工作深度融合。目标6.紧紧围绕司法体制改革，加强办案能力，配齐配强书记员，确保服务保障的落实到位。</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514C8A7">
            <w:pPr>
              <w:jc w:val="both"/>
            </w:pPr>
            <w:r>
              <w:rPr>
                <w:rFonts w:ascii="宋体" w:hAnsi="宋体" w:eastAsia="宋体"/>
                <w:sz w:val="16"/>
              </w:rPr>
              <w:t>该项目总投资2290.7万元，其中财政资金1874.7万元，其他资金416万元，主要用于持续深化检察业务、干部人才、教育培训、检察文化、信息科技和资金项目援助格局，有利于坚持统筹推进，优化援助资金，通过该项目实施达到推动双赢共赢效果。</w:t>
            </w:r>
          </w:p>
        </w:tc>
      </w:tr>
      <w:tr w14:paraId="21CF0C4D">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7266BA">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383B69">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6DFE4F">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27A173">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3E3C77">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4733D9">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4CBCD0">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5882D9">
            <w:pPr>
              <w:jc w:val="center"/>
            </w:pPr>
            <w:r>
              <w:rPr>
                <w:rFonts w:ascii="宋体" w:hAnsi="宋体" w:eastAsia="宋体"/>
                <w:sz w:val="16"/>
              </w:rPr>
              <w:t>得分</w:t>
            </w:r>
          </w:p>
        </w:tc>
      </w:tr>
      <w:tr w14:paraId="7320657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534003">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57A54A">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8CBF38">
            <w:pPr>
              <w:jc w:val="center"/>
            </w:pPr>
            <w:r>
              <w:rPr>
                <w:rFonts w:ascii="宋体" w:hAnsi="宋体" w:eastAsia="宋体"/>
                <w:sz w:val="16"/>
              </w:rPr>
              <w:t>支持市县检察机关办案率（%）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FFD512">
            <w:pPr>
              <w:jc w:val="center"/>
            </w:pPr>
            <w:r>
              <w:rPr>
                <w:rFonts w:ascii="宋体" w:hAnsi="宋体" w:eastAsia="宋体"/>
                <w:sz w:val="16"/>
              </w:rPr>
              <w:t>&gt;=98%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16ABA9">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024489">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94D6BC">
            <w:pPr>
              <w:jc w:val="center"/>
            </w:pPr>
            <w:r>
              <w:rPr>
                <w:rFonts w:ascii="宋体" w:hAnsi="宋体" w:eastAsia="宋体"/>
                <w:sz w:val="16"/>
              </w:rPr>
              <w:t>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CF4FC2">
            <w:pPr>
              <w:jc w:val="center"/>
            </w:pPr>
            <w:r>
              <w:rPr>
                <w:rFonts w:ascii="宋体" w:hAnsi="宋体" w:eastAsia="宋体"/>
                <w:sz w:val="16"/>
              </w:rPr>
              <w:t>30</w:t>
            </w:r>
          </w:p>
        </w:tc>
      </w:tr>
      <w:tr w14:paraId="209DB4A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0BF56F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7B88EE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A85BFC">
            <w:pPr>
              <w:jc w:val="center"/>
            </w:pPr>
            <w:r>
              <w:rPr>
                <w:rFonts w:ascii="宋体" w:hAnsi="宋体" w:eastAsia="宋体"/>
                <w:sz w:val="16"/>
              </w:rPr>
              <w:t>举办培训班次数（次）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9041E0">
            <w:pPr>
              <w:jc w:val="center"/>
            </w:pPr>
            <w:r>
              <w:rPr>
                <w:rFonts w:ascii="宋体" w:hAnsi="宋体" w:eastAsia="宋体"/>
                <w:sz w:val="16"/>
              </w:rPr>
              <w:t>&gt;=4次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3BF5A3">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8E0745">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6D7384">
            <w:pPr>
              <w:jc w:val="center"/>
            </w:pPr>
            <w:r>
              <w:rPr>
                <w:rFonts w:ascii="宋体" w:hAnsi="宋体" w:eastAsia="宋体"/>
                <w:sz w:val="16"/>
              </w:rPr>
              <w: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1FEE03">
            <w:pPr>
              <w:jc w:val="center"/>
            </w:pPr>
            <w:r>
              <w:rPr>
                <w:rFonts w:ascii="宋体" w:hAnsi="宋体" w:eastAsia="宋体"/>
                <w:sz w:val="16"/>
              </w:rPr>
              <w:t>25</w:t>
            </w:r>
          </w:p>
        </w:tc>
      </w:tr>
      <w:tr w14:paraId="739A70D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C129DE0"/>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28FA45">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53DB82">
            <w:pPr>
              <w:jc w:val="center"/>
            </w:pPr>
            <w:r>
              <w:rPr>
                <w:rFonts w:ascii="宋体" w:hAnsi="宋体" w:eastAsia="宋体"/>
                <w:sz w:val="16"/>
              </w:rPr>
              <w:t>法律援助案件办结率（%）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98963A">
            <w:pPr>
              <w:jc w:val="center"/>
            </w:pPr>
            <w:r>
              <w:rPr>
                <w:rFonts w:ascii="宋体" w:hAnsi="宋体" w:eastAsia="宋体"/>
                <w:sz w:val="16"/>
              </w:rPr>
              <w:t>&gt;=96%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CC5F43">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F136B6">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9334AB">
            <w:pPr>
              <w:jc w:val="center"/>
            </w:pPr>
            <w:r>
              <w:rPr>
                <w:rFonts w:ascii="宋体" w:hAnsi="宋体" w:eastAsia="宋体"/>
                <w:sz w:val="16"/>
              </w:rPr>
              <w:t>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DD0F8E">
            <w:pPr>
              <w:jc w:val="center"/>
            </w:pPr>
            <w:r>
              <w:rPr>
                <w:rFonts w:ascii="宋体" w:hAnsi="宋体" w:eastAsia="宋体"/>
                <w:sz w:val="16"/>
              </w:rPr>
              <w:t>20</w:t>
            </w:r>
          </w:p>
        </w:tc>
      </w:tr>
      <w:tr w14:paraId="24A586B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0928549"/>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B4A4CA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B8EFD1">
            <w:pPr>
              <w:jc w:val="center"/>
            </w:pPr>
            <w:r>
              <w:rPr>
                <w:rFonts w:ascii="宋体" w:hAnsi="宋体" w:eastAsia="宋体"/>
                <w:sz w:val="16"/>
              </w:rPr>
              <w:t>检察机关案件办结率（%）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502811">
            <w:pPr>
              <w:jc w:val="center"/>
            </w:pPr>
            <w:r>
              <w:rPr>
                <w:rFonts w:ascii="宋体" w:hAnsi="宋体" w:eastAsia="宋体"/>
                <w:sz w:val="16"/>
              </w:rPr>
              <w:t>&gt;=96%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434F74">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263CC7">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C09E7C">
            <w:pPr>
              <w:jc w:val="center"/>
            </w:pPr>
            <w:r>
              <w:rPr>
                <w:rFonts w:ascii="宋体" w:hAnsi="宋体" w:eastAsia="宋体"/>
                <w:sz w:val="16"/>
              </w:rPr>
              <w:t>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245846">
            <w:pPr>
              <w:jc w:val="center"/>
            </w:pPr>
            <w:r>
              <w:rPr>
                <w:rFonts w:ascii="宋体" w:hAnsi="宋体" w:eastAsia="宋体"/>
                <w:sz w:val="16"/>
              </w:rPr>
              <w:t>15</w:t>
            </w:r>
          </w:p>
        </w:tc>
      </w:tr>
    </w:tbl>
    <w:p w14:paraId="7A04FAF1">
      <w:r>
        <w:br w:type="page"/>
      </w:r>
    </w:p>
    <w:tbl>
      <w:tblPr>
        <w:tblStyle w:val="9"/>
        <w:tblW w:w="5000" w:type="pct"/>
        <w:jc w:val="center"/>
        <w:tblLayout w:type="autofit"/>
        <w:tblCellMar>
          <w:top w:w="40" w:type="dxa"/>
          <w:left w:w="64" w:type="dxa"/>
          <w:bottom w:w="40" w:type="dxa"/>
          <w:right w:w="64" w:type="dxa"/>
        </w:tblCellMar>
      </w:tblPr>
      <w:tblGrid>
        <w:gridCol w:w="577"/>
        <w:gridCol w:w="518"/>
        <w:gridCol w:w="562"/>
        <w:gridCol w:w="1165"/>
        <w:gridCol w:w="806"/>
        <w:gridCol w:w="624"/>
        <w:gridCol w:w="574"/>
        <w:gridCol w:w="406"/>
        <w:gridCol w:w="703"/>
        <w:gridCol w:w="492"/>
        <w:gridCol w:w="757"/>
        <w:gridCol w:w="729"/>
        <w:gridCol w:w="1059"/>
      </w:tblGrid>
      <w:tr w14:paraId="28E4E4D0">
        <w:tblPrEx>
          <w:tblCellMar>
            <w:top w:w="40" w:type="dxa"/>
            <w:left w:w="64" w:type="dxa"/>
            <w:bottom w:w="40" w:type="dxa"/>
            <w:right w:w="64" w:type="dxa"/>
          </w:tblCellMar>
        </w:tblPrEx>
        <w:trPr>
          <w:trHeight w:val="0" w:hRule="atLeast"/>
          <w:jc w:val="center"/>
        </w:trPr>
        <w:tc>
          <w:tcPr>
            <w:tcW w:w="5000" w:type="pct"/>
            <w:gridSpan w:val="13"/>
            <w:vAlign w:val="center"/>
          </w:tcPr>
          <w:p w14:paraId="5A3376ED">
            <w:pPr>
              <w:snapToGrid w:val="0"/>
              <w:jc w:val="center"/>
            </w:pPr>
            <w:r>
              <w:rPr>
                <w:rFonts w:ascii="宋体" w:hAnsi="宋体" w:eastAsia="宋体"/>
                <w:sz w:val="24"/>
              </w:rPr>
              <w:t>项目支出绩效自评表</w:t>
            </w:r>
          </w:p>
        </w:tc>
      </w:tr>
      <w:tr w14:paraId="60F74E39">
        <w:tblPrEx>
          <w:tblCellMar>
            <w:top w:w="40" w:type="dxa"/>
            <w:left w:w="64" w:type="dxa"/>
            <w:bottom w:w="40" w:type="dxa"/>
            <w:right w:w="64" w:type="dxa"/>
          </w:tblCellMar>
        </w:tblPrEx>
        <w:trPr>
          <w:trHeight w:val="0" w:hRule="atLeast"/>
          <w:jc w:val="center"/>
        </w:trPr>
        <w:tc>
          <w:tcPr>
            <w:tcW w:w="5000" w:type="pct"/>
            <w:gridSpan w:val="13"/>
            <w:vAlign w:val="center"/>
          </w:tcPr>
          <w:p w14:paraId="5107CFD3">
            <w:pPr>
              <w:snapToGrid w:val="0"/>
              <w:jc w:val="center"/>
            </w:pPr>
            <w:r>
              <w:rPr>
                <w:rFonts w:ascii="宋体" w:hAnsi="宋体" w:eastAsia="宋体"/>
                <w:sz w:val="24"/>
              </w:rPr>
              <w:t>(2024年度)</w:t>
            </w:r>
          </w:p>
        </w:tc>
      </w:tr>
      <w:tr w14:paraId="36D51A6D">
        <w:tblPrEx>
          <w:tblCellMar>
            <w:top w:w="40" w:type="dxa"/>
            <w:left w:w="64" w:type="dxa"/>
            <w:bottom w:w="40" w:type="dxa"/>
            <w:right w:w="64" w:type="dxa"/>
          </w:tblCellMar>
        </w:tblPrEx>
        <w:trPr>
          <w:trHeight w:val="0" w:hRule="atLeast"/>
          <w:jc w:val="center"/>
        </w:trPr>
        <w:tc>
          <w:tcPr>
            <w:tcW w:w="322" w:type="pct"/>
            <w:tcBorders>
              <w:top w:val="single" w:color="auto" w:sz="10" w:space="0"/>
              <w:left w:val="single" w:color="auto" w:sz="10" w:space="0"/>
              <w:bottom w:val="single" w:color="auto" w:sz="10" w:space="0"/>
              <w:right w:val="single" w:color="auto" w:sz="10" w:space="0"/>
              <w:insideV w:val="single" w:sz="10" w:space="0"/>
            </w:tcBorders>
            <w:vAlign w:val="center"/>
          </w:tcPr>
          <w:p w14:paraId="587DBB64">
            <w:pPr>
              <w:snapToGrid w:val="0"/>
              <w:jc w:val="center"/>
            </w:pPr>
            <w:r>
              <w:rPr>
                <w:rFonts w:ascii="宋体" w:hAnsi="宋体" w:eastAsia="宋体"/>
                <w:sz w:val="16"/>
              </w:rPr>
              <w:t>项目名称</w:t>
            </w:r>
          </w:p>
        </w:tc>
        <w:tc>
          <w:tcPr>
            <w:tcW w:w="4677" w:type="pct"/>
            <w:gridSpan w:val="12"/>
            <w:tcBorders>
              <w:top w:val="single" w:color="auto" w:sz="10" w:space="0"/>
              <w:left w:val="single" w:color="auto" w:sz="10" w:space="0"/>
              <w:bottom w:val="single" w:color="auto" w:sz="10" w:space="0"/>
              <w:right w:val="single" w:color="auto" w:sz="10" w:space="0"/>
              <w:insideV w:val="single" w:sz="10" w:space="0"/>
            </w:tcBorders>
            <w:vAlign w:val="center"/>
          </w:tcPr>
          <w:p w14:paraId="242922D8">
            <w:pPr>
              <w:snapToGrid w:val="0"/>
              <w:jc w:val="center"/>
            </w:pPr>
            <w:r>
              <w:rPr>
                <w:rFonts w:ascii="宋体" w:hAnsi="宋体" w:eastAsia="宋体"/>
                <w:sz w:val="16"/>
              </w:rPr>
              <w:t>2023年末单位结转结余资金上年结转项目</w:t>
            </w:r>
          </w:p>
        </w:tc>
      </w:tr>
      <w:tr w14:paraId="387C9781">
        <w:tblPrEx>
          <w:tblCellMar>
            <w:top w:w="40" w:type="dxa"/>
            <w:left w:w="64" w:type="dxa"/>
            <w:bottom w:w="40" w:type="dxa"/>
            <w:right w:w="64" w:type="dxa"/>
          </w:tblCellMar>
        </w:tblPrEx>
        <w:trPr>
          <w:trHeight w:val="0" w:hRule="atLeast"/>
          <w:jc w:val="center"/>
        </w:trPr>
        <w:tc>
          <w:tcPr>
            <w:tcW w:w="322" w:type="pct"/>
            <w:tcBorders>
              <w:top w:val="single" w:color="auto" w:sz="10" w:space="0"/>
              <w:left w:val="single" w:color="auto" w:sz="10" w:space="0"/>
              <w:bottom w:val="single" w:color="auto" w:sz="10" w:space="0"/>
              <w:right w:val="single" w:color="auto" w:sz="10" w:space="0"/>
              <w:insideV w:val="single" w:sz="10" w:space="0"/>
            </w:tcBorders>
            <w:vAlign w:val="center"/>
          </w:tcPr>
          <w:p w14:paraId="00B77128">
            <w:pPr>
              <w:snapToGrid w:val="0"/>
              <w:jc w:val="center"/>
            </w:pPr>
            <w:r>
              <w:rPr>
                <w:rFonts w:ascii="宋体" w:hAnsi="宋体" w:eastAsia="宋体"/>
                <w:sz w:val="16"/>
              </w:rPr>
              <w:t>主管部门</w:t>
            </w:r>
          </w:p>
        </w:tc>
        <w:tc>
          <w:tcPr>
            <w:tcW w:w="2593" w:type="pct"/>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CCD9D8">
            <w:pPr>
              <w:snapToGrid w:val="0"/>
              <w:jc w:val="center"/>
            </w:pPr>
            <w:r>
              <w:rPr>
                <w:rFonts w:hint="eastAsia" w:ascii="宋体" w:hAnsi="宋体" w:eastAsia="宋体"/>
                <w:sz w:val="16"/>
              </w:rPr>
              <w:t>中共克孜勒苏柯尔克孜自治州委员会办公室</w:t>
            </w:r>
          </w:p>
        </w:tc>
        <w:tc>
          <w:tcPr>
            <w:tcW w:w="392" w:type="pct"/>
            <w:tcBorders>
              <w:top w:val="single" w:color="auto" w:sz="10" w:space="0"/>
              <w:left w:val="single" w:color="auto" w:sz="10" w:space="0"/>
              <w:bottom w:val="single" w:color="auto" w:sz="10" w:space="0"/>
              <w:right w:val="single" w:color="auto" w:sz="10" w:space="0"/>
              <w:insideV w:val="single" w:sz="10" w:space="0"/>
            </w:tcBorders>
            <w:vAlign w:val="center"/>
          </w:tcPr>
          <w:p w14:paraId="146DD423">
            <w:pPr>
              <w:snapToGrid w:val="0"/>
              <w:jc w:val="center"/>
            </w:pPr>
            <w:r>
              <w:rPr>
                <w:rFonts w:ascii="宋体" w:hAnsi="宋体" w:eastAsia="宋体"/>
                <w:sz w:val="16"/>
              </w:rPr>
              <w:t>实施单位</w:t>
            </w:r>
          </w:p>
        </w:tc>
        <w:tc>
          <w:tcPr>
            <w:tcW w:w="1691" w:type="pct"/>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3528C71">
            <w:pPr>
              <w:snapToGrid w:val="0"/>
              <w:jc w:val="center"/>
            </w:pPr>
            <w:r>
              <w:rPr>
                <w:rFonts w:ascii="宋体" w:hAnsi="宋体" w:eastAsia="宋体"/>
                <w:sz w:val="16"/>
              </w:rPr>
              <w:t>克孜勒苏柯尔克孜自治州检察院</w:t>
            </w:r>
          </w:p>
        </w:tc>
      </w:tr>
      <w:tr w14:paraId="323B3A70">
        <w:tblPrEx>
          <w:tblCellMar>
            <w:top w:w="40" w:type="dxa"/>
            <w:left w:w="64" w:type="dxa"/>
            <w:bottom w:w="40" w:type="dxa"/>
            <w:right w:w="64" w:type="dxa"/>
          </w:tblCellMar>
        </w:tblPrEx>
        <w:trPr>
          <w:trHeight w:val="0" w:hRule="atLeast"/>
          <w:jc w:val="center"/>
        </w:trPr>
        <w:tc>
          <w:tcPr>
            <w:tcW w:w="322" w:type="pct"/>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3BD5D8">
            <w:pPr>
              <w:snapToGrid w:val="0"/>
              <w:jc w:val="center"/>
            </w:pPr>
            <w:r>
              <w:rPr>
                <w:rFonts w:ascii="宋体" w:hAnsi="宋体" w:eastAsia="宋体"/>
                <w:sz w:val="16"/>
              </w:rPr>
              <w:t>项目资金 （万元）</w:t>
            </w:r>
          </w:p>
        </w:tc>
        <w:tc>
          <w:tcPr>
            <w:tcW w:w="602" w:type="pct"/>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9C9CC">
            <w:pPr>
              <w:snapToGrid w:val="0"/>
              <w:jc w:val="center"/>
            </w:pPr>
          </w:p>
        </w:tc>
        <w:tc>
          <w:tcPr>
            <w:tcW w:w="1098" w:type="pct"/>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AC638">
            <w:pPr>
              <w:snapToGrid w:val="0"/>
              <w:jc w:val="center"/>
            </w:pPr>
            <w:r>
              <w:rPr>
                <w:rFonts w:ascii="宋体" w:hAnsi="宋体" w:eastAsia="宋体"/>
                <w:sz w:val="16"/>
              </w:rPr>
              <w:t>年初预算数</w:t>
            </w:r>
          </w:p>
        </w:tc>
        <w:tc>
          <w:tcPr>
            <w:tcW w:w="668" w:type="pct"/>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02BB3">
            <w:pPr>
              <w:snapToGrid w:val="0"/>
              <w:jc w:val="center"/>
            </w:pPr>
            <w:r>
              <w:rPr>
                <w:rFonts w:ascii="宋体" w:hAnsi="宋体" w:eastAsia="宋体"/>
                <w:sz w:val="16"/>
              </w:rPr>
              <w:t>全年预算数</w:t>
            </w:r>
          </w:p>
        </w:tc>
        <w:tc>
          <w:tcPr>
            <w:tcW w:w="615" w:type="pct"/>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FA33F">
            <w:pPr>
              <w:snapToGrid w:val="0"/>
              <w:jc w:val="center"/>
            </w:pPr>
            <w:r>
              <w:rPr>
                <w:rFonts w:ascii="宋体" w:hAnsi="宋体" w:eastAsia="宋体"/>
                <w:sz w:val="16"/>
              </w:rPr>
              <w:t>全年执行数</w:t>
            </w:r>
          </w:p>
        </w:tc>
        <w:tc>
          <w:tcPr>
            <w:tcW w:w="696" w:type="pct"/>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91CDF">
            <w:pPr>
              <w:snapToGrid w:val="0"/>
              <w:jc w:val="center"/>
            </w:pPr>
            <w:r>
              <w:rPr>
                <w:rFonts w:ascii="宋体" w:hAnsi="宋体" w:eastAsia="宋体"/>
                <w:sz w:val="16"/>
              </w:rPr>
              <w:t>分值</w:t>
            </w:r>
          </w:p>
        </w:tc>
        <w:tc>
          <w:tcPr>
            <w:tcW w:w="406" w:type="pct"/>
            <w:tcBorders>
              <w:top w:val="single" w:color="auto" w:sz="10" w:space="0"/>
              <w:left w:val="single" w:color="auto" w:sz="10" w:space="0"/>
              <w:bottom w:val="single" w:color="auto" w:sz="10" w:space="0"/>
              <w:right w:val="single" w:color="auto" w:sz="10" w:space="0"/>
              <w:insideV w:val="single" w:sz="10" w:space="0"/>
            </w:tcBorders>
            <w:vAlign w:val="center"/>
          </w:tcPr>
          <w:p w14:paraId="4DCFBB16">
            <w:pPr>
              <w:snapToGrid w:val="0"/>
              <w:jc w:val="center"/>
            </w:pPr>
            <w:r>
              <w:rPr>
                <w:rFonts w:ascii="宋体" w:hAnsi="宋体" w:eastAsia="宋体"/>
                <w:sz w:val="16"/>
              </w:rPr>
              <w:t>执行率</w:t>
            </w:r>
          </w:p>
        </w:tc>
        <w:tc>
          <w:tcPr>
            <w:tcW w:w="588" w:type="pct"/>
            <w:tcBorders>
              <w:top w:val="single" w:color="auto" w:sz="10" w:space="0"/>
              <w:left w:val="single" w:color="auto" w:sz="10" w:space="0"/>
              <w:bottom w:val="single" w:color="auto" w:sz="10" w:space="0"/>
              <w:right w:val="single" w:color="auto" w:sz="10" w:space="0"/>
              <w:insideV w:val="single" w:sz="10" w:space="0"/>
            </w:tcBorders>
            <w:vAlign w:val="center"/>
          </w:tcPr>
          <w:p w14:paraId="5F505D8B">
            <w:pPr>
              <w:snapToGrid w:val="0"/>
              <w:jc w:val="center"/>
            </w:pPr>
            <w:r>
              <w:rPr>
                <w:rFonts w:ascii="宋体" w:hAnsi="宋体" w:eastAsia="宋体"/>
                <w:sz w:val="16"/>
              </w:rPr>
              <w:t>得分</w:t>
            </w:r>
          </w:p>
        </w:tc>
      </w:tr>
      <w:tr w14:paraId="7AEDFB23">
        <w:tblPrEx>
          <w:tblCellMar>
            <w:top w:w="40" w:type="dxa"/>
            <w:left w:w="64" w:type="dxa"/>
            <w:bottom w:w="40" w:type="dxa"/>
            <w:right w:w="64" w:type="dxa"/>
          </w:tblCellMar>
        </w:tblPrEx>
        <w:trPr>
          <w:trHeight w:val="0" w:hRule="atLeast"/>
          <w:jc w:val="center"/>
        </w:trPr>
        <w:tc>
          <w:tcPr>
            <w:tcW w:w="322" w:type="pct"/>
            <w:vMerge w:val="continue"/>
            <w:tcBorders>
              <w:top w:val="single" w:color="auto" w:sz="10" w:space="0"/>
              <w:left w:val="single" w:color="auto" w:sz="10" w:space="0"/>
              <w:bottom w:val="single" w:color="auto" w:sz="10" w:space="0"/>
              <w:right w:val="single" w:color="auto" w:sz="10" w:space="0"/>
              <w:insideV w:val="single" w:sz="10" w:space="0"/>
            </w:tcBorders>
          </w:tcPr>
          <w:p w14:paraId="1F865431">
            <w:pPr>
              <w:snapToGrid w:val="0"/>
            </w:pPr>
          </w:p>
        </w:tc>
        <w:tc>
          <w:tcPr>
            <w:tcW w:w="602" w:type="pct"/>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75DCE">
            <w:pPr>
              <w:snapToGrid w:val="0"/>
              <w:jc w:val="center"/>
            </w:pPr>
            <w:r>
              <w:rPr>
                <w:rFonts w:ascii="宋体" w:hAnsi="宋体" w:eastAsia="宋体"/>
                <w:sz w:val="16"/>
              </w:rPr>
              <w:t>年度资金总额</w:t>
            </w:r>
          </w:p>
        </w:tc>
        <w:tc>
          <w:tcPr>
            <w:tcW w:w="1098" w:type="pct"/>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AFA89">
            <w:pPr>
              <w:snapToGrid w:val="0"/>
              <w:jc w:val="center"/>
            </w:pPr>
            <w:r>
              <w:rPr>
                <w:rFonts w:ascii="宋体" w:hAnsi="宋体" w:eastAsia="宋体"/>
                <w:sz w:val="16"/>
              </w:rPr>
              <w:t>296.00</w:t>
            </w:r>
          </w:p>
        </w:tc>
        <w:tc>
          <w:tcPr>
            <w:tcW w:w="668" w:type="pct"/>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FB32F">
            <w:pPr>
              <w:snapToGrid w:val="0"/>
              <w:jc w:val="center"/>
            </w:pPr>
            <w:r>
              <w:rPr>
                <w:rFonts w:ascii="宋体" w:hAnsi="宋体" w:eastAsia="宋体"/>
                <w:sz w:val="16"/>
              </w:rPr>
              <w:t>296.00</w:t>
            </w:r>
          </w:p>
        </w:tc>
        <w:tc>
          <w:tcPr>
            <w:tcW w:w="615" w:type="pct"/>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60677">
            <w:pPr>
              <w:snapToGrid w:val="0"/>
              <w:jc w:val="center"/>
            </w:pPr>
            <w:r>
              <w:rPr>
                <w:rFonts w:ascii="宋体" w:hAnsi="宋体" w:eastAsia="宋体"/>
                <w:sz w:val="16"/>
              </w:rPr>
              <w:t>296.00</w:t>
            </w:r>
          </w:p>
        </w:tc>
        <w:tc>
          <w:tcPr>
            <w:tcW w:w="696" w:type="pct"/>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E5ED0">
            <w:pPr>
              <w:snapToGrid w:val="0"/>
              <w:jc w:val="center"/>
            </w:pPr>
            <w:r>
              <w:rPr>
                <w:rFonts w:ascii="宋体" w:hAnsi="宋体" w:eastAsia="宋体"/>
                <w:sz w:val="16"/>
              </w:rPr>
              <w:t>10</w:t>
            </w:r>
          </w:p>
        </w:tc>
        <w:tc>
          <w:tcPr>
            <w:tcW w:w="406" w:type="pct"/>
            <w:tcBorders>
              <w:top w:val="single" w:color="auto" w:sz="10" w:space="0"/>
              <w:left w:val="single" w:color="auto" w:sz="10" w:space="0"/>
              <w:bottom w:val="single" w:color="auto" w:sz="10" w:space="0"/>
              <w:right w:val="single" w:color="auto" w:sz="10" w:space="0"/>
              <w:insideV w:val="single" w:sz="10" w:space="0"/>
            </w:tcBorders>
            <w:vAlign w:val="center"/>
          </w:tcPr>
          <w:p w14:paraId="3F34CA3F">
            <w:pPr>
              <w:snapToGrid w:val="0"/>
              <w:jc w:val="center"/>
            </w:pPr>
            <w:r>
              <w:rPr>
                <w:rFonts w:ascii="宋体" w:hAnsi="宋体" w:eastAsia="宋体"/>
                <w:sz w:val="16"/>
              </w:rPr>
              <w:t>100.0%</w:t>
            </w:r>
          </w:p>
        </w:tc>
        <w:tc>
          <w:tcPr>
            <w:tcW w:w="588" w:type="pct"/>
            <w:tcBorders>
              <w:top w:val="single" w:color="auto" w:sz="10" w:space="0"/>
              <w:left w:val="single" w:color="auto" w:sz="10" w:space="0"/>
              <w:bottom w:val="single" w:color="auto" w:sz="10" w:space="0"/>
              <w:right w:val="single" w:color="auto" w:sz="10" w:space="0"/>
              <w:insideV w:val="single" w:sz="10" w:space="0"/>
            </w:tcBorders>
            <w:vAlign w:val="center"/>
          </w:tcPr>
          <w:p w14:paraId="1128B708">
            <w:pPr>
              <w:snapToGrid w:val="0"/>
              <w:jc w:val="center"/>
            </w:pPr>
            <w:r>
              <w:rPr>
                <w:rFonts w:ascii="宋体" w:hAnsi="宋体" w:eastAsia="宋体"/>
                <w:sz w:val="16"/>
              </w:rPr>
              <w:t>10.00分</w:t>
            </w:r>
          </w:p>
        </w:tc>
      </w:tr>
      <w:tr w14:paraId="3B4B1FC6">
        <w:tblPrEx>
          <w:tblCellMar>
            <w:top w:w="40" w:type="dxa"/>
            <w:left w:w="64" w:type="dxa"/>
            <w:bottom w:w="40" w:type="dxa"/>
            <w:right w:w="64" w:type="dxa"/>
          </w:tblCellMar>
        </w:tblPrEx>
        <w:trPr>
          <w:trHeight w:val="0" w:hRule="atLeast"/>
          <w:jc w:val="center"/>
        </w:trPr>
        <w:tc>
          <w:tcPr>
            <w:tcW w:w="322" w:type="pct"/>
            <w:vMerge w:val="continue"/>
            <w:tcBorders>
              <w:top w:val="single" w:color="auto" w:sz="10" w:space="0"/>
              <w:left w:val="single" w:color="auto" w:sz="10" w:space="0"/>
              <w:bottom w:val="single" w:color="auto" w:sz="10" w:space="0"/>
              <w:right w:val="single" w:color="auto" w:sz="10" w:space="0"/>
              <w:insideV w:val="single" w:sz="10" w:space="0"/>
            </w:tcBorders>
          </w:tcPr>
          <w:p w14:paraId="5D1ACE71">
            <w:pPr>
              <w:snapToGrid w:val="0"/>
            </w:pPr>
          </w:p>
        </w:tc>
        <w:tc>
          <w:tcPr>
            <w:tcW w:w="602" w:type="pct"/>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2310C">
            <w:pPr>
              <w:snapToGrid w:val="0"/>
              <w:jc w:val="center"/>
            </w:pPr>
            <w:r>
              <w:rPr>
                <w:rFonts w:ascii="宋体" w:hAnsi="宋体" w:eastAsia="宋体"/>
                <w:sz w:val="16"/>
              </w:rPr>
              <w:t>其中：当年财政拨款</w:t>
            </w:r>
          </w:p>
        </w:tc>
        <w:tc>
          <w:tcPr>
            <w:tcW w:w="1098" w:type="pct"/>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055A3">
            <w:pPr>
              <w:snapToGrid w:val="0"/>
              <w:jc w:val="center"/>
            </w:pPr>
            <w:r>
              <w:rPr>
                <w:rFonts w:ascii="宋体" w:hAnsi="宋体" w:eastAsia="宋体"/>
                <w:sz w:val="16"/>
              </w:rPr>
              <w:t>0.00</w:t>
            </w:r>
          </w:p>
        </w:tc>
        <w:tc>
          <w:tcPr>
            <w:tcW w:w="668" w:type="pct"/>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9B11D">
            <w:pPr>
              <w:snapToGrid w:val="0"/>
              <w:jc w:val="center"/>
            </w:pPr>
            <w:r>
              <w:rPr>
                <w:rFonts w:ascii="宋体" w:hAnsi="宋体" w:eastAsia="宋体"/>
                <w:sz w:val="16"/>
              </w:rPr>
              <w:t>0.00</w:t>
            </w:r>
          </w:p>
        </w:tc>
        <w:tc>
          <w:tcPr>
            <w:tcW w:w="615" w:type="pct"/>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D3387">
            <w:pPr>
              <w:snapToGrid w:val="0"/>
              <w:jc w:val="center"/>
            </w:pPr>
            <w:r>
              <w:rPr>
                <w:rFonts w:ascii="宋体" w:hAnsi="宋体" w:eastAsia="宋体"/>
                <w:sz w:val="16"/>
              </w:rPr>
              <w:t>0.00</w:t>
            </w:r>
            <w:bookmarkStart w:id="0" w:name="_GoBack"/>
            <w:bookmarkEnd w:id="0"/>
          </w:p>
        </w:tc>
        <w:tc>
          <w:tcPr>
            <w:tcW w:w="696" w:type="pct"/>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5A0C6">
            <w:pPr>
              <w:snapToGrid w:val="0"/>
              <w:jc w:val="center"/>
            </w:pPr>
            <w:r>
              <w:rPr>
                <w:rFonts w:ascii="宋体" w:hAnsi="宋体" w:eastAsia="宋体"/>
                <w:sz w:val="16"/>
              </w:rPr>
              <w:t>—</w:t>
            </w:r>
          </w:p>
        </w:tc>
        <w:tc>
          <w:tcPr>
            <w:tcW w:w="406" w:type="pct"/>
            <w:tcBorders>
              <w:top w:val="single" w:color="auto" w:sz="10" w:space="0"/>
              <w:left w:val="single" w:color="auto" w:sz="10" w:space="0"/>
              <w:bottom w:val="single" w:color="auto" w:sz="10" w:space="0"/>
              <w:right w:val="single" w:color="auto" w:sz="10" w:space="0"/>
              <w:insideV w:val="single" w:sz="10" w:space="0"/>
            </w:tcBorders>
            <w:vAlign w:val="center"/>
          </w:tcPr>
          <w:p w14:paraId="30F8C9F0">
            <w:pPr>
              <w:snapToGrid w:val="0"/>
              <w:jc w:val="center"/>
            </w:pPr>
            <w:r>
              <w:rPr>
                <w:rFonts w:ascii="宋体" w:hAnsi="宋体" w:eastAsia="宋体"/>
                <w:sz w:val="16"/>
              </w:rPr>
              <w:t>—</w:t>
            </w:r>
          </w:p>
        </w:tc>
        <w:tc>
          <w:tcPr>
            <w:tcW w:w="588" w:type="pct"/>
            <w:tcBorders>
              <w:top w:val="single" w:color="auto" w:sz="10" w:space="0"/>
              <w:left w:val="single" w:color="auto" w:sz="10" w:space="0"/>
              <w:bottom w:val="single" w:color="auto" w:sz="10" w:space="0"/>
              <w:right w:val="single" w:color="auto" w:sz="10" w:space="0"/>
              <w:insideV w:val="single" w:sz="10" w:space="0"/>
            </w:tcBorders>
            <w:vAlign w:val="center"/>
          </w:tcPr>
          <w:p w14:paraId="0AF4D942">
            <w:pPr>
              <w:snapToGrid w:val="0"/>
              <w:jc w:val="center"/>
            </w:pPr>
            <w:r>
              <w:rPr>
                <w:rFonts w:ascii="宋体" w:hAnsi="宋体" w:eastAsia="宋体"/>
                <w:sz w:val="16"/>
              </w:rPr>
              <w:t>—</w:t>
            </w:r>
          </w:p>
        </w:tc>
      </w:tr>
      <w:tr w14:paraId="6EE322E1">
        <w:tblPrEx>
          <w:tblCellMar>
            <w:top w:w="40" w:type="dxa"/>
            <w:left w:w="64" w:type="dxa"/>
            <w:bottom w:w="40" w:type="dxa"/>
            <w:right w:w="64" w:type="dxa"/>
          </w:tblCellMar>
        </w:tblPrEx>
        <w:trPr>
          <w:trHeight w:val="0" w:hRule="atLeast"/>
          <w:jc w:val="center"/>
        </w:trPr>
        <w:tc>
          <w:tcPr>
            <w:tcW w:w="322" w:type="pct"/>
            <w:vMerge w:val="continue"/>
            <w:tcBorders>
              <w:top w:val="single" w:color="auto" w:sz="10" w:space="0"/>
              <w:left w:val="single" w:color="auto" w:sz="10" w:space="0"/>
              <w:bottom w:val="single" w:color="auto" w:sz="10" w:space="0"/>
              <w:right w:val="single" w:color="auto" w:sz="10" w:space="0"/>
              <w:insideV w:val="single" w:sz="10" w:space="0"/>
            </w:tcBorders>
          </w:tcPr>
          <w:p w14:paraId="0575111D">
            <w:pPr>
              <w:snapToGrid w:val="0"/>
            </w:pPr>
          </w:p>
        </w:tc>
        <w:tc>
          <w:tcPr>
            <w:tcW w:w="602" w:type="pct"/>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53E14">
            <w:pPr>
              <w:snapToGrid w:val="0"/>
              <w:jc w:val="center"/>
            </w:pPr>
            <w:r>
              <w:rPr>
                <w:rFonts w:ascii="宋体" w:hAnsi="宋体" w:eastAsia="宋体"/>
                <w:sz w:val="16"/>
              </w:rPr>
              <w:t xml:space="preserve">  其他资金</w:t>
            </w:r>
          </w:p>
        </w:tc>
        <w:tc>
          <w:tcPr>
            <w:tcW w:w="1098" w:type="pct"/>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106B6">
            <w:pPr>
              <w:snapToGrid w:val="0"/>
              <w:jc w:val="center"/>
            </w:pPr>
            <w:r>
              <w:rPr>
                <w:rFonts w:ascii="宋体" w:hAnsi="宋体" w:eastAsia="宋体"/>
                <w:sz w:val="16"/>
              </w:rPr>
              <w:t>296.00</w:t>
            </w:r>
          </w:p>
        </w:tc>
        <w:tc>
          <w:tcPr>
            <w:tcW w:w="668" w:type="pct"/>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F26FC">
            <w:pPr>
              <w:snapToGrid w:val="0"/>
              <w:jc w:val="center"/>
            </w:pPr>
            <w:r>
              <w:rPr>
                <w:rFonts w:ascii="宋体" w:hAnsi="宋体" w:eastAsia="宋体"/>
                <w:sz w:val="16"/>
              </w:rPr>
              <w:t>296.00</w:t>
            </w:r>
          </w:p>
        </w:tc>
        <w:tc>
          <w:tcPr>
            <w:tcW w:w="615" w:type="pct"/>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1123D">
            <w:pPr>
              <w:snapToGrid w:val="0"/>
              <w:jc w:val="center"/>
            </w:pPr>
            <w:r>
              <w:rPr>
                <w:rFonts w:ascii="宋体" w:hAnsi="宋体" w:eastAsia="宋体"/>
                <w:sz w:val="16"/>
              </w:rPr>
              <w:t>296.00</w:t>
            </w:r>
          </w:p>
        </w:tc>
        <w:tc>
          <w:tcPr>
            <w:tcW w:w="696" w:type="pct"/>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2073F">
            <w:pPr>
              <w:snapToGrid w:val="0"/>
              <w:jc w:val="center"/>
            </w:pPr>
            <w:r>
              <w:rPr>
                <w:rFonts w:ascii="宋体" w:hAnsi="宋体" w:eastAsia="宋体"/>
                <w:sz w:val="16"/>
              </w:rPr>
              <w:t>—</w:t>
            </w:r>
          </w:p>
        </w:tc>
        <w:tc>
          <w:tcPr>
            <w:tcW w:w="406" w:type="pct"/>
            <w:tcBorders>
              <w:top w:val="single" w:color="auto" w:sz="10" w:space="0"/>
              <w:left w:val="single" w:color="auto" w:sz="10" w:space="0"/>
              <w:bottom w:val="single" w:color="auto" w:sz="10" w:space="0"/>
              <w:right w:val="single" w:color="auto" w:sz="10" w:space="0"/>
              <w:insideV w:val="single" w:sz="10" w:space="0"/>
            </w:tcBorders>
            <w:vAlign w:val="center"/>
          </w:tcPr>
          <w:p w14:paraId="7D0EE79D">
            <w:pPr>
              <w:snapToGrid w:val="0"/>
              <w:jc w:val="center"/>
            </w:pPr>
            <w:r>
              <w:rPr>
                <w:rFonts w:ascii="宋体" w:hAnsi="宋体" w:eastAsia="宋体"/>
                <w:sz w:val="16"/>
              </w:rPr>
              <w:t>—</w:t>
            </w:r>
          </w:p>
        </w:tc>
        <w:tc>
          <w:tcPr>
            <w:tcW w:w="588" w:type="pct"/>
            <w:tcBorders>
              <w:top w:val="single" w:color="auto" w:sz="10" w:space="0"/>
              <w:left w:val="single" w:color="auto" w:sz="10" w:space="0"/>
              <w:bottom w:val="single" w:color="auto" w:sz="10" w:space="0"/>
              <w:right w:val="single" w:color="auto" w:sz="10" w:space="0"/>
              <w:insideV w:val="single" w:sz="10" w:space="0"/>
            </w:tcBorders>
            <w:vAlign w:val="center"/>
          </w:tcPr>
          <w:p w14:paraId="1BA0758A">
            <w:pPr>
              <w:snapToGrid w:val="0"/>
              <w:jc w:val="center"/>
            </w:pPr>
            <w:r>
              <w:rPr>
                <w:rFonts w:ascii="宋体" w:hAnsi="宋体" w:eastAsia="宋体"/>
                <w:sz w:val="16"/>
              </w:rPr>
              <w:t>—</w:t>
            </w:r>
          </w:p>
        </w:tc>
      </w:tr>
      <w:tr w14:paraId="313FAB46">
        <w:tblPrEx>
          <w:tblCellMar>
            <w:top w:w="40" w:type="dxa"/>
            <w:left w:w="64" w:type="dxa"/>
            <w:bottom w:w="40" w:type="dxa"/>
            <w:right w:w="64" w:type="dxa"/>
          </w:tblCellMar>
        </w:tblPrEx>
        <w:trPr>
          <w:trHeight w:val="0" w:hRule="atLeast"/>
          <w:jc w:val="center"/>
        </w:trPr>
        <w:tc>
          <w:tcPr>
            <w:tcW w:w="322" w:type="pct"/>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24698B">
            <w:pPr>
              <w:snapToGrid w:val="0"/>
              <w:jc w:val="center"/>
            </w:pPr>
            <w:r>
              <w:rPr>
                <w:rFonts w:ascii="宋体" w:hAnsi="宋体" w:eastAsia="宋体"/>
                <w:sz w:val="16"/>
              </w:rPr>
              <w:t>三、目标完成情况</w:t>
            </w:r>
          </w:p>
        </w:tc>
        <w:tc>
          <w:tcPr>
            <w:tcW w:w="2593" w:type="pct"/>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ECE41B">
            <w:pPr>
              <w:snapToGrid w:val="0"/>
              <w:jc w:val="center"/>
            </w:pPr>
            <w:r>
              <w:rPr>
                <w:rFonts w:ascii="宋体" w:hAnsi="宋体" w:eastAsia="宋体"/>
                <w:sz w:val="16"/>
              </w:rPr>
              <w:t>预期目标</w:t>
            </w:r>
          </w:p>
        </w:tc>
        <w:tc>
          <w:tcPr>
            <w:tcW w:w="2084" w:type="pct"/>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567795">
            <w:pPr>
              <w:snapToGrid w:val="0"/>
              <w:jc w:val="center"/>
            </w:pPr>
            <w:r>
              <w:rPr>
                <w:rFonts w:ascii="宋体" w:hAnsi="宋体" w:eastAsia="宋体"/>
                <w:sz w:val="16"/>
              </w:rPr>
              <w:t>实际完成情况</w:t>
            </w:r>
          </w:p>
        </w:tc>
      </w:tr>
      <w:tr w14:paraId="69EECFDF">
        <w:tblPrEx>
          <w:tblCellMar>
            <w:top w:w="40" w:type="dxa"/>
            <w:left w:w="64" w:type="dxa"/>
            <w:bottom w:w="40" w:type="dxa"/>
            <w:right w:w="64" w:type="dxa"/>
          </w:tblCellMar>
        </w:tblPrEx>
        <w:trPr>
          <w:trHeight w:val="0" w:hRule="atLeast"/>
          <w:jc w:val="center"/>
        </w:trPr>
        <w:tc>
          <w:tcPr>
            <w:tcW w:w="322" w:type="pct"/>
            <w:vMerge w:val="continue"/>
            <w:tcBorders>
              <w:top w:val="single" w:color="auto" w:sz="10" w:space="0"/>
              <w:left w:val="single" w:color="auto" w:sz="10" w:space="0"/>
              <w:bottom w:val="single" w:color="auto" w:sz="10" w:space="0"/>
              <w:right w:val="single" w:color="auto" w:sz="10" w:space="0"/>
              <w:insideV w:val="single" w:sz="10" w:space="0"/>
            </w:tcBorders>
          </w:tcPr>
          <w:p w14:paraId="6EE0E936">
            <w:pPr>
              <w:snapToGrid w:val="0"/>
            </w:pPr>
          </w:p>
        </w:tc>
        <w:tc>
          <w:tcPr>
            <w:tcW w:w="2593" w:type="pct"/>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5AC86D">
            <w:pPr>
              <w:snapToGrid w:val="0"/>
              <w:jc w:val="both"/>
            </w:pPr>
            <w:r>
              <w:rPr>
                <w:rFonts w:ascii="宋体" w:hAnsi="宋体" w:eastAsia="宋体"/>
                <w:sz w:val="16"/>
              </w:rPr>
              <w:t>江苏省各检察</w:t>
            </w:r>
            <w:r>
              <w:rPr>
                <w:rFonts w:hint="eastAsia" w:ascii="宋体" w:hAnsi="宋体"/>
                <w:sz w:val="16"/>
                <w:lang w:eastAsia="zh-CN"/>
              </w:rPr>
              <w:t>院</w:t>
            </w:r>
            <w:r>
              <w:rPr>
                <w:rFonts w:ascii="宋体" w:hAnsi="宋体" w:eastAsia="宋体"/>
                <w:sz w:val="16"/>
              </w:rPr>
              <w:t>为认真贯彻落实中央关于援疆工作的决策部署和省委、最高人民检察院对口援助的工作要求，持续深化</w:t>
            </w:r>
            <w:r>
              <w:rPr>
                <w:rFonts w:hint="eastAsia" w:ascii="宋体" w:hAnsi="宋体"/>
                <w:sz w:val="16"/>
                <w:lang w:eastAsia="zh-CN"/>
              </w:rPr>
              <w:t>检察院</w:t>
            </w:r>
            <w:r>
              <w:rPr>
                <w:rFonts w:ascii="宋体" w:hAnsi="宋体" w:eastAsia="宋体"/>
                <w:sz w:val="16"/>
              </w:rPr>
              <w:t>业务、干部人才、教育培训、检察文化、信息科技和资金项目“六位一体”援助格局，坚持统筹推进，优化援助，推动双赢共赢，不断加强苏疆两地交融，大力支持克州检察事业发展。</w:t>
            </w:r>
          </w:p>
        </w:tc>
        <w:tc>
          <w:tcPr>
            <w:tcW w:w="2084" w:type="pct"/>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89CCD0">
            <w:pPr>
              <w:snapToGrid w:val="0"/>
              <w:jc w:val="both"/>
            </w:pPr>
            <w:r>
              <w:rPr>
                <w:rFonts w:ascii="宋体" w:hAnsi="宋体" w:eastAsia="宋体"/>
                <w:sz w:val="16"/>
              </w:rPr>
              <w:t>截至2024年12月31日，已完成：保障人员数70人，支持单位办案数1500件，支持项目数量4个，保障食堂数量1个，通过该项目实施，坚持统筹推进，优化援助，推动双赢共赢，不断加强苏疆两地交融，大力支持克州检察事业发展。</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1390DA46">
        <w:tblPrEx>
          <w:tblCellMar>
            <w:top w:w="40" w:type="dxa"/>
            <w:left w:w="64" w:type="dxa"/>
            <w:bottom w:w="40" w:type="dxa"/>
            <w:right w:w="64" w:type="dxa"/>
          </w:tblCellMar>
        </w:tblPrEx>
        <w:trPr>
          <w:trHeight w:val="0" w:hRule="atLeast"/>
          <w:jc w:val="center"/>
        </w:trPr>
        <w:tc>
          <w:tcPr>
            <w:tcW w:w="322" w:type="pct"/>
            <w:tcBorders>
              <w:top w:val="single" w:color="auto" w:sz="10" w:space="0"/>
              <w:left w:val="single" w:color="auto" w:sz="10" w:space="0"/>
              <w:bottom w:val="single" w:color="auto" w:sz="10" w:space="0"/>
              <w:right w:val="single" w:color="auto" w:sz="10" w:space="0"/>
              <w:insideV w:val="single" w:sz="10" w:space="0"/>
            </w:tcBorders>
          </w:tcPr>
          <w:p w14:paraId="26253BA8">
            <w:pPr>
              <w:snapToGrid w:val="0"/>
            </w:pPr>
          </w:p>
        </w:tc>
        <w:tc>
          <w:tcPr>
            <w:tcW w:w="289" w:type="pct"/>
            <w:tcBorders>
              <w:top w:val="single" w:color="auto" w:sz="10" w:space="0"/>
              <w:left w:val="single" w:color="auto" w:sz="10" w:space="0"/>
              <w:bottom w:val="single" w:color="auto" w:sz="10" w:space="0"/>
              <w:right w:val="single" w:color="auto" w:sz="10" w:space="0"/>
              <w:insideV w:val="single" w:sz="10" w:space="0"/>
            </w:tcBorders>
            <w:vAlign w:val="center"/>
          </w:tcPr>
          <w:p w14:paraId="39264056">
            <w:pPr>
              <w:snapToGrid w:val="0"/>
              <w:jc w:val="center"/>
            </w:pPr>
            <w:r>
              <w:rPr>
                <w:rFonts w:ascii="宋体" w:hAnsi="宋体" w:eastAsia="宋体"/>
                <w:sz w:val="16"/>
              </w:rPr>
              <w:t>一级指标</w:t>
            </w:r>
          </w:p>
        </w:tc>
        <w:tc>
          <w:tcPr>
            <w:tcW w:w="313" w:type="pct"/>
            <w:tcBorders>
              <w:top w:val="single" w:color="auto" w:sz="10" w:space="0"/>
              <w:left w:val="single" w:color="auto" w:sz="10" w:space="0"/>
              <w:bottom w:val="single" w:color="auto" w:sz="10" w:space="0"/>
              <w:right w:val="single" w:color="auto" w:sz="10" w:space="0"/>
              <w:insideV w:val="single" w:sz="10" w:space="0"/>
            </w:tcBorders>
            <w:vAlign w:val="center"/>
          </w:tcPr>
          <w:p w14:paraId="0BBD1F3E">
            <w:pPr>
              <w:snapToGrid w:val="0"/>
              <w:jc w:val="center"/>
            </w:pPr>
            <w:r>
              <w:rPr>
                <w:rFonts w:ascii="宋体" w:hAnsi="宋体" w:eastAsia="宋体"/>
                <w:sz w:val="16"/>
              </w:rPr>
              <w:t>二级指标</w:t>
            </w:r>
          </w:p>
        </w:tc>
        <w:tc>
          <w:tcPr>
            <w:tcW w:w="649" w:type="pct"/>
            <w:tcBorders>
              <w:top w:val="single" w:color="auto" w:sz="10" w:space="0"/>
              <w:left w:val="single" w:color="auto" w:sz="10" w:space="0"/>
              <w:bottom w:val="single" w:color="auto" w:sz="10" w:space="0"/>
              <w:right w:val="single" w:color="auto" w:sz="10" w:space="0"/>
              <w:insideV w:val="single" w:sz="10" w:space="0"/>
            </w:tcBorders>
            <w:vAlign w:val="center"/>
          </w:tcPr>
          <w:p w14:paraId="4F3B53A1">
            <w:pPr>
              <w:snapToGrid w:val="0"/>
              <w:jc w:val="center"/>
            </w:pPr>
            <w:r>
              <w:rPr>
                <w:rFonts w:ascii="宋体" w:hAnsi="宋体" w:eastAsia="宋体"/>
                <w:sz w:val="16"/>
              </w:rPr>
              <w:t>三级指标</w:t>
            </w:r>
          </w:p>
        </w:tc>
        <w:tc>
          <w:tcPr>
            <w:tcW w:w="449" w:type="pct"/>
            <w:tcBorders>
              <w:top w:val="single" w:color="auto" w:sz="10" w:space="0"/>
              <w:left w:val="single" w:color="auto" w:sz="10" w:space="0"/>
              <w:bottom w:val="single" w:color="auto" w:sz="10" w:space="0"/>
              <w:right w:val="single" w:color="auto" w:sz="10" w:space="0"/>
              <w:insideV w:val="single" w:sz="10" w:space="0"/>
            </w:tcBorders>
            <w:vAlign w:val="center"/>
          </w:tcPr>
          <w:p w14:paraId="4CBB19C0">
            <w:pPr>
              <w:snapToGrid w:val="0"/>
              <w:jc w:val="center"/>
            </w:pPr>
            <w:r>
              <w:rPr>
                <w:rFonts w:ascii="宋体" w:hAnsi="宋体" w:eastAsia="宋体"/>
                <w:sz w:val="16"/>
              </w:rPr>
              <w:t>年度指标值</w:t>
            </w:r>
          </w:p>
        </w:tc>
        <w:tc>
          <w:tcPr>
            <w:tcW w:w="348" w:type="pct"/>
            <w:tcBorders>
              <w:top w:val="single" w:color="auto" w:sz="10" w:space="0"/>
              <w:left w:val="single" w:color="auto" w:sz="10" w:space="0"/>
              <w:bottom w:val="single" w:color="auto" w:sz="10" w:space="0"/>
              <w:right w:val="single" w:color="auto" w:sz="10" w:space="0"/>
              <w:insideV w:val="single" w:sz="10" w:space="0"/>
            </w:tcBorders>
            <w:vAlign w:val="center"/>
          </w:tcPr>
          <w:p w14:paraId="5641EF0B">
            <w:pPr>
              <w:snapToGrid w:val="0"/>
              <w:jc w:val="center"/>
            </w:pPr>
            <w:r>
              <w:rPr>
                <w:rFonts w:ascii="宋体" w:hAnsi="宋体" w:eastAsia="宋体"/>
                <w:sz w:val="16"/>
              </w:rPr>
              <w:t>指标值设定依据</w:t>
            </w:r>
          </w:p>
        </w:tc>
        <w:tc>
          <w:tcPr>
            <w:tcW w:w="319" w:type="pct"/>
            <w:tcBorders>
              <w:top w:val="single" w:color="auto" w:sz="10" w:space="0"/>
              <w:left w:val="single" w:color="auto" w:sz="10" w:space="0"/>
              <w:bottom w:val="single" w:color="auto" w:sz="10" w:space="0"/>
              <w:right w:val="single" w:color="auto" w:sz="10" w:space="0"/>
              <w:insideV w:val="single" w:sz="10" w:space="0"/>
            </w:tcBorders>
            <w:vAlign w:val="center"/>
          </w:tcPr>
          <w:p w14:paraId="1880D07C">
            <w:pPr>
              <w:snapToGrid w:val="0"/>
              <w:jc w:val="center"/>
            </w:pPr>
            <w:r>
              <w:rPr>
                <w:rFonts w:ascii="宋体" w:hAnsi="宋体" w:eastAsia="宋体"/>
                <w:sz w:val="16"/>
              </w:rPr>
              <w:t>上年完成情况</w:t>
            </w:r>
          </w:p>
        </w:tc>
        <w:tc>
          <w:tcPr>
            <w:tcW w:w="222" w:type="pct"/>
            <w:tcBorders>
              <w:top w:val="single" w:color="auto" w:sz="10" w:space="0"/>
              <w:left w:val="single" w:color="auto" w:sz="10" w:space="0"/>
              <w:bottom w:val="single" w:color="auto" w:sz="10" w:space="0"/>
              <w:right w:val="single" w:color="auto" w:sz="10" w:space="0"/>
              <w:insideV w:val="single" w:sz="10" w:space="0"/>
            </w:tcBorders>
            <w:vAlign w:val="center"/>
          </w:tcPr>
          <w:p w14:paraId="7047ADF1">
            <w:pPr>
              <w:snapToGrid w:val="0"/>
              <w:jc w:val="center"/>
            </w:pPr>
            <w:r>
              <w:rPr>
                <w:rFonts w:ascii="宋体" w:hAnsi="宋体" w:eastAsia="宋体"/>
                <w:sz w:val="16"/>
              </w:rPr>
              <w:t>权重</w:t>
            </w:r>
          </w:p>
        </w:tc>
        <w:tc>
          <w:tcPr>
            <w:tcW w:w="392" w:type="pct"/>
            <w:tcBorders>
              <w:top w:val="single" w:color="auto" w:sz="10" w:space="0"/>
              <w:left w:val="single" w:color="auto" w:sz="10" w:space="0"/>
              <w:bottom w:val="single" w:color="auto" w:sz="10" w:space="0"/>
              <w:right w:val="single" w:color="auto" w:sz="10" w:space="0"/>
              <w:insideV w:val="single" w:sz="10" w:space="0"/>
            </w:tcBorders>
            <w:vAlign w:val="center"/>
          </w:tcPr>
          <w:p w14:paraId="633612E7">
            <w:pPr>
              <w:snapToGrid w:val="0"/>
              <w:jc w:val="center"/>
            </w:pPr>
            <w:r>
              <w:rPr>
                <w:rFonts w:ascii="宋体" w:hAnsi="宋体" w:eastAsia="宋体"/>
                <w:sz w:val="16"/>
              </w:rPr>
              <w:t>赋分规则</w:t>
            </w:r>
          </w:p>
        </w:tc>
        <w:tc>
          <w:tcPr>
            <w:tcW w:w="274" w:type="pct"/>
            <w:tcBorders>
              <w:top w:val="single" w:color="auto" w:sz="10" w:space="0"/>
              <w:left w:val="single" w:color="auto" w:sz="10" w:space="0"/>
              <w:bottom w:val="single" w:color="auto" w:sz="10" w:space="0"/>
              <w:right w:val="single" w:color="auto" w:sz="10" w:space="0"/>
              <w:insideV w:val="single" w:sz="10" w:space="0"/>
            </w:tcBorders>
            <w:vAlign w:val="center"/>
          </w:tcPr>
          <w:p w14:paraId="6C351E7B">
            <w:pPr>
              <w:snapToGrid w:val="0"/>
              <w:jc w:val="center"/>
            </w:pPr>
            <w:r>
              <w:rPr>
                <w:rFonts w:ascii="宋体" w:hAnsi="宋体" w:eastAsia="宋体"/>
                <w:sz w:val="16"/>
              </w:rPr>
              <w:t>佐证资料</w:t>
            </w:r>
          </w:p>
        </w:tc>
        <w:tc>
          <w:tcPr>
            <w:tcW w:w="421" w:type="pct"/>
            <w:tcBorders>
              <w:top w:val="single" w:color="auto" w:sz="10" w:space="0"/>
              <w:left w:val="single" w:color="auto" w:sz="10" w:space="0"/>
              <w:bottom w:val="single" w:color="auto" w:sz="10" w:space="0"/>
              <w:right w:val="single" w:color="auto" w:sz="10" w:space="0"/>
              <w:insideV w:val="single" w:sz="10" w:space="0"/>
            </w:tcBorders>
            <w:vAlign w:val="center"/>
          </w:tcPr>
          <w:p w14:paraId="4375E290">
            <w:pPr>
              <w:snapToGrid w:val="0"/>
              <w:jc w:val="center"/>
            </w:pPr>
            <w:r>
              <w:rPr>
                <w:rFonts w:ascii="宋体" w:hAnsi="宋体" w:eastAsia="宋体"/>
                <w:sz w:val="16"/>
              </w:rPr>
              <w:t>实际完成值</w:t>
            </w:r>
          </w:p>
        </w:tc>
        <w:tc>
          <w:tcPr>
            <w:tcW w:w="406" w:type="pct"/>
            <w:tcBorders>
              <w:top w:val="single" w:color="auto" w:sz="10" w:space="0"/>
              <w:left w:val="single" w:color="auto" w:sz="10" w:space="0"/>
              <w:bottom w:val="single" w:color="auto" w:sz="10" w:space="0"/>
              <w:right w:val="single" w:color="auto" w:sz="10" w:space="0"/>
              <w:insideV w:val="single" w:sz="10" w:space="0"/>
            </w:tcBorders>
            <w:vAlign w:val="center"/>
          </w:tcPr>
          <w:p w14:paraId="480DB013">
            <w:pPr>
              <w:snapToGrid w:val="0"/>
              <w:jc w:val="center"/>
            </w:pPr>
            <w:r>
              <w:rPr>
                <w:rFonts w:ascii="宋体" w:hAnsi="宋体" w:eastAsia="宋体"/>
                <w:sz w:val="16"/>
              </w:rPr>
              <w:t>得分</w:t>
            </w:r>
          </w:p>
        </w:tc>
        <w:tc>
          <w:tcPr>
            <w:tcW w:w="588" w:type="pct"/>
            <w:tcBorders>
              <w:top w:val="single" w:color="auto" w:sz="10" w:space="0"/>
              <w:left w:val="single" w:color="auto" w:sz="10" w:space="0"/>
              <w:bottom w:val="single" w:color="auto" w:sz="10" w:space="0"/>
              <w:right w:val="single" w:color="auto" w:sz="10" w:space="0"/>
              <w:insideV w:val="single" w:sz="10" w:space="0"/>
            </w:tcBorders>
            <w:vAlign w:val="center"/>
          </w:tcPr>
          <w:p w14:paraId="49C77580">
            <w:pPr>
              <w:snapToGrid w:val="0"/>
              <w:jc w:val="center"/>
            </w:pPr>
            <w:r>
              <w:rPr>
                <w:rFonts w:ascii="宋体" w:hAnsi="宋体" w:eastAsia="宋体"/>
                <w:sz w:val="16"/>
              </w:rPr>
              <w:t>偏差原因分析及改进措施</w:t>
            </w:r>
          </w:p>
        </w:tc>
      </w:tr>
      <w:tr w14:paraId="113FCD43">
        <w:tblPrEx>
          <w:tblCellMar>
            <w:top w:w="40" w:type="dxa"/>
            <w:left w:w="64" w:type="dxa"/>
            <w:bottom w:w="40" w:type="dxa"/>
            <w:right w:w="64" w:type="dxa"/>
          </w:tblCellMar>
        </w:tblPrEx>
        <w:trPr>
          <w:trHeight w:val="0" w:hRule="atLeast"/>
          <w:jc w:val="center"/>
        </w:trPr>
        <w:tc>
          <w:tcPr>
            <w:tcW w:w="322" w:type="pct"/>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819F4C">
            <w:pPr>
              <w:snapToGrid w:val="0"/>
              <w:jc w:val="center"/>
            </w:pPr>
            <w:r>
              <w:rPr>
                <w:rFonts w:ascii="宋体" w:hAnsi="宋体" w:eastAsia="宋体"/>
                <w:sz w:val="16"/>
              </w:rPr>
              <w:t>年度绩效指标完成情况</w:t>
            </w:r>
          </w:p>
        </w:tc>
        <w:tc>
          <w:tcPr>
            <w:tcW w:w="289" w:type="pct"/>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BBADA5">
            <w:pPr>
              <w:snapToGrid w:val="0"/>
              <w:jc w:val="center"/>
            </w:pPr>
            <w:r>
              <w:rPr>
                <w:rFonts w:ascii="宋体" w:hAnsi="宋体" w:eastAsia="宋体"/>
                <w:sz w:val="16"/>
              </w:rPr>
              <w:t>产出指标</w:t>
            </w:r>
          </w:p>
        </w:tc>
        <w:tc>
          <w:tcPr>
            <w:tcW w:w="313" w:type="pct"/>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F359F2">
            <w:pPr>
              <w:snapToGrid w:val="0"/>
              <w:jc w:val="center"/>
            </w:pPr>
            <w:r>
              <w:rPr>
                <w:rFonts w:ascii="宋体" w:hAnsi="宋体" w:eastAsia="宋体"/>
                <w:sz w:val="16"/>
              </w:rPr>
              <w:t>数量指标</w:t>
            </w:r>
          </w:p>
        </w:tc>
        <w:tc>
          <w:tcPr>
            <w:tcW w:w="649" w:type="pct"/>
            <w:tcBorders>
              <w:top w:val="single" w:color="auto" w:sz="10" w:space="0"/>
              <w:left w:val="single" w:color="auto" w:sz="10" w:space="0"/>
              <w:bottom w:val="single" w:color="auto" w:sz="10" w:space="0"/>
              <w:right w:val="single" w:color="auto" w:sz="10" w:space="0"/>
              <w:insideV w:val="single" w:sz="10" w:space="0"/>
            </w:tcBorders>
            <w:vAlign w:val="center"/>
          </w:tcPr>
          <w:p w14:paraId="76E58B3E">
            <w:pPr>
              <w:snapToGrid w:val="0"/>
              <w:jc w:val="center"/>
            </w:pPr>
            <w:r>
              <w:rPr>
                <w:rFonts w:ascii="宋体" w:hAnsi="宋体" w:eastAsia="宋体"/>
                <w:sz w:val="16"/>
              </w:rPr>
              <w:t>保障人员数（人）</w:t>
            </w:r>
          </w:p>
        </w:tc>
        <w:tc>
          <w:tcPr>
            <w:tcW w:w="449" w:type="pct"/>
            <w:tcBorders>
              <w:top w:val="single" w:color="auto" w:sz="10" w:space="0"/>
              <w:left w:val="single" w:color="auto" w:sz="10" w:space="0"/>
              <w:bottom w:val="single" w:color="auto" w:sz="10" w:space="0"/>
              <w:right w:val="single" w:color="auto" w:sz="10" w:space="0"/>
              <w:insideV w:val="single" w:sz="10" w:space="0"/>
            </w:tcBorders>
            <w:vAlign w:val="center"/>
          </w:tcPr>
          <w:p w14:paraId="07F797BF">
            <w:pPr>
              <w:snapToGrid w:val="0"/>
              <w:jc w:val="center"/>
            </w:pPr>
            <w:r>
              <w:rPr>
                <w:rFonts w:ascii="宋体" w:hAnsi="宋体" w:eastAsia="宋体"/>
                <w:sz w:val="16"/>
              </w:rPr>
              <w:t>&gt;=70人</w:t>
            </w:r>
          </w:p>
        </w:tc>
        <w:tc>
          <w:tcPr>
            <w:tcW w:w="348" w:type="pct"/>
            <w:tcBorders>
              <w:top w:val="single" w:color="auto" w:sz="10" w:space="0"/>
              <w:left w:val="single" w:color="auto" w:sz="10" w:space="0"/>
              <w:bottom w:val="single" w:color="auto" w:sz="10" w:space="0"/>
              <w:right w:val="single" w:color="auto" w:sz="10" w:space="0"/>
              <w:insideV w:val="single" w:sz="10" w:space="0"/>
            </w:tcBorders>
            <w:vAlign w:val="center"/>
          </w:tcPr>
          <w:p w14:paraId="2BC88911">
            <w:pPr>
              <w:snapToGrid w:val="0"/>
              <w:jc w:val="center"/>
            </w:pPr>
            <w:r>
              <w:rPr>
                <w:rFonts w:ascii="宋体" w:hAnsi="宋体" w:eastAsia="宋体"/>
                <w:sz w:val="16"/>
              </w:rPr>
              <w:t>计划标准</w:t>
            </w:r>
          </w:p>
        </w:tc>
        <w:tc>
          <w:tcPr>
            <w:tcW w:w="319" w:type="pct"/>
            <w:tcBorders>
              <w:top w:val="single" w:color="auto" w:sz="10" w:space="0"/>
              <w:left w:val="single" w:color="auto" w:sz="10" w:space="0"/>
              <w:bottom w:val="single" w:color="auto" w:sz="10" w:space="0"/>
              <w:right w:val="single" w:color="auto" w:sz="10" w:space="0"/>
              <w:insideV w:val="single" w:sz="10" w:space="0"/>
            </w:tcBorders>
            <w:vAlign w:val="center"/>
          </w:tcPr>
          <w:p w14:paraId="7F1FD851">
            <w:pPr>
              <w:snapToGrid w:val="0"/>
              <w:jc w:val="center"/>
            </w:pPr>
            <w:r>
              <w:rPr>
                <w:rFonts w:ascii="宋体" w:hAnsi="宋体" w:eastAsia="宋体"/>
                <w:sz w:val="16"/>
              </w:rPr>
              <w:t>新增</w:t>
            </w:r>
          </w:p>
        </w:tc>
        <w:tc>
          <w:tcPr>
            <w:tcW w:w="222" w:type="pct"/>
            <w:tcBorders>
              <w:top w:val="single" w:color="auto" w:sz="10" w:space="0"/>
              <w:left w:val="single" w:color="auto" w:sz="10" w:space="0"/>
              <w:bottom w:val="single" w:color="auto" w:sz="10" w:space="0"/>
              <w:right w:val="single" w:color="auto" w:sz="10" w:space="0"/>
              <w:insideV w:val="single" w:sz="10" w:space="0"/>
            </w:tcBorders>
            <w:vAlign w:val="center"/>
          </w:tcPr>
          <w:p w14:paraId="3A668D5B">
            <w:pPr>
              <w:snapToGrid w:val="0"/>
              <w:jc w:val="center"/>
            </w:pPr>
            <w:r>
              <w:rPr>
                <w:rFonts w:ascii="宋体" w:hAnsi="宋体" w:eastAsia="宋体"/>
                <w:sz w:val="16"/>
              </w:rPr>
              <w:t>7</w:t>
            </w:r>
          </w:p>
        </w:tc>
        <w:tc>
          <w:tcPr>
            <w:tcW w:w="392" w:type="pct"/>
            <w:tcBorders>
              <w:top w:val="single" w:color="auto" w:sz="10" w:space="0"/>
              <w:left w:val="single" w:color="auto" w:sz="10" w:space="0"/>
              <w:bottom w:val="single" w:color="auto" w:sz="10" w:space="0"/>
              <w:right w:val="single" w:color="auto" w:sz="10" w:space="0"/>
              <w:insideV w:val="single" w:sz="10" w:space="0"/>
            </w:tcBorders>
            <w:vAlign w:val="center"/>
          </w:tcPr>
          <w:p w14:paraId="1E1CBA1A">
            <w:pPr>
              <w:snapToGrid w:val="0"/>
              <w:jc w:val="center"/>
            </w:pPr>
            <w:r>
              <w:rPr>
                <w:rFonts w:ascii="宋体" w:hAnsi="宋体" w:eastAsia="宋体"/>
                <w:sz w:val="16"/>
              </w:rPr>
              <w:t>按照完成比例赋分</w:t>
            </w:r>
          </w:p>
        </w:tc>
        <w:tc>
          <w:tcPr>
            <w:tcW w:w="274" w:type="pct"/>
            <w:tcBorders>
              <w:top w:val="single" w:color="auto" w:sz="10" w:space="0"/>
              <w:left w:val="single" w:color="auto" w:sz="10" w:space="0"/>
              <w:bottom w:val="single" w:color="auto" w:sz="10" w:space="0"/>
              <w:right w:val="single" w:color="auto" w:sz="10" w:space="0"/>
              <w:insideV w:val="single" w:sz="10" w:space="0"/>
            </w:tcBorders>
            <w:vAlign w:val="center"/>
          </w:tcPr>
          <w:p w14:paraId="5F1F430B">
            <w:pPr>
              <w:snapToGrid w:val="0"/>
              <w:jc w:val="center"/>
            </w:pPr>
            <w:r>
              <w:rPr>
                <w:rFonts w:ascii="宋体" w:hAnsi="宋体" w:eastAsia="宋体"/>
                <w:sz w:val="16"/>
              </w:rPr>
              <w:t>工作资料</w:t>
            </w:r>
          </w:p>
        </w:tc>
        <w:tc>
          <w:tcPr>
            <w:tcW w:w="421" w:type="pct"/>
            <w:tcBorders>
              <w:top w:val="single" w:color="auto" w:sz="10" w:space="0"/>
              <w:left w:val="single" w:color="auto" w:sz="10" w:space="0"/>
              <w:bottom w:val="single" w:color="auto" w:sz="10" w:space="0"/>
              <w:right w:val="single" w:color="auto" w:sz="10" w:space="0"/>
              <w:insideV w:val="single" w:sz="10" w:space="0"/>
            </w:tcBorders>
            <w:vAlign w:val="center"/>
          </w:tcPr>
          <w:p w14:paraId="7D84B7F7">
            <w:pPr>
              <w:snapToGrid w:val="0"/>
              <w:jc w:val="center"/>
            </w:pPr>
            <w:r>
              <w:rPr>
                <w:rFonts w:ascii="宋体" w:hAnsi="宋体" w:eastAsia="宋体"/>
                <w:sz w:val="16"/>
              </w:rPr>
              <w:t>=70人</w:t>
            </w:r>
          </w:p>
        </w:tc>
        <w:tc>
          <w:tcPr>
            <w:tcW w:w="406" w:type="pct"/>
            <w:tcBorders>
              <w:top w:val="single" w:color="auto" w:sz="10" w:space="0"/>
              <w:left w:val="single" w:color="auto" w:sz="10" w:space="0"/>
              <w:bottom w:val="single" w:color="auto" w:sz="10" w:space="0"/>
              <w:right w:val="single" w:color="auto" w:sz="10" w:space="0"/>
              <w:insideV w:val="single" w:sz="10" w:space="0"/>
            </w:tcBorders>
            <w:vAlign w:val="center"/>
          </w:tcPr>
          <w:p w14:paraId="727F7FCD">
            <w:pPr>
              <w:snapToGrid w:val="0"/>
              <w:jc w:val="center"/>
            </w:pPr>
            <w:r>
              <w:rPr>
                <w:rFonts w:ascii="宋体" w:hAnsi="宋体" w:eastAsia="宋体"/>
                <w:sz w:val="16"/>
              </w:rPr>
              <w:t>7</w:t>
            </w:r>
          </w:p>
        </w:tc>
        <w:tc>
          <w:tcPr>
            <w:tcW w:w="588" w:type="pct"/>
            <w:tcBorders>
              <w:top w:val="single" w:color="auto" w:sz="10" w:space="0"/>
              <w:left w:val="single" w:color="auto" w:sz="10" w:space="0"/>
              <w:bottom w:val="single" w:color="auto" w:sz="10" w:space="0"/>
              <w:right w:val="single" w:color="auto" w:sz="10" w:space="0"/>
              <w:insideV w:val="single" w:sz="10" w:space="0"/>
            </w:tcBorders>
            <w:vAlign w:val="center"/>
          </w:tcPr>
          <w:p w14:paraId="21EF7BC6">
            <w:pPr>
              <w:snapToGrid w:val="0"/>
              <w:jc w:val="center"/>
            </w:pPr>
          </w:p>
        </w:tc>
      </w:tr>
      <w:tr w14:paraId="0835636E">
        <w:tblPrEx>
          <w:tblCellMar>
            <w:top w:w="40" w:type="dxa"/>
            <w:left w:w="64" w:type="dxa"/>
            <w:bottom w:w="40" w:type="dxa"/>
            <w:right w:w="64" w:type="dxa"/>
          </w:tblCellMar>
        </w:tblPrEx>
        <w:trPr>
          <w:trHeight w:val="0" w:hRule="atLeast"/>
          <w:jc w:val="center"/>
        </w:trPr>
        <w:tc>
          <w:tcPr>
            <w:tcW w:w="322" w:type="pct"/>
            <w:vMerge w:val="continue"/>
            <w:tcBorders>
              <w:top w:val="single" w:color="auto" w:sz="10" w:space="0"/>
              <w:left w:val="single" w:color="auto" w:sz="10" w:space="0"/>
              <w:bottom w:val="single" w:color="auto" w:sz="10" w:space="0"/>
              <w:right w:val="single" w:color="auto" w:sz="10" w:space="0"/>
              <w:insideV w:val="single" w:sz="10" w:space="0"/>
            </w:tcBorders>
          </w:tcPr>
          <w:p w14:paraId="160B73EE">
            <w:pPr>
              <w:snapToGrid w:val="0"/>
            </w:pPr>
          </w:p>
        </w:tc>
        <w:tc>
          <w:tcPr>
            <w:tcW w:w="289" w:type="pct"/>
            <w:vMerge w:val="continue"/>
            <w:tcBorders>
              <w:top w:val="single" w:color="auto" w:sz="10" w:space="0"/>
              <w:left w:val="single" w:color="auto" w:sz="10" w:space="0"/>
              <w:bottom w:val="single" w:color="auto" w:sz="10" w:space="0"/>
              <w:right w:val="single" w:color="auto" w:sz="10" w:space="0"/>
              <w:insideV w:val="single" w:sz="10" w:space="0"/>
            </w:tcBorders>
          </w:tcPr>
          <w:p w14:paraId="48E007C2">
            <w:pPr>
              <w:snapToGrid w:val="0"/>
            </w:pPr>
          </w:p>
        </w:tc>
        <w:tc>
          <w:tcPr>
            <w:tcW w:w="313" w:type="pct"/>
            <w:vMerge w:val="continue"/>
            <w:tcBorders>
              <w:top w:val="single" w:color="auto" w:sz="10" w:space="0"/>
              <w:left w:val="single" w:color="auto" w:sz="10" w:space="0"/>
              <w:bottom w:val="single" w:color="auto" w:sz="10" w:space="0"/>
              <w:right w:val="single" w:color="auto" w:sz="10" w:space="0"/>
              <w:insideV w:val="single" w:sz="10" w:space="0"/>
            </w:tcBorders>
          </w:tcPr>
          <w:p w14:paraId="5F60EB99">
            <w:pPr>
              <w:snapToGrid w:val="0"/>
            </w:pPr>
          </w:p>
        </w:tc>
        <w:tc>
          <w:tcPr>
            <w:tcW w:w="649" w:type="pct"/>
            <w:tcBorders>
              <w:top w:val="single" w:color="auto" w:sz="10" w:space="0"/>
              <w:left w:val="single" w:color="auto" w:sz="10" w:space="0"/>
              <w:bottom w:val="single" w:color="auto" w:sz="10" w:space="0"/>
              <w:right w:val="single" w:color="auto" w:sz="10" w:space="0"/>
              <w:insideV w:val="single" w:sz="10" w:space="0"/>
            </w:tcBorders>
            <w:vAlign w:val="center"/>
          </w:tcPr>
          <w:p w14:paraId="51415233">
            <w:pPr>
              <w:snapToGrid w:val="0"/>
              <w:jc w:val="center"/>
            </w:pPr>
            <w:r>
              <w:rPr>
                <w:rFonts w:ascii="宋体" w:hAnsi="宋体" w:eastAsia="宋体"/>
                <w:sz w:val="16"/>
              </w:rPr>
              <w:t>支持单位办案数（件）</w:t>
            </w:r>
          </w:p>
        </w:tc>
        <w:tc>
          <w:tcPr>
            <w:tcW w:w="449" w:type="pct"/>
            <w:tcBorders>
              <w:top w:val="single" w:color="auto" w:sz="10" w:space="0"/>
              <w:left w:val="single" w:color="auto" w:sz="10" w:space="0"/>
              <w:bottom w:val="single" w:color="auto" w:sz="10" w:space="0"/>
              <w:right w:val="single" w:color="auto" w:sz="10" w:space="0"/>
              <w:insideV w:val="single" w:sz="10" w:space="0"/>
            </w:tcBorders>
            <w:vAlign w:val="center"/>
          </w:tcPr>
          <w:p w14:paraId="72519BA8">
            <w:pPr>
              <w:snapToGrid w:val="0"/>
              <w:jc w:val="center"/>
            </w:pPr>
            <w:r>
              <w:rPr>
                <w:rFonts w:ascii="宋体" w:hAnsi="宋体" w:eastAsia="宋体"/>
                <w:sz w:val="16"/>
              </w:rPr>
              <w:t>&gt;=1500件</w:t>
            </w:r>
          </w:p>
        </w:tc>
        <w:tc>
          <w:tcPr>
            <w:tcW w:w="348" w:type="pct"/>
            <w:tcBorders>
              <w:top w:val="single" w:color="auto" w:sz="10" w:space="0"/>
              <w:left w:val="single" w:color="auto" w:sz="10" w:space="0"/>
              <w:bottom w:val="single" w:color="auto" w:sz="10" w:space="0"/>
              <w:right w:val="single" w:color="auto" w:sz="10" w:space="0"/>
              <w:insideV w:val="single" w:sz="10" w:space="0"/>
            </w:tcBorders>
            <w:vAlign w:val="center"/>
          </w:tcPr>
          <w:p w14:paraId="17B523A7">
            <w:pPr>
              <w:snapToGrid w:val="0"/>
              <w:jc w:val="center"/>
            </w:pPr>
            <w:r>
              <w:rPr>
                <w:rFonts w:ascii="宋体" w:hAnsi="宋体" w:eastAsia="宋体"/>
                <w:sz w:val="16"/>
              </w:rPr>
              <w:t>计划标准</w:t>
            </w:r>
          </w:p>
        </w:tc>
        <w:tc>
          <w:tcPr>
            <w:tcW w:w="319" w:type="pct"/>
            <w:tcBorders>
              <w:top w:val="single" w:color="auto" w:sz="10" w:space="0"/>
              <w:left w:val="single" w:color="auto" w:sz="10" w:space="0"/>
              <w:bottom w:val="single" w:color="auto" w:sz="10" w:space="0"/>
              <w:right w:val="single" w:color="auto" w:sz="10" w:space="0"/>
              <w:insideV w:val="single" w:sz="10" w:space="0"/>
            </w:tcBorders>
            <w:vAlign w:val="center"/>
          </w:tcPr>
          <w:p w14:paraId="02A9680C">
            <w:pPr>
              <w:snapToGrid w:val="0"/>
              <w:jc w:val="center"/>
            </w:pPr>
            <w:r>
              <w:rPr>
                <w:rFonts w:ascii="宋体" w:hAnsi="宋体" w:eastAsia="宋体"/>
                <w:sz w:val="16"/>
              </w:rPr>
              <w:t>新增</w:t>
            </w:r>
          </w:p>
        </w:tc>
        <w:tc>
          <w:tcPr>
            <w:tcW w:w="222" w:type="pct"/>
            <w:tcBorders>
              <w:top w:val="single" w:color="auto" w:sz="10" w:space="0"/>
              <w:left w:val="single" w:color="auto" w:sz="10" w:space="0"/>
              <w:bottom w:val="single" w:color="auto" w:sz="10" w:space="0"/>
              <w:right w:val="single" w:color="auto" w:sz="10" w:space="0"/>
              <w:insideV w:val="single" w:sz="10" w:space="0"/>
            </w:tcBorders>
            <w:vAlign w:val="center"/>
          </w:tcPr>
          <w:p w14:paraId="55898C34">
            <w:pPr>
              <w:snapToGrid w:val="0"/>
              <w:jc w:val="center"/>
            </w:pPr>
            <w:r>
              <w:rPr>
                <w:rFonts w:ascii="宋体" w:hAnsi="宋体" w:eastAsia="宋体"/>
                <w:sz w:val="16"/>
              </w:rPr>
              <w:t>7</w:t>
            </w:r>
          </w:p>
        </w:tc>
        <w:tc>
          <w:tcPr>
            <w:tcW w:w="392" w:type="pct"/>
            <w:tcBorders>
              <w:top w:val="single" w:color="auto" w:sz="10" w:space="0"/>
              <w:left w:val="single" w:color="auto" w:sz="10" w:space="0"/>
              <w:bottom w:val="single" w:color="auto" w:sz="10" w:space="0"/>
              <w:right w:val="single" w:color="auto" w:sz="10" w:space="0"/>
              <w:insideV w:val="single" w:sz="10" w:space="0"/>
            </w:tcBorders>
            <w:vAlign w:val="center"/>
          </w:tcPr>
          <w:p w14:paraId="67027C74">
            <w:pPr>
              <w:snapToGrid w:val="0"/>
              <w:jc w:val="center"/>
            </w:pPr>
            <w:r>
              <w:rPr>
                <w:rFonts w:ascii="宋体" w:hAnsi="宋体" w:eastAsia="宋体"/>
                <w:sz w:val="16"/>
              </w:rPr>
              <w:t>按照完成比例赋分</w:t>
            </w:r>
          </w:p>
        </w:tc>
        <w:tc>
          <w:tcPr>
            <w:tcW w:w="274" w:type="pct"/>
            <w:tcBorders>
              <w:top w:val="single" w:color="auto" w:sz="10" w:space="0"/>
              <w:left w:val="single" w:color="auto" w:sz="10" w:space="0"/>
              <w:bottom w:val="single" w:color="auto" w:sz="10" w:space="0"/>
              <w:right w:val="single" w:color="auto" w:sz="10" w:space="0"/>
              <w:insideV w:val="single" w:sz="10" w:space="0"/>
            </w:tcBorders>
            <w:vAlign w:val="center"/>
          </w:tcPr>
          <w:p w14:paraId="2EDF88F1">
            <w:pPr>
              <w:snapToGrid w:val="0"/>
              <w:jc w:val="center"/>
            </w:pPr>
            <w:r>
              <w:rPr>
                <w:rFonts w:ascii="宋体" w:hAnsi="宋体" w:eastAsia="宋体"/>
                <w:sz w:val="16"/>
              </w:rPr>
              <w:t>工作资料</w:t>
            </w:r>
          </w:p>
        </w:tc>
        <w:tc>
          <w:tcPr>
            <w:tcW w:w="421" w:type="pct"/>
            <w:tcBorders>
              <w:top w:val="single" w:color="auto" w:sz="10" w:space="0"/>
              <w:left w:val="single" w:color="auto" w:sz="10" w:space="0"/>
              <w:bottom w:val="single" w:color="auto" w:sz="10" w:space="0"/>
              <w:right w:val="single" w:color="auto" w:sz="10" w:space="0"/>
              <w:insideV w:val="single" w:sz="10" w:space="0"/>
            </w:tcBorders>
            <w:vAlign w:val="center"/>
          </w:tcPr>
          <w:p w14:paraId="10518F40">
            <w:pPr>
              <w:snapToGrid w:val="0"/>
              <w:jc w:val="center"/>
            </w:pPr>
            <w:r>
              <w:rPr>
                <w:rFonts w:ascii="宋体" w:hAnsi="宋体" w:eastAsia="宋体"/>
                <w:sz w:val="16"/>
              </w:rPr>
              <w:t>=1500件</w:t>
            </w:r>
          </w:p>
        </w:tc>
        <w:tc>
          <w:tcPr>
            <w:tcW w:w="406" w:type="pct"/>
            <w:tcBorders>
              <w:top w:val="single" w:color="auto" w:sz="10" w:space="0"/>
              <w:left w:val="single" w:color="auto" w:sz="10" w:space="0"/>
              <w:bottom w:val="single" w:color="auto" w:sz="10" w:space="0"/>
              <w:right w:val="single" w:color="auto" w:sz="10" w:space="0"/>
              <w:insideV w:val="single" w:sz="10" w:space="0"/>
            </w:tcBorders>
            <w:vAlign w:val="center"/>
          </w:tcPr>
          <w:p w14:paraId="3CB2F49D">
            <w:pPr>
              <w:snapToGrid w:val="0"/>
              <w:jc w:val="center"/>
            </w:pPr>
            <w:r>
              <w:rPr>
                <w:rFonts w:ascii="宋体" w:hAnsi="宋体" w:eastAsia="宋体"/>
                <w:sz w:val="16"/>
              </w:rPr>
              <w:t>7</w:t>
            </w:r>
          </w:p>
        </w:tc>
        <w:tc>
          <w:tcPr>
            <w:tcW w:w="588" w:type="pct"/>
            <w:tcBorders>
              <w:top w:val="single" w:color="auto" w:sz="10" w:space="0"/>
              <w:left w:val="single" w:color="auto" w:sz="10" w:space="0"/>
              <w:bottom w:val="single" w:color="auto" w:sz="10" w:space="0"/>
              <w:right w:val="single" w:color="auto" w:sz="10" w:space="0"/>
              <w:insideV w:val="single" w:sz="10" w:space="0"/>
            </w:tcBorders>
            <w:vAlign w:val="center"/>
          </w:tcPr>
          <w:p w14:paraId="0C32ED16">
            <w:pPr>
              <w:snapToGrid w:val="0"/>
              <w:jc w:val="center"/>
            </w:pPr>
          </w:p>
        </w:tc>
      </w:tr>
      <w:tr w14:paraId="128EF4D3">
        <w:tblPrEx>
          <w:tblCellMar>
            <w:top w:w="40" w:type="dxa"/>
            <w:left w:w="64" w:type="dxa"/>
            <w:bottom w:w="40" w:type="dxa"/>
            <w:right w:w="64" w:type="dxa"/>
          </w:tblCellMar>
        </w:tblPrEx>
        <w:trPr>
          <w:trHeight w:val="0" w:hRule="atLeast"/>
          <w:jc w:val="center"/>
        </w:trPr>
        <w:tc>
          <w:tcPr>
            <w:tcW w:w="322" w:type="pct"/>
            <w:vMerge w:val="continue"/>
            <w:tcBorders>
              <w:top w:val="single" w:color="auto" w:sz="10" w:space="0"/>
              <w:left w:val="single" w:color="auto" w:sz="10" w:space="0"/>
              <w:bottom w:val="single" w:color="auto" w:sz="10" w:space="0"/>
              <w:right w:val="single" w:color="auto" w:sz="10" w:space="0"/>
              <w:insideV w:val="single" w:sz="10" w:space="0"/>
            </w:tcBorders>
          </w:tcPr>
          <w:p w14:paraId="77FFF411">
            <w:pPr>
              <w:snapToGrid w:val="0"/>
            </w:pPr>
          </w:p>
        </w:tc>
        <w:tc>
          <w:tcPr>
            <w:tcW w:w="289" w:type="pct"/>
            <w:vMerge w:val="continue"/>
            <w:tcBorders>
              <w:top w:val="single" w:color="auto" w:sz="10" w:space="0"/>
              <w:left w:val="single" w:color="auto" w:sz="10" w:space="0"/>
              <w:bottom w:val="single" w:color="auto" w:sz="10" w:space="0"/>
              <w:right w:val="single" w:color="auto" w:sz="10" w:space="0"/>
              <w:insideV w:val="single" w:sz="10" w:space="0"/>
            </w:tcBorders>
          </w:tcPr>
          <w:p w14:paraId="282154D2">
            <w:pPr>
              <w:snapToGrid w:val="0"/>
            </w:pPr>
          </w:p>
        </w:tc>
        <w:tc>
          <w:tcPr>
            <w:tcW w:w="313" w:type="pct"/>
            <w:vMerge w:val="continue"/>
            <w:tcBorders>
              <w:top w:val="single" w:color="auto" w:sz="10" w:space="0"/>
              <w:left w:val="single" w:color="auto" w:sz="10" w:space="0"/>
              <w:bottom w:val="single" w:color="auto" w:sz="10" w:space="0"/>
              <w:right w:val="single" w:color="auto" w:sz="10" w:space="0"/>
              <w:insideV w:val="single" w:sz="10" w:space="0"/>
            </w:tcBorders>
          </w:tcPr>
          <w:p w14:paraId="29F6188B">
            <w:pPr>
              <w:snapToGrid w:val="0"/>
            </w:pPr>
          </w:p>
        </w:tc>
        <w:tc>
          <w:tcPr>
            <w:tcW w:w="649" w:type="pct"/>
            <w:tcBorders>
              <w:top w:val="single" w:color="auto" w:sz="10" w:space="0"/>
              <w:left w:val="single" w:color="auto" w:sz="10" w:space="0"/>
              <w:bottom w:val="single" w:color="auto" w:sz="10" w:space="0"/>
              <w:right w:val="single" w:color="auto" w:sz="10" w:space="0"/>
              <w:insideV w:val="single" w:sz="10" w:space="0"/>
            </w:tcBorders>
            <w:vAlign w:val="center"/>
          </w:tcPr>
          <w:p w14:paraId="1F1F4A0E">
            <w:pPr>
              <w:snapToGrid w:val="0"/>
              <w:jc w:val="center"/>
            </w:pPr>
            <w:r>
              <w:rPr>
                <w:rFonts w:ascii="宋体" w:hAnsi="宋体" w:eastAsia="宋体"/>
                <w:sz w:val="16"/>
              </w:rPr>
              <w:t>支持项目数量（个）</w:t>
            </w:r>
          </w:p>
        </w:tc>
        <w:tc>
          <w:tcPr>
            <w:tcW w:w="449" w:type="pct"/>
            <w:tcBorders>
              <w:top w:val="single" w:color="auto" w:sz="10" w:space="0"/>
              <w:left w:val="single" w:color="auto" w:sz="10" w:space="0"/>
              <w:bottom w:val="single" w:color="auto" w:sz="10" w:space="0"/>
              <w:right w:val="single" w:color="auto" w:sz="10" w:space="0"/>
              <w:insideV w:val="single" w:sz="10" w:space="0"/>
            </w:tcBorders>
            <w:vAlign w:val="center"/>
          </w:tcPr>
          <w:p w14:paraId="32D842D9">
            <w:pPr>
              <w:snapToGrid w:val="0"/>
              <w:jc w:val="center"/>
            </w:pPr>
            <w:r>
              <w:rPr>
                <w:rFonts w:ascii="宋体" w:hAnsi="宋体" w:eastAsia="宋体"/>
                <w:sz w:val="16"/>
              </w:rPr>
              <w:t>&gt;=4个</w:t>
            </w:r>
          </w:p>
        </w:tc>
        <w:tc>
          <w:tcPr>
            <w:tcW w:w="348" w:type="pct"/>
            <w:tcBorders>
              <w:top w:val="single" w:color="auto" w:sz="10" w:space="0"/>
              <w:left w:val="single" w:color="auto" w:sz="10" w:space="0"/>
              <w:bottom w:val="single" w:color="auto" w:sz="10" w:space="0"/>
              <w:right w:val="single" w:color="auto" w:sz="10" w:space="0"/>
              <w:insideV w:val="single" w:sz="10" w:space="0"/>
            </w:tcBorders>
            <w:vAlign w:val="center"/>
          </w:tcPr>
          <w:p w14:paraId="4487DFF9">
            <w:pPr>
              <w:snapToGrid w:val="0"/>
              <w:jc w:val="center"/>
            </w:pPr>
            <w:r>
              <w:rPr>
                <w:rFonts w:ascii="宋体" w:hAnsi="宋体" w:eastAsia="宋体"/>
                <w:sz w:val="16"/>
              </w:rPr>
              <w:t>计划标准</w:t>
            </w:r>
          </w:p>
        </w:tc>
        <w:tc>
          <w:tcPr>
            <w:tcW w:w="319" w:type="pct"/>
            <w:tcBorders>
              <w:top w:val="single" w:color="auto" w:sz="10" w:space="0"/>
              <w:left w:val="single" w:color="auto" w:sz="10" w:space="0"/>
              <w:bottom w:val="single" w:color="auto" w:sz="10" w:space="0"/>
              <w:right w:val="single" w:color="auto" w:sz="10" w:space="0"/>
              <w:insideV w:val="single" w:sz="10" w:space="0"/>
            </w:tcBorders>
            <w:vAlign w:val="center"/>
          </w:tcPr>
          <w:p w14:paraId="3F7B010B">
            <w:pPr>
              <w:snapToGrid w:val="0"/>
              <w:jc w:val="center"/>
            </w:pPr>
            <w:r>
              <w:rPr>
                <w:rFonts w:ascii="宋体" w:hAnsi="宋体" w:eastAsia="宋体"/>
                <w:sz w:val="16"/>
              </w:rPr>
              <w:t>新增</w:t>
            </w:r>
          </w:p>
        </w:tc>
        <w:tc>
          <w:tcPr>
            <w:tcW w:w="222" w:type="pct"/>
            <w:tcBorders>
              <w:top w:val="single" w:color="auto" w:sz="10" w:space="0"/>
              <w:left w:val="single" w:color="auto" w:sz="10" w:space="0"/>
              <w:bottom w:val="single" w:color="auto" w:sz="10" w:space="0"/>
              <w:right w:val="single" w:color="auto" w:sz="10" w:space="0"/>
              <w:insideV w:val="single" w:sz="10" w:space="0"/>
            </w:tcBorders>
            <w:vAlign w:val="center"/>
          </w:tcPr>
          <w:p w14:paraId="128177F7">
            <w:pPr>
              <w:snapToGrid w:val="0"/>
              <w:jc w:val="center"/>
            </w:pPr>
            <w:r>
              <w:rPr>
                <w:rFonts w:ascii="宋体" w:hAnsi="宋体" w:eastAsia="宋体"/>
                <w:sz w:val="16"/>
              </w:rPr>
              <w:t>7</w:t>
            </w:r>
          </w:p>
        </w:tc>
        <w:tc>
          <w:tcPr>
            <w:tcW w:w="392" w:type="pct"/>
            <w:tcBorders>
              <w:top w:val="single" w:color="auto" w:sz="10" w:space="0"/>
              <w:left w:val="single" w:color="auto" w:sz="10" w:space="0"/>
              <w:bottom w:val="single" w:color="auto" w:sz="10" w:space="0"/>
              <w:right w:val="single" w:color="auto" w:sz="10" w:space="0"/>
              <w:insideV w:val="single" w:sz="10" w:space="0"/>
            </w:tcBorders>
            <w:vAlign w:val="center"/>
          </w:tcPr>
          <w:p w14:paraId="4A006CD1">
            <w:pPr>
              <w:snapToGrid w:val="0"/>
              <w:jc w:val="center"/>
            </w:pPr>
            <w:r>
              <w:rPr>
                <w:rFonts w:ascii="宋体" w:hAnsi="宋体" w:eastAsia="宋体"/>
                <w:sz w:val="16"/>
              </w:rPr>
              <w:t>按照完成比例赋分</w:t>
            </w:r>
          </w:p>
        </w:tc>
        <w:tc>
          <w:tcPr>
            <w:tcW w:w="274" w:type="pct"/>
            <w:tcBorders>
              <w:top w:val="single" w:color="auto" w:sz="10" w:space="0"/>
              <w:left w:val="single" w:color="auto" w:sz="10" w:space="0"/>
              <w:bottom w:val="single" w:color="auto" w:sz="10" w:space="0"/>
              <w:right w:val="single" w:color="auto" w:sz="10" w:space="0"/>
              <w:insideV w:val="single" w:sz="10" w:space="0"/>
            </w:tcBorders>
            <w:vAlign w:val="center"/>
          </w:tcPr>
          <w:p w14:paraId="178EB835">
            <w:pPr>
              <w:snapToGrid w:val="0"/>
              <w:jc w:val="center"/>
            </w:pPr>
            <w:r>
              <w:rPr>
                <w:rFonts w:ascii="宋体" w:hAnsi="宋体" w:eastAsia="宋体"/>
                <w:sz w:val="16"/>
              </w:rPr>
              <w:t>工作资料</w:t>
            </w:r>
          </w:p>
        </w:tc>
        <w:tc>
          <w:tcPr>
            <w:tcW w:w="421" w:type="pct"/>
            <w:tcBorders>
              <w:top w:val="single" w:color="auto" w:sz="10" w:space="0"/>
              <w:left w:val="single" w:color="auto" w:sz="10" w:space="0"/>
              <w:bottom w:val="single" w:color="auto" w:sz="10" w:space="0"/>
              <w:right w:val="single" w:color="auto" w:sz="10" w:space="0"/>
              <w:insideV w:val="single" w:sz="10" w:space="0"/>
            </w:tcBorders>
            <w:vAlign w:val="center"/>
          </w:tcPr>
          <w:p w14:paraId="4D4CE337">
            <w:pPr>
              <w:snapToGrid w:val="0"/>
              <w:jc w:val="center"/>
            </w:pPr>
            <w:r>
              <w:rPr>
                <w:rFonts w:ascii="宋体" w:hAnsi="宋体" w:eastAsia="宋体"/>
                <w:sz w:val="16"/>
              </w:rPr>
              <w:t>=4个</w:t>
            </w:r>
          </w:p>
        </w:tc>
        <w:tc>
          <w:tcPr>
            <w:tcW w:w="406" w:type="pct"/>
            <w:tcBorders>
              <w:top w:val="single" w:color="auto" w:sz="10" w:space="0"/>
              <w:left w:val="single" w:color="auto" w:sz="10" w:space="0"/>
              <w:bottom w:val="single" w:color="auto" w:sz="10" w:space="0"/>
              <w:right w:val="single" w:color="auto" w:sz="10" w:space="0"/>
              <w:insideV w:val="single" w:sz="10" w:space="0"/>
            </w:tcBorders>
            <w:vAlign w:val="center"/>
          </w:tcPr>
          <w:p w14:paraId="0C5A11D2">
            <w:pPr>
              <w:snapToGrid w:val="0"/>
              <w:jc w:val="center"/>
            </w:pPr>
            <w:r>
              <w:rPr>
                <w:rFonts w:ascii="宋体" w:hAnsi="宋体" w:eastAsia="宋体"/>
                <w:sz w:val="16"/>
              </w:rPr>
              <w:t>7</w:t>
            </w:r>
          </w:p>
        </w:tc>
        <w:tc>
          <w:tcPr>
            <w:tcW w:w="588" w:type="pct"/>
            <w:tcBorders>
              <w:top w:val="single" w:color="auto" w:sz="10" w:space="0"/>
              <w:left w:val="single" w:color="auto" w:sz="10" w:space="0"/>
              <w:bottom w:val="single" w:color="auto" w:sz="10" w:space="0"/>
              <w:right w:val="single" w:color="auto" w:sz="10" w:space="0"/>
              <w:insideV w:val="single" w:sz="10" w:space="0"/>
            </w:tcBorders>
            <w:vAlign w:val="center"/>
          </w:tcPr>
          <w:p w14:paraId="39D7E0D1">
            <w:pPr>
              <w:snapToGrid w:val="0"/>
              <w:jc w:val="center"/>
            </w:pPr>
          </w:p>
        </w:tc>
      </w:tr>
      <w:tr w14:paraId="5285CAA5">
        <w:tblPrEx>
          <w:tblCellMar>
            <w:top w:w="40" w:type="dxa"/>
            <w:left w:w="64" w:type="dxa"/>
            <w:bottom w:w="40" w:type="dxa"/>
            <w:right w:w="64" w:type="dxa"/>
          </w:tblCellMar>
        </w:tblPrEx>
        <w:trPr>
          <w:trHeight w:val="0" w:hRule="atLeast"/>
          <w:jc w:val="center"/>
        </w:trPr>
        <w:tc>
          <w:tcPr>
            <w:tcW w:w="322" w:type="pct"/>
            <w:vMerge w:val="continue"/>
            <w:tcBorders>
              <w:top w:val="single" w:color="auto" w:sz="10" w:space="0"/>
              <w:left w:val="single" w:color="auto" w:sz="10" w:space="0"/>
              <w:bottom w:val="single" w:color="auto" w:sz="10" w:space="0"/>
              <w:right w:val="single" w:color="auto" w:sz="10" w:space="0"/>
              <w:insideV w:val="single" w:sz="10" w:space="0"/>
            </w:tcBorders>
          </w:tcPr>
          <w:p w14:paraId="313ED8FF">
            <w:pPr>
              <w:snapToGrid w:val="0"/>
            </w:pPr>
          </w:p>
        </w:tc>
        <w:tc>
          <w:tcPr>
            <w:tcW w:w="289" w:type="pct"/>
            <w:vMerge w:val="continue"/>
            <w:tcBorders>
              <w:top w:val="single" w:color="auto" w:sz="10" w:space="0"/>
              <w:left w:val="single" w:color="auto" w:sz="10" w:space="0"/>
              <w:bottom w:val="single" w:color="auto" w:sz="10" w:space="0"/>
              <w:right w:val="single" w:color="auto" w:sz="10" w:space="0"/>
              <w:insideV w:val="single" w:sz="10" w:space="0"/>
            </w:tcBorders>
          </w:tcPr>
          <w:p w14:paraId="33F12238">
            <w:pPr>
              <w:snapToGrid w:val="0"/>
            </w:pPr>
          </w:p>
        </w:tc>
        <w:tc>
          <w:tcPr>
            <w:tcW w:w="313" w:type="pct"/>
            <w:vMerge w:val="continue"/>
            <w:tcBorders>
              <w:top w:val="single" w:color="auto" w:sz="10" w:space="0"/>
              <w:left w:val="single" w:color="auto" w:sz="10" w:space="0"/>
              <w:bottom w:val="single" w:color="auto" w:sz="10" w:space="0"/>
              <w:right w:val="single" w:color="auto" w:sz="10" w:space="0"/>
              <w:insideV w:val="single" w:sz="10" w:space="0"/>
            </w:tcBorders>
          </w:tcPr>
          <w:p w14:paraId="5BC0FBAF">
            <w:pPr>
              <w:snapToGrid w:val="0"/>
            </w:pPr>
          </w:p>
        </w:tc>
        <w:tc>
          <w:tcPr>
            <w:tcW w:w="649" w:type="pct"/>
            <w:tcBorders>
              <w:top w:val="single" w:color="auto" w:sz="10" w:space="0"/>
              <w:left w:val="single" w:color="auto" w:sz="10" w:space="0"/>
              <w:bottom w:val="single" w:color="auto" w:sz="10" w:space="0"/>
              <w:right w:val="single" w:color="auto" w:sz="10" w:space="0"/>
              <w:insideV w:val="single" w:sz="10" w:space="0"/>
            </w:tcBorders>
            <w:vAlign w:val="center"/>
          </w:tcPr>
          <w:p w14:paraId="07E47746">
            <w:pPr>
              <w:snapToGrid w:val="0"/>
              <w:jc w:val="center"/>
            </w:pPr>
            <w:r>
              <w:rPr>
                <w:rFonts w:ascii="宋体" w:hAnsi="宋体" w:eastAsia="宋体"/>
                <w:sz w:val="16"/>
              </w:rPr>
              <w:t>保障食堂数量（个）</w:t>
            </w:r>
          </w:p>
        </w:tc>
        <w:tc>
          <w:tcPr>
            <w:tcW w:w="449" w:type="pct"/>
            <w:tcBorders>
              <w:top w:val="single" w:color="auto" w:sz="10" w:space="0"/>
              <w:left w:val="single" w:color="auto" w:sz="10" w:space="0"/>
              <w:bottom w:val="single" w:color="auto" w:sz="10" w:space="0"/>
              <w:right w:val="single" w:color="auto" w:sz="10" w:space="0"/>
              <w:insideV w:val="single" w:sz="10" w:space="0"/>
            </w:tcBorders>
            <w:vAlign w:val="center"/>
          </w:tcPr>
          <w:p w14:paraId="4C145C8E">
            <w:pPr>
              <w:snapToGrid w:val="0"/>
              <w:jc w:val="center"/>
            </w:pPr>
            <w:r>
              <w:rPr>
                <w:rFonts w:ascii="宋体" w:hAnsi="宋体" w:eastAsia="宋体"/>
                <w:sz w:val="16"/>
              </w:rPr>
              <w:t>=1个</w:t>
            </w:r>
          </w:p>
        </w:tc>
        <w:tc>
          <w:tcPr>
            <w:tcW w:w="348" w:type="pct"/>
            <w:tcBorders>
              <w:top w:val="single" w:color="auto" w:sz="10" w:space="0"/>
              <w:left w:val="single" w:color="auto" w:sz="10" w:space="0"/>
              <w:bottom w:val="single" w:color="auto" w:sz="10" w:space="0"/>
              <w:right w:val="single" w:color="auto" w:sz="10" w:space="0"/>
              <w:insideV w:val="single" w:sz="10" w:space="0"/>
            </w:tcBorders>
            <w:vAlign w:val="center"/>
          </w:tcPr>
          <w:p w14:paraId="6DA5FD98">
            <w:pPr>
              <w:snapToGrid w:val="0"/>
              <w:jc w:val="center"/>
            </w:pPr>
            <w:r>
              <w:rPr>
                <w:rFonts w:ascii="宋体" w:hAnsi="宋体" w:eastAsia="宋体"/>
                <w:sz w:val="16"/>
              </w:rPr>
              <w:t>计划标准</w:t>
            </w:r>
          </w:p>
        </w:tc>
        <w:tc>
          <w:tcPr>
            <w:tcW w:w="319" w:type="pct"/>
            <w:tcBorders>
              <w:top w:val="single" w:color="auto" w:sz="10" w:space="0"/>
              <w:left w:val="single" w:color="auto" w:sz="10" w:space="0"/>
              <w:bottom w:val="single" w:color="auto" w:sz="10" w:space="0"/>
              <w:right w:val="single" w:color="auto" w:sz="10" w:space="0"/>
              <w:insideV w:val="single" w:sz="10" w:space="0"/>
            </w:tcBorders>
            <w:vAlign w:val="center"/>
          </w:tcPr>
          <w:p w14:paraId="1B1ED81B">
            <w:pPr>
              <w:snapToGrid w:val="0"/>
              <w:jc w:val="center"/>
            </w:pPr>
            <w:r>
              <w:rPr>
                <w:rFonts w:ascii="宋体" w:hAnsi="宋体" w:eastAsia="宋体"/>
                <w:sz w:val="16"/>
              </w:rPr>
              <w:t>新增</w:t>
            </w:r>
          </w:p>
        </w:tc>
        <w:tc>
          <w:tcPr>
            <w:tcW w:w="222" w:type="pct"/>
            <w:tcBorders>
              <w:top w:val="single" w:color="auto" w:sz="10" w:space="0"/>
              <w:left w:val="single" w:color="auto" w:sz="10" w:space="0"/>
              <w:bottom w:val="single" w:color="auto" w:sz="10" w:space="0"/>
              <w:right w:val="single" w:color="auto" w:sz="10" w:space="0"/>
              <w:insideV w:val="single" w:sz="10" w:space="0"/>
            </w:tcBorders>
            <w:vAlign w:val="center"/>
          </w:tcPr>
          <w:p w14:paraId="1F7B7AB6">
            <w:pPr>
              <w:snapToGrid w:val="0"/>
              <w:jc w:val="center"/>
            </w:pPr>
            <w:r>
              <w:rPr>
                <w:rFonts w:ascii="宋体" w:hAnsi="宋体" w:eastAsia="宋体"/>
                <w:sz w:val="16"/>
              </w:rPr>
              <w:t>7</w:t>
            </w:r>
          </w:p>
        </w:tc>
        <w:tc>
          <w:tcPr>
            <w:tcW w:w="392" w:type="pct"/>
            <w:tcBorders>
              <w:top w:val="single" w:color="auto" w:sz="10" w:space="0"/>
              <w:left w:val="single" w:color="auto" w:sz="10" w:space="0"/>
              <w:bottom w:val="single" w:color="auto" w:sz="10" w:space="0"/>
              <w:right w:val="single" w:color="auto" w:sz="10" w:space="0"/>
              <w:insideV w:val="single" w:sz="10" w:space="0"/>
            </w:tcBorders>
            <w:vAlign w:val="center"/>
          </w:tcPr>
          <w:p w14:paraId="03D7C9E3">
            <w:pPr>
              <w:snapToGrid w:val="0"/>
              <w:jc w:val="center"/>
            </w:pPr>
            <w:r>
              <w:rPr>
                <w:rFonts w:ascii="宋体" w:hAnsi="宋体" w:eastAsia="宋体"/>
                <w:sz w:val="16"/>
              </w:rPr>
              <w:t>按照完成比例赋分</w:t>
            </w:r>
          </w:p>
        </w:tc>
        <w:tc>
          <w:tcPr>
            <w:tcW w:w="274" w:type="pct"/>
            <w:tcBorders>
              <w:top w:val="single" w:color="auto" w:sz="10" w:space="0"/>
              <w:left w:val="single" w:color="auto" w:sz="10" w:space="0"/>
              <w:bottom w:val="single" w:color="auto" w:sz="10" w:space="0"/>
              <w:right w:val="single" w:color="auto" w:sz="10" w:space="0"/>
              <w:insideV w:val="single" w:sz="10" w:space="0"/>
            </w:tcBorders>
            <w:vAlign w:val="center"/>
          </w:tcPr>
          <w:p w14:paraId="298924CC">
            <w:pPr>
              <w:snapToGrid w:val="0"/>
              <w:jc w:val="center"/>
            </w:pPr>
            <w:r>
              <w:rPr>
                <w:rFonts w:ascii="宋体" w:hAnsi="宋体" w:eastAsia="宋体"/>
                <w:sz w:val="16"/>
              </w:rPr>
              <w:t>原始凭证</w:t>
            </w:r>
          </w:p>
        </w:tc>
        <w:tc>
          <w:tcPr>
            <w:tcW w:w="421" w:type="pct"/>
            <w:tcBorders>
              <w:top w:val="single" w:color="auto" w:sz="10" w:space="0"/>
              <w:left w:val="single" w:color="auto" w:sz="10" w:space="0"/>
              <w:bottom w:val="single" w:color="auto" w:sz="10" w:space="0"/>
              <w:right w:val="single" w:color="auto" w:sz="10" w:space="0"/>
              <w:insideV w:val="single" w:sz="10" w:space="0"/>
            </w:tcBorders>
            <w:vAlign w:val="center"/>
          </w:tcPr>
          <w:p w14:paraId="20036C44">
            <w:pPr>
              <w:snapToGrid w:val="0"/>
              <w:jc w:val="center"/>
            </w:pPr>
            <w:r>
              <w:rPr>
                <w:rFonts w:ascii="宋体" w:hAnsi="宋体" w:eastAsia="宋体"/>
                <w:sz w:val="16"/>
              </w:rPr>
              <w:t>=1个</w:t>
            </w:r>
          </w:p>
        </w:tc>
        <w:tc>
          <w:tcPr>
            <w:tcW w:w="406" w:type="pct"/>
            <w:tcBorders>
              <w:top w:val="single" w:color="auto" w:sz="10" w:space="0"/>
              <w:left w:val="single" w:color="auto" w:sz="10" w:space="0"/>
              <w:bottom w:val="single" w:color="auto" w:sz="10" w:space="0"/>
              <w:right w:val="single" w:color="auto" w:sz="10" w:space="0"/>
              <w:insideV w:val="single" w:sz="10" w:space="0"/>
            </w:tcBorders>
            <w:vAlign w:val="center"/>
          </w:tcPr>
          <w:p w14:paraId="17EB9A70">
            <w:pPr>
              <w:snapToGrid w:val="0"/>
              <w:jc w:val="center"/>
            </w:pPr>
            <w:r>
              <w:rPr>
                <w:rFonts w:ascii="宋体" w:hAnsi="宋体" w:eastAsia="宋体"/>
                <w:sz w:val="16"/>
              </w:rPr>
              <w:t>7</w:t>
            </w:r>
          </w:p>
        </w:tc>
        <w:tc>
          <w:tcPr>
            <w:tcW w:w="588" w:type="pct"/>
            <w:tcBorders>
              <w:top w:val="single" w:color="auto" w:sz="10" w:space="0"/>
              <w:left w:val="single" w:color="auto" w:sz="10" w:space="0"/>
              <w:bottom w:val="single" w:color="auto" w:sz="10" w:space="0"/>
              <w:right w:val="single" w:color="auto" w:sz="10" w:space="0"/>
              <w:insideV w:val="single" w:sz="10" w:space="0"/>
            </w:tcBorders>
            <w:vAlign w:val="center"/>
          </w:tcPr>
          <w:p w14:paraId="7F0D6198">
            <w:pPr>
              <w:snapToGrid w:val="0"/>
              <w:jc w:val="center"/>
            </w:pPr>
          </w:p>
        </w:tc>
      </w:tr>
      <w:tr w14:paraId="3F28F940">
        <w:tblPrEx>
          <w:tblCellMar>
            <w:top w:w="40" w:type="dxa"/>
            <w:left w:w="64" w:type="dxa"/>
            <w:bottom w:w="40" w:type="dxa"/>
            <w:right w:w="64" w:type="dxa"/>
          </w:tblCellMar>
        </w:tblPrEx>
        <w:trPr>
          <w:trHeight w:val="0" w:hRule="atLeast"/>
          <w:jc w:val="center"/>
        </w:trPr>
        <w:tc>
          <w:tcPr>
            <w:tcW w:w="322" w:type="pct"/>
            <w:vMerge w:val="continue"/>
            <w:tcBorders>
              <w:top w:val="single" w:color="auto" w:sz="10" w:space="0"/>
              <w:left w:val="single" w:color="auto" w:sz="10" w:space="0"/>
              <w:bottom w:val="single" w:color="auto" w:sz="10" w:space="0"/>
              <w:right w:val="single" w:color="auto" w:sz="10" w:space="0"/>
              <w:insideV w:val="single" w:sz="10" w:space="0"/>
            </w:tcBorders>
          </w:tcPr>
          <w:p w14:paraId="6EE47C81">
            <w:pPr>
              <w:snapToGrid w:val="0"/>
            </w:pPr>
          </w:p>
        </w:tc>
        <w:tc>
          <w:tcPr>
            <w:tcW w:w="289" w:type="pct"/>
            <w:vMerge w:val="continue"/>
            <w:tcBorders>
              <w:top w:val="single" w:color="auto" w:sz="10" w:space="0"/>
              <w:left w:val="single" w:color="auto" w:sz="10" w:space="0"/>
              <w:bottom w:val="single" w:color="auto" w:sz="10" w:space="0"/>
              <w:right w:val="single" w:color="auto" w:sz="10" w:space="0"/>
              <w:insideV w:val="single" w:sz="10" w:space="0"/>
            </w:tcBorders>
          </w:tcPr>
          <w:p w14:paraId="7DE669AE">
            <w:pPr>
              <w:snapToGrid w:val="0"/>
            </w:pPr>
          </w:p>
        </w:tc>
        <w:tc>
          <w:tcPr>
            <w:tcW w:w="313" w:type="pct"/>
            <w:tcBorders>
              <w:top w:val="single" w:color="auto" w:sz="10" w:space="0"/>
              <w:left w:val="single" w:color="auto" w:sz="10" w:space="0"/>
              <w:bottom w:val="single" w:color="auto" w:sz="10" w:space="0"/>
              <w:right w:val="single" w:color="auto" w:sz="10" w:space="0"/>
              <w:insideV w:val="single" w:sz="10" w:space="0"/>
            </w:tcBorders>
            <w:vAlign w:val="center"/>
          </w:tcPr>
          <w:p w14:paraId="5D507AAA">
            <w:pPr>
              <w:snapToGrid w:val="0"/>
              <w:jc w:val="center"/>
            </w:pPr>
            <w:r>
              <w:rPr>
                <w:rFonts w:ascii="宋体" w:hAnsi="宋体" w:eastAsia="宋体"/>
                <w:sz w:val="16"/>
              </w:rPr>
              <w:t>质量指标</w:t>
            </w:r>
          </w:p>
        </w:tc>
        <w:tc>
          <w:tcPr>
            <w:tcW w:w="649" w:type="pct"/>
            <w:tcBorders>
              <w:top w:val="single" w:color="auto" w:sz="10" w:space="0"/>
              <w:left w:val="single" w:color="auto" w:sz="10" w:space="0"/>
              <w:bottom w:val="single" w:color="auto" w:sz="10" w:space="0"/>
              <w:right w:val="single" w:color="auto" w:sz="10" w:space="0"/>
              <w:insideV w:val="single" w:sz="10" w:space="0"/>
            </w:tcBorders>
            <w:vAlign w:val="center"/>
          </w:tcPr>
          <w:p w14:paraId="6ABCED3D">
            <w:pPr>
              <w:snapToGrid w:val="0"/>
              <w:jc w:val="center"/>
            </w:pPr>
            <w:r>
              <w:rPr>
                <w:rFonts w:ascii="宋体" w:hAnsi="宋体" w:eastAsia="宋体"/>
                <w:sz w:val="16"/>
              </w:rPr>
              <w:t>项目工程完工率（%）</w:t>
            </w:r>
          </w:p>
        </w:tc>
        <w:tc>
          <w:tcPr>
            <w:tcW w:w="449" w:type="pct"/>
            <w:tcBorders>
              <w:top w:val="single" w:color="auto" w:sz="10" w:space="0"/>
              <w:left w:val="single" w:color="auto" w:sz="10" w:space="0"/>
              <w:bottom w:val="single" w:color="auto" w:sz="10" w:space="0"/>
              <w:right w:val="single" w:color="auto" w:sz="10" w:space="0"/>
              <w:insideV w:val="single" w:sz="10" w:space="0"/>
            </w:tcBorders>
            <w:vAlign w:val="center"/>
          </w:tcPr>
          <w:p w14:paraId="76E9B25E">
            <w:pPr>
              <w:snapToGrid w:val="0"/>
              <w:jc w:val="center"/>
            </w:pPr>
            <w:r>
              <w:rPr>
                <w:rFonts w:ascii="宋体" w:hAnsi="宋体" w:eastAsia="宋体"/>
                <w:sz w:val="16"/>
              </w:rPr>
              <w:t>=100%</w:t>
            </w:r>
          </w:p>
        </w:tc>
        <w:tc>
          <w:tcPr>
            <w:tcW w:w="348" w:type="pct"/>
            <w:tcBorders>
              <w:top w:val="single" w:color="auto" w:sz="10" w:space="0"/>
              <w:left w:val="single" w:color="auto" w:sz="10" w:space="0"/>
              <w:bottom w:val="single" w:color="auto" w:sz="10" w:space="0"/>
              <w:right w:val="single" w:color="auto" w:sz="10" w:space="0"/>
              <w:insideV w:val="single" w:sz="10" w:space="0"/>
            </w:tcBorders>
            <w:vAlign w:val="center"/>
          </w:tcPr>
          <w:p w14:paraId="48233BD8">
            <w:pPr>
              <w:snapToGrid w:val="0"/>
              <w:jc w:val="center"/>
            </w:pPr>
            <w:r>
              <w:rPr>
                <w:rFonts w:ascii="宋体" w:hAnsi="宋体" w:eastAsia="宋体"/>
                <w:sz w:val="16"/>
              </w:rPr>
              <w:t>预算支出标准</w:t>
            </w:r>
          </w:p>
        </w:tc>
        <w:tc>
          <w:tcPr>
            <w:tcW w:w="319" w:type="pct"/>
            <w:tcBorders>
              <w:top w:val="single" w:color="auto" w:sz="10" w:space="0"/>
              <w:left w:val="single" w:color="auto" w:sz="10" w:space="0"/>
              <w:bottom w:val="single" w:color="auto" w:sz="10" w:space="0"/>
              <w:right w:val="single" w:color="auto" w:sz="10" w:space="0"/>
              <w:insideV w:val="single" w:sz="10" w:space="0"/>
            </w:tcBorders>
            <w:vAlign w:val="center"/>
          </w:tcPr>
          <w:p w14:paraId="141BB30F">
            <w:pPr>
              <w:snapToGrid w:val="0"/>
              <w:jc w:val="center"/>
            </w:pPr>
            <w:r>
              <w:rPr>
                <w:rFonts w:ascii="宋体" w:hAnsi="宋体" w:eastAsia="宋体"/>
                <w:sz w:val="16"/>
              </w:rPr>
              <w:t>新增</w:t>
            </w:r>
          </w:p>
        </w:tc>
        <w:tc>
          <w:tcPr>
            <w:tcW w:w="222" w:type="pct"/>
            <w:tcBorders>
              <w:top w:val="single" w:color="auto" w:sz="10" w:space="0"/>
              <w:left w:val="single" w:color="auto" w:sz="10" w:space="0"/>
              <w:bottom w:val="single" w:color="auto" w:sz="10" w:space="0"/>
              <w:right w:val="single" w:color="auto" w:sz="10" w:space="0"/>
              <w:insideV w:val="single" w:sz="10" w:space="0"/>
            </w:tcBorders>
            <w:vAlign w:val="center"/>
          </w:tcPr>
          <w:p w14:paraId="786BD7D9">
            <w:pPr>
              <w:snapToGrid w:val="0"/>
              <w:jc w:val="center"/>
            </w:pPr>
            <w:r>
              <w:rPr>
                <w:rFonts w:ascii="宋体" w:hAnsi="宋体" w:eastAsia="宋体"/>
                <w:sz w:val="16"/>
              </w:rPr>
              <w:t>6</w:t>
            </w:r>
          </w:p>
        </w:tc>
        <w:tc>
          <w:tcPr>
            <w:tcW w:w="392" w:type="pct"/>
            <w:tcBorders>
              <w:top w:val="single" w:color="auto" w:sz="10" w:space="0"/>
              <w:left w:val="single" w:color="auto" w:sz="10" w:space="0"/>
              <w:bottom w:val="single" w:color="auto" w:sz="10" w:space="0"/>
              <w:right w:val="single" w:color="auto" w:sz="10" w:space="0"/>
              <w:insideV w:val="single" w:sz="10" w:space="0"/>
            </w:tcBorders>
            <w:vAlign w:val="center"/>
          </w:tcPr>
          <w:p w14:paraId="375B308D">
            <w:pPr>
              <w:snapToGrid w:val="0"/>
              <w:jc w:val="center"/>
            </w:pPr>
            <w:r>
              <w:rPr>
                <w:rFonts w:ascii="宋体" w:hAnsi="宋体" w:eastAsia="宋体"/>
                <w:sz w:val="16"/>
              </w:rPr>
              <w:t>按照完成比例赋分</w:t>
            </w:r>
          </w:p>
        </w:tc>
        <w:tc>
          <w:tcPr>
            <w:tcW w:w="274" w:type="pct"/>
            <w:tcBorders>
              <w:top w:val="single" w:color="auto" w:sz="10" w:space="0"/>
              <w:left w:val="single" w:color="auto" w:sz="10" w:space="0"/>
              <w:bottom w:val="single" w:color="auto" w:sz="10" w:space="0"/>
              <w:right w:val="single" w:color="auto" w:sz="10" w:space="0"/>
              <w:insideV w:val="single" w:sz="10" w:space="0"/>
            </w:tcBorders>
            <w:vAlign w:val="center"/>
          </w:tcPr>
          <w:p w14:paraId="53B250B1">
            <w:pPr>
              <w:snapToGrid w:val="0"/>
              <w:jc w:val="center"/>
            </w:pPr>
            <w:r>
              <w:rPr>
                <w:rFonts w:ascii="宋体" w:hAnsi="宋体" w:eastAsia="宋体"/>
                <w:sz w:val="16"/>
              </w:rPr>
              <w:t>工作资料</w:t>
            </w:r>
          </w:p>
        </w:tc>
        <w:tc>
          <w:tcPr>
            <w:tcW w:w="421" w:type="pct"/>
            <w:tcBorders>
              <w:top w:val="single" w:color="auto" w:sz="10" w:space="0"/>
              <w:left w:val="single" w:color="auto" w:sz="10" w:space="0"/>
              <w:bottom w:val="single" w:color="auto" w:sz="10" w:space="0"/>
              <w:right w:val="single" w:color="auto" w:sz="10" w:space="0"/>
              <w:insideV w:val="single" w:sz="10" w:space="0"/>
            </w:tcBorders>
            <w:vAlign w:val="center"/>
          </w:tcPr>
          <w:p w14:paraId="156F2B7E">
            <w:pPr>
              <w:snapToGrid w:val="0"/>
              <w:jc w:val="center"/>
            </w:pPr>
            <w:r>
              <w:rPr>
                <w:rFonts w:ascii="宋体" w:hAnsi="宋体" w:eastAsia="宋体"/>
                <w:sz w:val="16"/>
              </w:rPr>
              <w:t>=100%</w:t>
            </w:r>
          </w:p>
        </w:tc>
        <w:tc>
          <w:tcPr>
            <w:tcW w:w="406" w:type="pct"/>
            <w:tcBorders>
              <w:top w:val="single" w:color="auto" w:sz="10" w:space="0"/>
              <w:left w:val="single" w:color="auto" w:sz="10" w:space="0"/>
              <w:bottom w:val="single" w:color="auto" w:sz="10" w:space="0"/>
              <w:right w:val="single" w:color="auto" w:sz="10" w:space="0"/>
              <w:insideV w:val="single" w:sz="10" w:space="0"/>
            </w:tcBorders>
            <w:vAlign w:val="center"/>
          </w:tcPr>
          <w:p w14:paraId="61FFCC63">
            <w:pPr>
              <w:snapToGrid w:val="0"/>
              <w:jc w:val="center"/>
            </w:pPr>
            <w:r>
              <w:rPr>
                <w:rFonts w:ascii="宋体" w:hAnsi="宋体" w:eastAsia="宋体"/>
                <w:sz w:val="16"/>
              </w:rPr>
              <w:t>6</w:t>
            </w:r>
          </w:p>
        </w:tc>
        <w:tc>
          <w:tcPr>
            <w:tcW w:w="588" w:type="pct"/>
            <w:tcBorders>
              <w:top w:val="single" w:color="auto" w:sz="10" w:space="0"/>
              <w:left w:val="single" w:color="auto" w:sz="10" w:space="0"/>
              <w:bottom w:val="single" w:color="auto" w:sz="10" w:space="0"/>
              <w:right w:val="single" w:color="auto" w:sz="10" w:space="0"/>
              <w:insideV w:val="single" w:sz="10" w:space="0"/>
            </w:tcBorders>
            <w:vAlign w:val="center"/>
          </w:tcPr>
          <w:p w14:paraId="10202068">
            <w:pPr>
              <w:snapToGrid w:val="0"/>
              <w:jc w:val="center"/>
            </w:pPr>
          </w:p>
        </w:tc>
      </w:tr>
      <w:tr w14:paraId="05E67A77">
        <w:tblPrEx>
          <w:tblCellMar>
            <w:top w:w="40" w:type="dxa"/>
            <w:left w:w="64" w:type="dxa"/>
            <w:bottom w:w="40" w:type="dxa"/>
            <w:right w:w="64" w:type="dxa"/>
          </w:tblCellMar>
        </w:tblPrEx>
        <w:trPr>
          <w:trHeight w:val="0" w:hRule="atLeast"/>
          <w:jc w:val="center"/>
        </w:trPr>
        <w:tc>
          <w:tcPr>
            <w:tcW w:w="322" w:type="pct"/>
            <w:vMerge w:val="continue"/>
            <w:tcBorders>
              <w:top w:val="single" w:color="auto" w:sz="10" w:space="0"/>
              <w:left w:val="single" w:color="auto" w:sz="10" w:space="0"/>
              <w:bottom w:val="single" w:color="auto" w:sz="10" w:space="0"/>
              <w:right w:val="single" w:color="auto" w:sz="10" w:space="0"/>
              <w:insideV w:val="single" w:sz="10" w:space="0"/>
            </w:tcBorders>
          </w:tcPr>
          <w:p w14:paraId="1E8585F7">
            <w:pPr>
              <w:snapToGrid w:val="0"/>
            </w:pPr>
          </w:p>
        </w:tc>
        <w:tc>
          <w:tcPr>
            <w:tcW w:w="289" w:type="pct"/>
            <w:vMerge w:val="continue"/>
            <w:tcBorders>
              <w:top w:val="single" w:color="auto" w:sz="10" w:space="0"/>
              <w:left w:val="single" w:color="auto" w:sz="10" w:space="0"/>
              <w:bottom w:val="single" w:color="auto" w:sz="10" w:space="0"/>
              <w:right w:val="single" w:color="auto" w:sz="10" w:space="0"/>
              <w:insideV w:val="single" w:sz="10" w:space="0"/>
            </w:tcBorders>
          </w:tcPr>
          <w:p w14:paraId="3A12918E">
            <w:pPr>
              <w:snapToGrid w:val="0"/>
            </w:pPr>
          </w:p>
        </w:tc>
        <w:tc>
          <w:tcPr>
            <w:tcW w:w="313" w:type="pct"/>
            <w:tcBorders>
              <w:top w:val="single" w:color="auto" w:sz="10" w:space="0"/>
              <w:left w:val="single" w:color="auto" w:sz="10" w:space="0"/>
              <w:bottom w:val="single" w:color="auto" w:sz="10" w:space="0"/>
              <w:right w:val="single" w:color="auto" w:sz="10" w:space="0"/>
              <w:insideV w:val="single" w:sz="10" w:space="0"/>
            </w:tcBorders>
            <w:vAlign w:val="center"/>
          </w:tcPr>
          <w:p w14:paraId="15552652">
            <w:pPr>
              <w:snapToGrid w:val="0"/>
              <w:jc w:val="center"/>
            </w:pPr>
            <w:r>
              <w:rPr>
                <w:rFonts w:ascii="宋体" w:hAnsi="宋体" w:eastAsia="宋体"/>
                <w:sz w:val="16"/>
              </w:rPr>
              <w:t>时效指标</w:t>
            </w:r>
          </w:p>
        </w:tc>
        <w:tc>
          <w:tcPr>
            <w:tcW w:w="649" w:type="pct"/>
            <w:tcBorders>
              <w:top w:val="single" w:color="auto" w:sz="10" w:space="0"/>
              <w:left w:val="single" w:color="auto" w:sz="10" w:space="0"/>
              <w:bottom w:val="single" w:color="auto" w:sz="10" w:space="0"/>
              <w:right w:val="single" w:color="auto" w:sz="10" w:space="0"/>
              <w:insideV w:val="single" w:sz="10" w:space="0"/>
            </w:tcBorders>
            <w:vAlign w:val="center"/>
          </w:tcPr>
          <w:p w14:paraId="393C231E">
            <w:pPr>
              <w:snapToGrid w:val="0"/>
              <w:jc w:val="center"/>
            </w:pPr>
            <w:r>
              <w:rPr>
                <w:rFonts w:ascii="宋体" w:hAnsi="宋体" w:eastAsia="宋体"/>
                <w:sz w:val="16"/>
              </w:rPr>
              <w:t>完成案件结案及时率（%）</w:t>
            </w:r>
          </w:p>
        </w:tc>
        <w:tc>
          <w:tcPr>
            <w:tcW w:w="449" w:type="pct"/>
            <w:tcBorders>
              <w:top w:val="single" w:color="auto" w:sz="10" w:space="0"/>
              <w:left w:val="single" w:color="auto" w:sz="10" w:space="0"/>
              <w:bottom w:val="single" w:color="auto" w:sz="10" w:space="0"/>
              <w:right w:val="single" w:color="auto" w:sz="10" w:space="0"/>
              <w:insideV w:val="single" w:sz="10" w:space="0"/>
            </w:tcBorders>
            <w:vAlign w:val="center"/>
          </w:tcPr>
          <w:p w14:paraId="69980644">
            <w:pPr>
              <w:snapToGrid w:val="0"/>
              <w:jc w:val="center"/>
            </w:pPr>
            <w:r>
              <w:rPr>
                <w:rFonts w:ascii="宋体" w:hAnsi="宋体" w:eastAsia="宋体"/>
                <w:sz w:val="16"/>
              </w:rPr>
              <w:t>=100%</w:t>
            </w:r>
          </w:p>
        </w:tc>
        <w:tc>
          <w:tcPr>
            <w:tcW w:w="348" w:type="pct"/>
            <w:tcBorders>
              <w:top w:val="single" w:color="auto" w:sz="10" w:space="0"/>
              <w:left w:val="single" w:color="auto" w:sz="10" w:space="0"/>
              <w:bottom w:val="single" w:color="auto" w:sz="10" w:space="0"/>
              <w:right w:val="single" w:color="auto" w:sz="10" w:space="0"/>
              <w:insideV w:val="single" w:sz="10" w:space="0"/>
            </w:tcBorders>
            <w:vAlign w:val="center"/>
          </w:tcPr>
          <w:p w14:paraId="313ADD29">
            <w:pPr>
              <w:snapToGrid w:val="0"/>
              <w:jc w:val="center"/>
            </w:pPr>
            <w:r>
              <w:rPr>
                <w:rFonts w:ascii="宋体" w:hAnsi="宋体" w:eastAsia="宋体"/>
                <w:sz w:val="16"/>
              </w:rPr>
              <w:t>计划标准</w:t>
            </w:r>
          </w:p>
        </w:tc>
        <w:tc>
          <w:tcPr>
            <w:tcW w:w="319" w:type="pct"/>
            <w:tcBorders>
              <w:top w:val="single" w:color="auto" w:sz="10" w:space="0"/>
              <w:left w:val="single" w:color="auto" w:sz="10" w:space="0"/>
              <w:bottom w:val="single" w:color="auto" w:sz="10" w:space="0"/>
              <w:right w:val="single" w:color="auto" w:sz="10" w:space="0"/>
              <w:insideV w:val="single" w:sz="10" w:space="0"/>
            </w:tcBorders>
            <w:vAlign w:val="center"/>
          </w:tcPr>
          <w:p w14:paraId="0223EF8D">
            <w:pPr>
              <w:snapToGrid w:val="0"/>
              <w:jc w:val="center"/>
            </w:pPr>
            <w:r>
              <w:rPr>
                <w:rFonts w:ascii="宋体" w:hAnsi="宋体" w:eastAsia="宋体"/>
                <w:sz w:val="16"/>
              </w:rPr>
              <w:t>新增</w:t>
            </w:r>
          </w:p>
        </w:tc>
        <w:tc>
          <w:tcPr>
            <w:tcW w:w="222" w:type="pct"/>
            <w:tcBorders>
              <w:top w:val="single" w:color="auto" w:sz="10" w:space="0"/>
              <w:left w:val="single" w:color="auto" w:sz="10" w:space="0"/>
              <w:bottom w:val="single" w:color="auto" w:sz="10" w:space="0"/>
              <w:right w:val="single" w:color="auto" w:sz="10" w:space="0"/>
              <w:insideV w:val="single" w:sz="10" w:space="0"/>
            </w:tcBorders>
            <w:vAlign w:val="center"/>
          </w:tcPr>
          <w:p w14:paraId="0B05FD5C">
            <w:pPr>
              <w:snapToGrid w:val="0"/>
              <w:jc w:val="center"/>
            </w:pPr>
            <w:r>
              <w:rPr>
                <w:rFonts w:ascii="宋体" w:hAnsi="宋体" w:eastAsia="宋体"/>
                <w:sz w:val="16"/>
              </w:rPr>
              <w:t>6</w:t>
            </w:r>
          </w:p>
        </w:tc>
        <w:tc>
          <w:tcPr>
            <w:tcW w:w="392" w:type="pct"/>
            <w:tcBorders>
              <w:top w:val="single" w:color="auto" w:sz="10" w:space="0"/>
              <w:left w:val="single" w:color="auto" w:sz="10" w:space="0"/>
              <w:bottom w:val="single" w:color="auto" w:sz="10" w:space="0"/>
              <w:right w:val="single" w:color="auto" w:sz="10" w:space="0"/>
              <w:insideV w:val="single" w:sz="10" w:space="0"/>
            </w:tcBorders>
            <w:vAlign w:val="center"/>
          </w:tcPr>
          <w:p w14:paraId="54263A49">
            <w:pPr>
              <w:snapToGrid w:val="0"/>
              <w:jc w:val="center"/>
            </w:pPr>
            <w:r>
              <w:rPr>
                <w:rFonts w:ascii="宋体" w:hAnsi="宋体" w:eastAsia="宋体"/>
                <w:sz w:val="16"/>
              </w:rPr>
              <w:t>按照完成比例赋分</w:t>
            </w:r>
          </w:p>
        </w:tc>
        <w:tc>
          <w:tcPr>
            <w:tcW w:w="274" w:type="pct"/>
            <w:tcBorders>
              <w:top w:val="single" w:color="auto" w:sz="10" w:space="0"/>
              <w:left w:val="single" w:color="auto" w:sz="10" w:space="0"/>
              <w:bottom w:val="single" w:color="auto" w:sz="10" w:space="0"/>
              <w:right w:val="single" w:color="auto" w:sz="10" w:space="0"/>
              <w:insideV w:val="single" w:sz="10" w:space="0"/>
            </w:tcBorders>
            <w:vAlign w:val="center"/>
          </w:tcPr>
          <w:p w14:paraId="3EA11D97">
            <w:pPr>
              <w:snapToGrid w:val="0"/>
              <w:jc w:val="center"/>
            </w:pPr>
            <w:r>
              <w:rPr>
                <w:rFonts w:ascii="宋体" w:hAnsi="宋体" w:eastAsia="宋体"/>
                <w:sz w:val="16"/>
              </w:rPr>
              <w:t>工作资料</w:t>
            </w:r>
          </w:p>
        </w:tc>
        <w:tc>
          <w:tcPr>
            <w:tcW w:w="421" w:type="pct"/>
            <w:tcBorders>
              <w:top w:val="single" w:color="auto" w:sz="10" w:space="0"/>
              <w:left w:val="single" w:color="auto" w:sz="10" w:space="0"/>
              <w:bottom w:val="single" w:color="auto" w:sz="10" w:space="0"/>
              <w:right w:val="single" w:color="auto" w:sz="10" w:space="0"/>
              <w:insideV w:val="single" w:sz="10" w:space="0"/>
            </w:tcBorders>
            <w:vAlign w:val="center"/>
          </w:tcPr>
          <w:p w14:paraId="2BEB3898">
            <w:pPr>
              <w:snapToGrid w:val="0"/>
              <w:jc w:val="center"/>
            </w:pPr>
            <w:r>
              <w:rPr>
                <w:rFonts w:ascii="宋体" w:hAnsi="宋体" w:eastAsia="宋体"/>
                <w:sz w:val="16"/>
              </w:rPr>
              <w:t>=100%</w:t>
            </w:r>
          </w:p>
        </w:tc>
        <w:tc>
          <w:tcPr>
            <w:tcW w:w="406" w:type="pct"/>
            <w:tcBorders>
              <w:top w:val="single" w:color="auto" w:sz="10" w:space="0"/>
              <w:left w:val="single" w:color="auto" w:sz="10" w:space="0"/>
              <w:bottom w:val="single" w:color="auto" w:sz="10" w:space="0"/>
              <w:right w:val="single" w:color="auto" w:sz="10" w:space="0"/>
              <w:insideV w:val="single" w:sz="10" w:space="0"/>
            </w:tcBorders>
            <w:vAlign w:val="center"/>
          </w:tcPr>
          <w:p w14:paraId="794F7CF8">
            <w:pPr>
              <w:snapToGrid w:val="0"/>
              <w:jc w:val="center"/>
            </w:pPr>
            <w:r>
              <w:rPr>
                <w:rFonts w:ascii="宋体" w:hAnsi="宋体" w:eastAsia="宋体"/>
                <w:sz w:val="16"/>
              </w:rPr>
              <w:t>6</w:t>
            </w:r>
          </w:p>
        </w:tc>
        <w:tc>
          <w:tcPr>
            <w:tcW w:w="588" w:type="pct"/>
            <w:tcBorders>
              <w:top w:val="single" w:color="auto" w:sz="10" w:space="0"/>
              <w:left w:val="single" w:color="auto" w:sz="10" w:space="0"/>
              <w:bottom w:val="single" w:color="auto" w:sz="10" w:space="0"/>
              <w:right w:val="single" w:color="auto" w:sz="10" w:space="0"/>
              <w:insideV w:val="single" w:sz="10" w:space="0"/>
            </w:tcBorders>
            <w:vAlign w:val="center"/>
          </w:tcPr>
          <w:p w14:paraId="76BC15E7">
            <w:pPr>
              <w:snapToGrid w:val="0"/>
              <w:jc w:val="center"/>
            </w:pPr>
          </w:p>
        </w:tc>
      </w:tr>
      <w:tr w14:paraId="66260797">
        <w:tblPrEx>
          <w:tblCellMar>
            <w:top w:w="40" w:type="dxa"/>
            <w:left w:w="64" w:type="dxa"/>
            <w:bottom w:w="40" w:type="dxa"/>
            <w:right w:w="64" w:type="dxa"/>
          </w:tblCellMar>
        </w:tblPrEx>
        <w:trPr>
          <w:trHeight w:val="0" w:hRule="atLeast"/>
          <w:jc w:val="center"/>
        </w:trPr>
        <w:tc>
          <w:tcPr>
            <w:tcW w:w="322" w:type="pct"/>
            <w:vMerge w:val="continue"/>
            <w:tcBorders>
              <w:top w:val="single" w:color="auto" w:sz="10" w:space="0"/>
              <w:left w:val="single" w:color="auto" w:sz="10" w:space="0"/>
              <w:bottom w:val="single" w:color="auto" w:sz="10" w:space="0"/>
              <w:right w:val="single" w:color="auto" w:sz="10" w:space="0"/>
              <w:insideV w:val="single" w:sz="10" w:space="0"/>
            </w:tcBorders>
          </w:tcPr>
          <w:p w14:paraId="17DFAC95">
            <w:pPr>
              <w:snapToGrid w:val="0"/>
            </w:pPr>
          </w:p>
        </w:tc>
        <w:tc>
          <w:tcPr>
            <w:tcW w:w="289" w:type="pct"/>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437EB0">
            <w:pPr>
              <w:snapToGrid w:val="0"/>
              <w:jc w:val="center"/>
            </w:pPr>
            <w:r>
              <w:rPr>
                <w:rFonts w:ascii="宋体" w:hAnsi="宋体" w:eastAsia="宋体"/>
                <w:sz w:val="16"/>
              </w:rPr>
              <w:t>成本指标</w:t>
            </w:r>
          </w:p>
        </w:tc>
        <w:tc>
          <w:tcPr>
            <w:tcW w:w="313" w:type="pct"/>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5004C6">
            <w:pPr>
              <w:snapToGrid w:val="0"/>
              <w:jc w:val="center"/>
            </w:pPr>
            <w:r>
              <w:rPr>
                <w:rFonts w:ascii="宋体" w:hAnsi="宋体" w:eastAsia="宋体"/>
                <w:sz w:val="16"/>
              </w:rPr>
              <w:t>经济成本指标</w:t>
            </w:r>
          </w:p>
        </w:tc>
        <w:tc>
          <w:tcPr>
            <w:tcW w:w="649" w:type="pct"/>
            <w:tcBorders>
              <w:top w:val="single" w:color="auto" w:sz="10" w:space="0"/>
              <w:left w:val="single" w:color="auto" w:sz="10" w:space="0"/>
              <w:bottom w:val="single" w:color="auto" w:sz="10" w:space="0"/>
              <w:right w:val="single" w:color="auto" w:sz="10" w:space="0"/>
              <w:insideV w:val="single" w:sz="10" w:space="0"/>
            </w:tcBorders>
            <w:vAlign w:val="center"/>
          </w:tcPr>
          <w:p w14:paraId="211F8D33">
            <w:pPr>
              <w:snapToGrid w:val="0"/>
              <w:jc w:val="center"/>
            </w:pPr>
            <w:r>
              <w:rPr>
                <w:rFonts w:ascii="宋体" w:hAnsi="宋体" w:eastAsia="宋体"/>
                <w:sz w:val="16"/>
              </w:rPr>
              <w:t>食堂费用（万元）</w:t>
            </w:r>
          </w:p>
        </w:tc>
        <w:tc>
          <w:tcPr>
            <w:tcW w:w="449" w:type="pct"/>
            <w:tcBorders>
              <w:top w:val="single" w:color="auto" w:sz="10" w:space="0"/>
              <w:left w:val="single" w:color="auto" w:sz="10" w:space="0"/>
              <w:bottom w:val="single" w:color="auto" w:sz="10" w:space="0"/>
              <w:right w:val="single" w:color="auto" w:sz="10" w:space="0"/>
              <w:insideV w:val="single" w:sz="10" w:space="0"/>
            </w:tcBorders>
            <w:vAlign w:val="center"/>
          </w:tcPr>
          <w:p w14:paraId="6F2C2990">
            <w:pPr>
              <w:snapToGrid w:val="0"/>
              <w:jc w:val="center"/>
            </w:pPr>
            <w:r>
              <w:rPr>
                <w:rFonts w:ascii="宋体" w:hAnsi="宋体" w:eastAsia="宋体"/>
                <w:sz w:val="16"/>
              </w:rPr>
              <w:t>&lt;=25万元</w:t>
            </w:r>
          </w:p>
        </w:tc>
        <w:tc>
          <w:tcPr>
            <w:tcW w:w="348" w:type="pct"/>
            <w:tcBorders>
              <w:top w:val="single" w:color="auto" w:sz="10" w:space="0"/>
              <w:left w:val="single" w:color="auto" w:sz="10" w:space="0"/>
              <w:bottom w:val="single" w:color="auto" w:sz="10" w:space="0"/>
              <w:right w:val="single" w:color="auto" w:sz="10" w:space="0"/>
              <w:insideV w:val="single" w:sz="10" w:space="0"/>
            </w:tcBorders>
            <w:vAlign w:val="center"/>
          </w:tcPr>
          <w:p w14:paraId="20A7DD06">
            <w:pPr>
              <w:snapToGrid w:val="0"/>
              <w:jc w:val="center"/>
            </w:pPr>
            <w:r>
              <w:rPr>
                <w:rFonts w:ascii="宋体" w:hAnsi="宋体" w:eastAsia="宋体"/>
                <w:sz w:val="16"/>
              </w:rPr>
              <w:t>计划标准</w:t>
            </w:r>
          </w:p>
        </w:tc>
        <w:tc>
          <w:tcPr>
            <w:tcW w:w="319" w:type="pct"/>
            <w:tcBorders>
              <w:top w:val="single" w:color="auto" w:sz="10" w:space="0"/>
              <w:left w:val="single" w:color="auto" w:sz="10" w:space="0"/>
              <w:bottom w:val="single" w:color="auto" w:sz="10" w:space="0"/>
              <w:right w:val="single" w:color="auto" w:sz="10" w:space="0"/>
              <w:insideV w:val="single" w:sz="10" w:space="0"/>
            </w:tcBorders>
            <w:vAlign w:val="center"/>
          </w:tcPr>
          <w:p w14:paraId="541EDCDE">
            <w:pPr>
              <w:snapToGrid w:val="0"/>
              <w:jc w:val="center"/>
            </w:pPr>
            <w:r>
              <w:rPr>
                <w:rFonts w:ascii="宋体" w:hAnsi="宋体" w:eastAsia="宋体"/>
                <w:sz w:val="16"/>
              </w:rPr>
              <w:t>新增</w:t>
            </w:r>
          </w:p>
        </w:tc>
        <w:tc>
          <w:tcPr>
            <w:tcW w:w="222" w:type="pct"/>
            <w:tcBorders>
              <w:top w:val="single" w:color="auto" w:sz="10" w:space="0"/>
              <w:left w:val="single" w:color="auto" w:sz="10" w:space="0"/>
              <w:bottom w:val="single" w:color="auto" w:sz="10" w:space="0"/>
              <w:right w:val="single" w:color="auto" w:sz="10" w:space="0"/>
              <w:insideV w:val="single" w:sz="10" w:space="0"/>
            </w:tcBorders>
            <w:vAlign w:val="center"/>
          </w:tcPr>
          <w:p w14:paraId="5A1EA13F">
            <w:pPr>
              <w:snapToGrid w:val="0"/>
              <w:jc w:val="center"/>
            </w:pPr>
            <w:r>
              <w:rPr>
                <w:rFonts w:ascii="宋体" w:hAnsi="宋体" w:eastAsia="宋体"/>
                <w:sz w:val="16"/>
              </w:rPr>
              <w:t>5</w:t>
            </w:r>
          </w:p>
        </w:tc>
        <w:tc>
          <w:tcPr>
            <w:tcW w:w="392" w:type="pct"/>
            <w:tcBorders>
              <w:top w:val="single" w:color="auto" w:sz="10" w:space="0"/>
              <w:left w:val="single" w:color="auto" w:sz="10" w:space="0"/>
              <w:bottom w:val="single" w:color="auto" w:sz="10" w:space="0"/>
              <w:right w:val="single" w:color="auto" w:sz="10" w:space="0"/>
              <w:insideV w:val="single" w:sz="10" w:space="0"/>
            </w:tcBorders>
            <w:vAlign w:val="center"/>
          </w:tcPr>
          <w:p w14:paraId="76E62C1D">
            <w:pPr>
              <w:snapToGrid w:val="0"/>
              <w:jc w:val="center"/>
            </w:pPr>
            <w:r>
              <w:rPr>
                <w:rFonts w:ascii="宋体" w:hAnsi="宋体" w:eastAsia="宋体"/>
                <w:sz w:val="16"/>
              </w:rPr>
              <w:t>按照完成比例赋分</w:t>
            </w:r>
          </w:p>
        </w:tc>
        <w:tc>
          <w:tcPr>
            <w:tcW w:w="274" w:type="pct"/>
            <w:tcBorders>
              <w:top w:val="single" w:color="auto" w:sz="10" w:space="0"/>
              <w:left w:val="single" w:color="auto" w:sz="10" w:space="0"/>
              <w:bottom w:val="single" w:color="auto" w:sz="10" w:space="0"/>
              <w:right w:val="single" w:color="auto" w:sz="10" w:space="0"/>
              <w:insideV w:val="single" w:sz="10" w:space="0"/>
            </w:tcBorders>
            <w:vAlign w:val="center"/>
          </w:tcPr>
          <w:p w14:paraId="64BDDBF5">
            <w:pPr>
              <w:snapToGrid w:val="0"/>
              <w:jc w:val="center"/>
            </w:pPr>
            <w:r>
              <w:rPr>
                <w:rFonts w:ascii="宋体" w:hAnsi="宋体" w:eastAsia="宋体"/>
                <w:sz w:val="16"/>
              </w:rPr>
              <w:t>工作资料</w:t>
            </w:r>
          </w:p>
        </w:tc>
        <w:tc>
          <w:tcPr>
            <w:tcW w:w="421" w:type="pct"/>
            <w:tcBorders>
              <w:top w:val="single" w:color="auto" w:sz="10" w:space="0"/>
              <w:left w:val="single" w:color="auto" w:sz="10" w:space="0"/>
              <w:bottom w:val="single" w:color="auto" w:sz="10" w:space="0"/>
              <w:right w:val="single" w:color="auto" w:sz="10" w:space="0"/>
              <w:insideV w:val="single" w:sz="10" w:space="0"/>
            </w:tcBorders>
            <w:vAlign w:val="center"/>
          </w:tcPr>
          <w:p w14:paraId="65D5AA77">
            <w:pPr>
              <w:snapToGrid w:val="0"/>
              <w:jc w:val="center"/>
            </w:pPr>
            <w:r>
              <w:rPr>
                <w:rFonts w:ascii="宋体" w:hAnsi="宋体" w:eastAsia="宋体"/>
                <w:sz w:val="16"/>
              </w:rPr>
              <w:t>=25万元</w:t>
            </w:r>
          </w:p>
        </w:tc>
        <w:tc>
          <w:tcPr>
            <w:tcW w:w="406" w:type="pct"/>
            <w:tcBorders>
              <w:top w:val="single" w:color="auto" w:sz="10" w:space="0"/>
              <w:left w:val="single" w:color="auto" w:sz="10" w:space="0"/>
              <w:bottom w:val="single" w:color="auto" w:sz="10" w:space="0"/>
              <w:right w:val="single" w:color="auto" w:sz="10" w:space="0"/>
              <w:insideV w:val="single" w:sz="10" w:space="0"/>
            </w:tcBorders>
            <w:vAlign w:val="center"/>
          </w:tcPr>
          <w:p w14:paraId="77E84AD6">
            <w:pPr>
              <w:snapToGrid w:val="0"/>
              <w:jc w:val="center"/>
            </w:pPr>
            <w:r>
              <w:rPr>
                <w:rFonts w:ascii="宋体" w:hAnsi="宋体" w:eastAsia="宋体"/>
                <w:sz w:val="16"/>
              </w:rPr>
              <w:t>5</w:t>
            </w:r>
          </w:p>
        </w:tc>
        <w:tc>
          <w:tcPr>
            <w:tcW w:w="588" w:type="pct"/>
            <w:tcBorders>
              <w:top w:val="single" w:color="auto" w:sz="10" w:space="0"/>
              <w:left w:val="single" w:color="auto" w:sz="10" w:space="0"/>
              <w:bottom w:val="single" w:color="auto" w:sz="10" w:space="0"/>
              <w:right w:val="single" w:color="auto" w:sz="10" w:space="0"/>
              <w:insideV w:val="single" w:sz="10" w:space="0"/>
            </w:tcBorders>
            <w:vAlign w:val="center"/>
          </w:tcPr>
          <w:p w14:paraId="2122767F">
            <w:pPr>
              <w:snapToGrid w:val="0"/>
              <w:jc w:val="center"/>
            </w:pPr>
          </w:p>
        </w:tc>
      </w:tr>
      <w:tr w14:paraId="4BFFE913">
        <w:tblPrEx>
          <w:tblCellMar>
            <w:top w:w="40" w:type="dxa"/>
            <w:left w:w="64" w:type="dxa"/>
            <w:bottom w:w="40" w:type="dxa"/>
            <w:right w:w="64" w:type="dxa"/>
          </w:tblCellMar>
        </w:tblPrEx>
        <w:trPr>
          <w:trHeight w:val="0" w:hRule="atLeast"/>
          <w:jc w:val="center"/>
        </w:trPr>
        <w:tc>
          <w:tcPr>
            <w:tcW w:w="322" w:type="pct"/>
            <w:vMerge w:val="continue"/>
            <w:tcBorders>
              <w:top w:val="single" w:color="auto" w:sz="10" w:space="0"/>
              <w:left w:val="single" w:color="auto" w:sz="10" w:space="0"/>
              <w:bottom w:val="single" w:color="auto" w:sz="10" w:space="0"/>
              <w:right w:val="single" w:color="auto" w:sz="10" w:space="0"/>
              <w:insideV w:val="single" w:sz="10" w:space="0"/>
            </w:tcBorders>
          </w:tcPr>
          <w:p w14:paraId="2D0964B9">
            <w:pPr>
              <w:snapToGrid w:val="0"/>
            </w:pPr>
          </w:p>
        </w:tc>
        <w:tc>
          <w:tcPr>
            <w:tcW w:w="289" w:type="pct"/>
            <w:vMerge w:val="continue"/>
            <w:tcBorders>
              <w:top w:val="single" w:color="auto" w:sz="10" w:space="0"/>
              <w:left w:val="single" w:color="auto" w:sz="10" w:space="0"/>
              <w:bottom w:val="single" w:color="auto" w:sz="10" w:space="0"/>
              <w:right w:val="single" w:color="auto" w:sz="10" w:space="0"/>
              <w:insideV w:val="single" w:sz="10" w:space="0"/>
            </w:tcBorders>
          </w:tcPr>
          <w:p w14:paraId="277FFB59">
            <w:pPr>
              <w:snapToGrid w:val="0"/>
            </w:pPr>
          </w:p>
        </w:tc>
        <w:tc>
          <w:tcPr>
            <w:tcW w:w="313" w:type="pct"/>
            <w:vMerge w:val="continue"/>
            <w:tcBorders>
              <w:top w:val="single" w:color="auto" w:sz="10" w:space="0"/>
              <w:left w:val="single" w:color="auto" w:sz="10" w:space="0"/>
              <w:bottom w:val="single" w:color="auto" w:sz="10" w:space="0"/>
              <w:right w:val="single" w:color="auto" w:sz="10" w:space="0"/>
              <w:insideV w:val="single" w:sz="10" w:space="0"/>
            </w:tcBorders>
          </w:tcPr>
          <w:p w14:paraId="26E3E3F2">
            <w:pPr>
              <w:snapToGrid w:val="0"/>
            </w:pPr>
          </w:p>
        </w:tc>
        <w:tc>
          <w:tcPr>
            <w:tcW w:w="649" w:type="pct"/>
            <w:tcBorders>
              <w:top w:val="single" w:color="auto" w:sz="10" w:space="0"/>
              <w:left w:val="single" w:color="auto" w:sz="10" w:space="0"/>
              <w:bottom w:val="single" w:color="auto" w:sz="10" w:space="0"/>
              <w:right w:val="single" w:color="auto" w:sz="10" w:space="0"/>
              <w:insideV w:val="single" w:sz="10" w:space="0"/>
            </w:tcBorders>
            <w:vAlign w:val="center"/>
          </w:tcPr>
          <w:p w14:paraId="3894EA44">
            <w:pPr>
              <w:snapToGrid w:val="0"/>
              <w:jc w:val="center"/>
            </w:pPr>
            <w:r>
              <w:rPr>
                <w:rFonts w:ascii="宋体" w:hAnsi="宋体" w:eastAsia="宋体"/>
                <w:sz w:val="16"/>
              </w:rPr>
              <w:t>建设项目工程投入额（万元）</w:t>
            </w:r>
          </w:p>
        </w:tc>
        <w:tc>
          <w:tcPr>
            <w:tcW w:w="449" w:type="pct"/>
            <w:tcBorders>
              <w:top w:val="single" w:color="auto" w:sz="10" w:space="0"/>
              <w:left w:val="single" w:color="auto" w:sz="10" w:space="0"/>
              <w:bottom w:val="single" w:color="auto" w:sz="10" w:space="0"/>
              <w:right w:val="single" w:color="auto" w:sz="10" w:space="0"/>
              <w:insideV w:val="single" w:sz="10" w:space="0"/>
            </w:tcBorders>
            <w:vAlign w:val="center"/>
          </w:tcPr>
          <w:p w14:paraId="5B32AC35">
            <w:pPr>
              <w:snapToGrid w:val="0"/>
              <w:jc w:val="center"/>
            </w:pPr>
            <w:r>
              <w:rPr>
                <w:rFonts w:ascii="宋体" w:hAnsi="宋体" w:eastAsia="宋体"/>
                <w:sz w:val="16"/>
              </w:rPr>
              <w:t>&lt;=178万元</w:t>
            </w:r>
          </w:p>
        </w:tc>
        <w:tc>
          <w:tcPr>
            <w:tcW w:w="348" w:type="pct"/>
            <w:tcBorders>
              <w:top w:val="single" w:color="auto" w:sz="10" w:space="0"/>
              <w:left w:val="single" w:color="auto" w:sz="10" w:space="0"/>
              <w:bottom w:val="single" w:color="auto" w:sz="10" w:space="0"/>
              <w:right w:val="single" w:color="auto" w:sz="10" w:space="0"/>
              <w:insideV w:val="single" w:sz="10" w:space="0"/>
            </w:tcBorders>
            <w:vAlign w:val="center"/>
          </w:tcPr>
          <w:p w14:paraId="259135C1">
            <w:pPr>
              <w:snapToGrid w:val="0"/>
              <w:jc w:val="center"/>
            </w:pPr>
            <w:r>
              <w:rPr>
                <w:rFonts w:ascii="宋体" w:hAnsi="宋体" w:eastAsia="宋体"/>
                <w:sz w:val="16"/>
              </w:rPr>
              <w:t>计划标准</w:t>
            </w:r>
          </w:p>
        </w:tc>
        <w:tc>
          <w:tcPr>
            <w:tcW w:w="319" w:type="pct"/>
            <w:tcBorders>
              <w:top w:val="single" w:color="auto" w:sz="10" w:space="0"/>
              <w:left w:val="single" w:color="auto" w:sz="10" w:space="0"/>
              <w:bottom w:val="single" w:color="auto" w:sz="10" w:space="0"/>
              <w:right w:val="single" w:color="auto" w:sz="10" w:space="0"/>
              <w:insideV w:val="single" w:sz="10" w:space="0"/>
            </w:tcBorders>
            <w:vAlign w:val="center"/>
          </w:tcPr>
          <w:p w14:paraId="15882055">
            <w:pPr>
              <w:snapToGrid w:val="0"/>
              <w:jc w:val="center"/>
            </w:pPr>
            <w:r>
              <w:rPr>
                <w:rFonts w:ascii="宋体" w:hAnsi="宋体" w:eastAsia="宋体"/>
                <w:sz w:val="16"/>
              </w:rPr>
              <w:t>新增</w:t>
            </w:r>
          </w:p>
        </w:tc>
        <w:tc>
          <w:tcPr>
            <w:tcW w:w="222" w:type="pct"/>
            <w:tcBorders>
              <w:top w:val="single" w:color="auto" w:sz="10" w:space="0"/>
              <w:left w:val="single" w:color="auto" w:sz="10" w:space="0"/>
              <w:bottom w:val="single" w:color="auto" w:sz="10" w:space="0"/>
              <w:right w:val="single" w:color="auto" w:sz="10" w:space="0"/>
              <w:insideV w:val="single" w:sz="10" w:space="0"/>
            </w:tcBorders>
            <w:vAlign w:val="center"/>
          </w:tcPr>
          <w:p w14:paraId="45A518AE">
            <w:pPr>
              <w:snapToGrid w:val="0"/>
              <w:jc w:val="center"/>
            </w:pPr>
            <w:r>
              <w:rPr>
                <w:rFonts w:ascii="宋体" w:hAnsi="宋体" w:eastAsia="宋体"/>
                <w:sz w:val="16"/>
              </w:rPr>
              <w:t>5</w:t>
            </w:r>
          </w:p>
        </w:tc>
        <w:tc>
          <w:tcPr>
            <w:tcW w:w="392" w:type="pct"/>
            <w:tcBorders>
              <w:top w:val="single" w:color="auto" w:sz="10" w:space="0"/>
              <w:left w:val="single" w:color="auto" w:sz="10" w:space="0"/>
              <w:bottom w:val="single" w:color="auto" w:sz="10" w:space="0"/>
              <w:right w:val="single" w:color="auto" w:sz="10" w:space="0"/>
              <w:insideV w:val="single" w:sz="10" w:space="0"/>
            </w:tcBorders>
            <w:vAlign w:val="center"/>
          </w:tcPr>
          <w:p w14:paraId="0BFBDD02">
            <w:pPr>
              <w:snapToGrid w:val="0"/>
              <w:jc w:val="center"/>
            </w:pPr>
            <w:r>
              <w:rPr>
                <w:rFonts w:ascii="宋体" w:hAnsi="宋体" w:eastAsia="宋体"/>
                <w:sz w:val="16"/>
              </w:rPr>
              <w:t>按照完成比例赋分</w:t>
            </w:r>
          </w:p>
        </w:tc>
        <w:tc>
          <w:tcPr>
            <w:tcW w:w="274" w:type="pct"/>
            <w:tcBorders>
              <w:top w:val="single" w:color="auto" w:sz="10" w:space="0"/>
              <w:left w:val="single" w:color="auto" w:sz="10" w:space="0"/>
              <w:bottom w:val="single" w:color="auto" w:sz="10" w:space="0"/>
              <w:right w:val="single" w:color="auto" w:sz="10" w:space="0"/>
              <w:insideV w:val="single" w:sz="10" w:space="0"/>
            </w:tcBorders>
            <w:vAlign w:val="center"/>
          </w:tcPr>
          <w:p w14:paraId="5359876D">
            <w:pPr>
              <w:snapToGrid w:val="0"/>
              <w:jc w:val="center"/>
            </w:pPr>
            <w:r>
              <w:rPr>
                <w:rFonts w:ascii="宋体" w:hAnsi="宋体" w:eastAsia="宋体"/>
                <w:sz w:val="16"/>
              </w:rPr>
              <w:t>工作资料</w:t>
            </w:r>
          </w:p>
        </w:tc>
        <w:tc>
          <w:tcPr>
            <w:tcW w:w="421" w:type="pct"/>
            <w:tcBorders>
              <w:top w:val="single" w:color="auto" w:sz="10" w:space="0"/>
              <w:left w:val="single" w:color="auto" w:sz="10" w:space="0"/>
              <w:bottom w:val="single" w:color="auto" w:sz="10" w:space="0"/>
              <w:right w:val="single" w:color="auto" w:sz="10" w:space="0"/>
              <w:insideV w:val="single" w:sz="10" w:space="0"/>
            </w:tcBorders>
            <w:vAlign w:val="center"/>
          </w:tcPr>
          <w:p w14:paraId="6FF2E0BD">
            <w:pPr>
              <w:snapToGrid w:val="0"/>
              <w:jc w:val="center"/>
            </w:pPr>
            <w:r>
              <w:rPr>
                <w:rFonts w:ascii="宋体" w:hAnsi="宋体" w:eastAsia="宋体"/>
                <w:sz w:val="16"/>
              </w:rPr>
              <w:t>=178万元</w:t>
            </w:r>
          </w:p>
        </w:tc>
        <w:tc>
          <w:tcPr>
            <w:tcW w:w="406" w:type="pct"/>
            <w:tcBorders>
              <w:top w:val="single" w:color="auto" w:sz="10" w:space="0"/>
              <w:left w:val="single" w:color="auto" w:sz="10" w:space="0"/>
              <w:bottom w:val="single" w:color="auto" w:sz="10" w:space="0"/>
              <w:right w:val="single" w:color="auto" w:sz="10" w:space="0"/>
              <w:insideV w:val="single" w:sz="10" w:space="0"/>
            </w:tcBorders>
            <w:vAlign w:val="center"/>
          </w:tcPr>
          <w:p w14:paraId="7CF3A333">
            <w:pPr>
              <w:snapToGrid w:val="0"/>
              <w:jc w:val="center"/>
            </w:pPr>
            <w:r>
              <w:rPr>
                <w:rFonts w:ascii="宋体" w:hAnsi="宋体" w:eastAsia="宋体"/>
                <w:sz w:val="16"/>
              </w:rPr>
              <w:t>5</w:t>
            </w:r>
          </w:p>
        </w:tc>
        <w:tc>
          <w:tcPr>
            <w:tcW w:w="588" w:type="pct"/>
            <w:tcBorders>
              <w:top w:val="single" w:color="auto" w:sz="10" w:space="0"/>
              <w:left w:val="single" w:color="auto" w:sz="10" w:space="0"/>
              <w:bottom w:val="single" w:color="auto" w:sz="10" w:space="0"/>
              <w:right w:val="single" w:color="auto" w:sz="10" w:space="0"/>
              <w:insideV w:val="single" w:sz="10" w:space="0"/>
            </w:tcBorders>
            <w:vAlign w:val="center"/>
          </w:tcPr>
          <w:p w14:paraId="01C5DB8C">
            <w:pPr>
              <w:snapToGrid w:val="0"/>
              <w:jc w:val="center"/>
            </w:pPr>
          </w:p>
        </w:tc>
      </w:tr>
      <w:tr w14:paraId="1E635AD5">
        <w:tblPrEx>
          <w:tblCellMar>
            <w:top w:w="40" w:type="dxa"/>
            <w:left w:w="64" w:type="dxa"/>
            <w:bottom w:w="40" w:type="dxa"/>
            <w:right w:w="64" w:type="dxa"/>
          </w:tblCellMar>
        </w:tblPrEx>
        <w:trPr>
          <w:trHeight w:val="0" w:hRule="atLeast"/>
          <w:jc w:val="center"/>
        </w:trPr>
        <w:tc>
          <w:tcPr>
            <w:tcW w:w="322" w:type="pct"/>
            <w:vMerge w:val="continue"/>
            <w:tcBorders>
              <w:top w:val="single" w:color="auto" w:sz="10" w:space="0"/>
              <w:left w:val="single" w:color="auto" w:sz="10" w:space="0"/>
              <w:bottom w:val="single" w:color="auto" w:sz="10" w:space="0"/>
              <w:right w:val="single" w:color="auto" w:sz="10" w:space="0"/>
              <w:insideV w:val="single" w:sz="10" w:space="0"/>
            </w:tcBorders>
          </w:tcPr>
          <w:p w14:paraId="013FE65C">
            <w:pPr>
              <w:snapToGrid w:val="0"/>
            </w:pPr>
          </w:p>
        </w:tc>
        <w:tc>
          <w:tcPr>
            <w:tcW w:w="289" w:type="pct"/>
            <w:vMerge w:val="continue"/>
            <w:tcBorders>
              <w:top w:val="single" w:color="auto" w:sz="10" w:space="0"/>
              <w:left w:val="single" w:color="auto" w:sz="10" w:space="0"/>
              <w:bottom w:val="single" w:color="auto" w:sz="10" w:space="0"/>
              <w:right w:val="single" w:color="auto" w:sz="10" w:space="0"/>
              <w:insideV w:val="single" w:sz="10" w:space="0"/>
            </w:tcBorders>
          </w:tcPr>
          <w:p w14:paraId="66937F5E">
            <w:pPr>
              <w:snapToGrid w:val="0"/>
            </w:pPr>
          </w:p>
        </w:tc>
        <w:tc>
          <w:tcPr>
            <w:tcW w:w="313" w:type="pct"/>
            <w:vMerge w:val="continue"/>
            <w:tcBorders>
              <w:top w:val="single" w:color="auto" w:sz="10" w:space="0"/>
              <w:left w:val="single" w:color="auto" w:sz="10" w:space="0"/>
              <w:bottom w:val="single" w:color="auto" w:sz="10" w:space="0"/>
              <w:right w:val="single" w:color="auto" w:sz="10" w:space="0"/>
              <w:insideV w:val="single" w:sz="10" w:space="0"/>
            </w:tcBorders>
          </w:tcPr>
          <w:p w14:paraId="275861F2">
            <w:pPr>
              <w:snapToGrid w:val="0"/>
            </w:pPr>
          </w:p>
        </w:tc>
        <w:tc>
          <w:tcPr>
            <w:tcW w:w="649" w:type="pct"/>
            <w:tcBorders>
              <w:top w:val="single" w:color="auto" w:sz="10" w:space="0"/>
              <w:left w:val="single" w:color="auto" w:sz="10" w:space="0"/>
              <w:bottom w:val="single" w:color="auto" w:sz="10" w:space="0"/>
              <w:right w:val="single" w:color="auto" w:sz="10" w:space="0"/>
              <w:insideV w:val="single" w:sz="10" w:space="0"/>
            </w:tcBorders>
            <w:vAlign w:val="center"/>
          </w:tcPr>
          <w:p w14:paraId="5D2251AD">
            <w:pPr>
              <w:snapToGrid w:val="0"/>
              <w:jc w:val="center"/>
            </w:pPr>
            <w:r>
              <w:rPr>
                <w:rFonts w:ascii="宋体" w:hAnsi="宋体" w:eastAsia="宋体"/>
                <w:sz w:val="16"/>
              </w:rPr>
              <w:t>数字化档案项目尾款（万元）</w:t>
            </w:r>
          </w:p>
        </w:tc>
        <w:tc>
          <w:tcPr>
            <w:tcW w:w="449" w:type="pct"/>
            <w:tcBorders>
              <w:top w:val="single" w:color="auto" w:sz="10" w:space="0"/>
              <w:left w:val="single" w:color="auto" w:sz="10" w:space="0"/>
              <w:bottom w:val="single" w:color="auto" w:sz="10" w:space="0"/>
              <w:right w:val="single" w:color="auto" w:sz="10" w:space="0"/>
              <w:insideV w:val="single" w:sz="10" w:space="0"/>
            </w:tcBorders>
            <w:vAlign w:val="center"/>
          </w:tcPr>
          <w:p w14:paraId="6A908136">
            <w:pPr>
              <w:snapToGrid w:val="0"/>
              <w:jc w:val="center"/>
            </w:pPr>
            <w:r>
              <w:rPr>
                <w:rFonts w:ascii="宋体" w:hAnsi="宋体" w:eastAsia="宋体"/>
                <w:sz w:val="16"/>
              </w:rPr>
              <w:t>&lt;=35万元</w:t>
            </w:r>
          </w:p>
        </w:tc>
        <w:tc>
          <w:tcPr>
            <w:tcW w:w="348" w:type="pct"/>
            <w:tcBorders>
              <w:top w:val="single" w:color="auto" w:sz="10" w:space="0"/>
              <w:left w:val="single" w:color="auto" w:sz="10" w:space="0"/>
              <w:bottom w:val="single" w:color="auto" w:sz="10" w:space="0"/>
              <w:right w:val="single" w:color="auto" w:sz="10" w:space="0"/>
              <w:insideV w:val="single" w:sz="10" w:space="0"/>
            </w:tcBorders>
            <w:vAlign w:val="center"/>
          </w:tcPr>
          <w:p w14:paraId="2B601E41">
            <w:pPr>
              <w:snapToGrid w:val="0"/>
              <w:jc w:val="center"/>
            </w:pPr>
            <w:r>
              <w:rPr>
                <w:rFonts w:ascii="宋体" w:hAnsi="宋体" w:eastAsia="宋体"/>
                <w:sz w:val="16"/>
              </w:rPr>
              <w:t>计划标准</w:t>
            </w:r>
          </w:p>
        </w:tc>
        <w:tc>
          <w:tcPr>
            <w:tcW w:w="319" w:type="pct"/>
            <w:tcBorders>
              <w:top w:val="single" w:color="auto" w:sz="10" w:space="0"/>
              <w:left w:val="single" w:color="auto" w:sz="10" w:space="0"/>
              <w:bottom w:val="single" w:color="auto" w:sz="10" w:space="0"/>
              <w:right w:val="single" w:color="auto" w:sz="10" w:space="0"/>
              <w:insideV w:val="single" w:sz="10" w:space="0"/>
            </w:tcBorders>
            <w:vAlign w:val="center"/>
          </w:tcPr>
          <w:p w14:paraId="4C3A6C77">
            <w:pPr>
              <w:snapToGrid w:val="0"/>
              <w:jc w:val="center"/>
            </w:pPr>
            <w:r>
              <w:rPr>
                <w:rFonts w:ascii="宋体" w:hAnsi="宋体" w:eastAsia="宋体"/>
                <w:sz w:val="16"/>
              </w:rPr>
              <w:t>新增</w:t>
            </w:r>
          </w:p>
        </w:tc>
        <w:tc>
          <w:tcPr>
            <w:tcW w:w="222" w:type="pct"/>
            <w:tcBorders>
              <w:top w:val="single" w:color="auto" w:sz="10" w:space="0"/>
              <w:left w:val="single" w:color="auto" w:sz="10" w:space="0"/>
              <w:bottom w:val="single" w:color="auto" w:sz="10" w:space="0"/>
              <w:right w:val="single" w:color="auto" w:sz="10" w:space="0"/>
              <w:insideV w:val="single" w:sz="10" w:space="0"/>
            </w:tcBorders>
            <w:vAlign w:val="center"/>
          </w:tcPr>
          <w:p w14:paraId="335CDF56">
            <w:pPr>
              <w:snapToGrid w:val="0"/>
              <w:jc w:val="center"/>
            </w:pPr>
            <w:r>
              <w:rPr>
                <w:rFonts w:ascii="宋体" w:hAnsi="宋体" w:eastAsia="宋体"/>
                <w:sz w:val="16"/>
              </w:rPr>
              <w:t>5</w:t>
            </w:r>
          </w:p>
        </w:tc>
        <w:tc>
          <w:tcPr>
            <w:tcW w:w="392" w:type="pct"/>
            <w:tcBorders>
              <w:top w:val="single" w:color="auto" w:sz="10" w:space="0"/>
              <w:left w:val="single" w:color="auto" w:sz="10" w:space="0"/>
              <w:bottom w:val="single" w:color="auto" w:sz="10" w:space="0"/>
              <w:right w:val="single" w:color="auto" w:sz="10" w:space="0"/>
              <w:insideV w:val="single" w:sz="10" w:space="0"/>
            </w:tcBorders>
            <w:vAlign w:val="center"/>
          </w:tcPr>
          <w:p w14:paraId="4D11A172">
            <w:pPr>
              <w:snapToGrid w:val="0"/>
              <w:jc w:val="center"/>
            </w:pPr>
            <w:r>
              <w:rPr>
                <w:rFonts w:ascii="宋体" w:hAnsi="宋体" w:eastAsia="宋体"/>
                <w:sz w:val="16"/>
              </w:rPr>
              <w:t>按照完成比例赋分</w:t>
            </w:r>
          </w:p>
        </w:tc>
        <w:tc>
          <w:tcPr>
            <w:tcW w:w="274" w:type="pct"/>
            <w:tcBorders>
              <w:top w:val="single" w:color="auto" w:sz="10" w:space="0"/>
              <w:left w:val="single" w:color="auto" w:sz="10" w:space="0"/>
              <w:bottom w:val="single" w:color="auto" w:sz="10" w:space="0"/>
              <w:right w:val="single" w:color="auto" w:sz="10" w:space="0"/>
              <w:insideV w:val="single" w:sz="10" w:space="0"/>
            </w:tcBorders>
            <w:vAlign w:val="center"/>
          </w:tcPr>
          <w:p w14:paraId="1F9FD86B">
            <w:pPr>
              <w:snapToGrid w:val="0"/>
              <w:jc w:val="center"/>
            </w:pPr>
            <w:r>
              <w:rPr>
                <w:rFonts w:ascii="宋体" w:hAnsi="宋体" w:eastAsia="宋体"/>
                <w:sz w:val="16"/>
              </w:rPr>
              <w:t>工作资料</w:t>
            </w:r>
          </w:p>
        </w:tc>
        <w:tc>
          <w:tcPr>
            <w:tcW w:w="421" w:type="pct"/>
            <w:tcBorders>
              <w:top w:val="single" w:color="auto" w:sz="10" w:space="0"/>
              <w:left w:val="single" w:color="auto" w:sz="10" w:space="0"/>
              <w:bottom w:val="single" w:color="auto" w:sz="10" w:space="0"/>
              <w:right w:val="single" w:color="auto" w:sz="10" w:space="0"/>
              <w:insideV w:val="single" w:sz="10" w:space="0"/>
            </w:tcBorders>
            <w:vAlign w:val="center"/>
          </w:tcPr>
          <w:p w14:paraId="08C7C414">
            <w:pPr>
              <w:snapToGrid w:val="0"/>
              <w:jc w:val="center"/>
            </w:pPr>
            <w:r>
              <w:rPr>
                <w:rFonts w:ascii="宋体" w:hAnsi="宋体" w:eastAsia="宋体"/>
                <w:sz w:val="16"/>
              </w:rPr>
              <w:t>=35万元</w:t>
            </w:r>
          </w:p>
        </w:tc>
        <w:tc>
          <w:tcPr>
            <w:tcW w:w="406" w:type="pct"/>
            <w:tcBorders>
              <w:top w:val="single" w:color="auto" w:sz="10" w:space="0"/>
              <w:left w:val="single" w:color="auto" w:sz="10" w:space="0"/>
              <w:bottom w:val="single" w:color="auto" w:sz="10" w:space="0"/>
              <w:right w:val="single" w:color="auto" w:sz="10" w:space="0"/>
              <w:insideV w:val="single" w:sz="10" w:space="0"/>
            </w:tcBorders>
            <w:vAlign w:val="center"/>
          </w:tcPr>
          <w:p w14:paraId="7E791DE0">
            <w:pPr>
              <w:snapToGrid w:val="0"/>
              <w:jc w:val="center"/>
            </w:pPr>
            <w:r>
              <w:rPr>
                <w:rFonts w:ascii="宋体" w:hAnsi="宋体" w:eastAsia="宋体"/>
                <w:sz w:val="16"/>
              </w:rPr>
              <w:t>5</w:t>
            </w:r>
          </w:p>
        </w:tc>
        <w:tc>
          <w:tcPr>
            <w:tcW w:w="588" w:type="pct"/>
            <w:tcBorders>
              <w:top w:val="single" w:color="auto" w:sz="10" w:space="0"/>
              <w:left w:val="single" w:color="auto" w:sz="10" w:space="0"/>
              <w:bottom w:val="single" w:color="auto" w:sz="10" w:space="0"/>
              <w:right w:val="single" w:color="auto" w:sz="10" w:space="0"/>
              <w:insideV w:val="single" w:sz="10" w:space="0"/>
            </w:tcBorders>
            <w:vAlign w:val="center"/>
          </w:tcPr>
          <w:p w14:paraId="52F34567">
            <w:pPr>
              <w:snapToGrid w:val="0"/>
              <w:jc w:val="center"/>
            </w:pPr>
          </w:p>
        </w:tc>
      </w:tr>
      <w:tr w14:paraId="34BDA2BC">
        <w:tblPrEx>
          <w:tblCellMar>
            <w:top w:w="40" w:type="dxa"/>
            <w:left w:w="64" w:type="dxa"/>
            <w:bottom w:w="40" w:type="dxa"/>
            <w:right w:w="64" w:type="dxa"/>
          </w:tblCellMar>
        </w:tblPrEx>
        <w:trPr>
          <w:trHeight w:val="0" w:hRule="atLeast"/>
          <w:jc w:val="center"/>
        </w:trPr>
        <w:tc>
          <w:tcPr>
            <w:tcW w:w="322" w:type="pct"/>
            <w:vMerge w:val="continue"/>
            <w:tcBorders>
              <w:top w:val="single" w:color="auto" w:sz="10" w:space="0"/>
              <w:left w:val="single" w:color="auto" w:sz="10" w:space="0"/>
              <w:bottom w:val="single" w:color="auto" w:sz="10" w:space="0"/>
              <w:right w:val="single" w:color="auto" w:sz="10" w:space="0"/>
              <w:insideV w:val="single" w:sz="10" w:space="0"/>
            </w:tcBorders>
          </w:tcPr>
          <w:p w14:paraId="5493F3B7">
            <w:pPr>
              <w:snapToGrid w:val="0"/>
            </w:pPr>
          </w:p>
        </w:tc>
        <w:tc>
          <w:tcPr>
            <w:tcW w:w="289" w:type="pct"/>
            <w:vMerge w:val="continue"/>
            <w:tcBorders>
              <w:top w:val="single" w:color="auto" w:sz="10" w:space="0"/>
              <w:left w:val="single" w:color="auto" w:sz="10" w:space="0"/>
              <w:bottom w:val="single" w:color="auto" w:sz="10" w:space="0"/>
              <w:right w:val="single" w:color="auto" w:sz="10" w:space="0"/>
              <w:insideV w:val="single" w:sz="10" w:space="0"/>
            </w:tcBorders>
          </w:tcPr>
          <w:p w14:paraId="3B19E33F">
            <w:pPr>
              <w:snapToGrid w:val="0"/>
            </w:pPr>
          </w:p>
        </w:tc>
        <w:tc>
          <w:tcPr>
            <w:tcW w:w="313" w:type="pct"/>
            <w:vMerge w:val="continue"/>
            <w:tcBorders>
              <w:top w:val="single" w:color="auto" w:sz="10" w:space="0"/>
              <w:left w:val="single" w:color="auto" w:sz="10" w:space="0"/>
              <w:bottom w:val="single" w:color="auto" w:sz="10" w:space="0"/>
              <w:right w:val="single" w:color="auto" w:sz="10" w:space="0"/>
              <w:insideV w:val="single" w:sz="10" w:space="0"/>
            </w:tcBorders>
          </w:tcPr>
          <w:p w14:paraId="5567795E">
            <w:pPr>
              <w:snapToGrid w:val="0"/>
            </w:pPr>
          </w:p>
        </w:tc>
        <w:tc>
          <w:tcPr>
            <w:tcW w:w="649" w:type="pct"/>
            <w:tcBorders>
              <w:top w:val="single" w:color="auto" w:sz="10" w:space="0"/>
              <w:left w:val="single" w:color="auto" w:sz="10" w:space="0"/>
              <w:bottom w:val="single" w:color="auto" w:sz="10" w:space="0"/>
              <w:right w:val="single" w:color="auto" w:sz="10" w:space="0"/>
              <w:insideV w:val="single" w:sz="10" w:space="0"/>
            </w:tcBorders>
            <w:vAlign w:val="center"/>
          </w:tcPr>
          <w:p w14:paraId="58FBAE22">
            <w:pPr>
              <w:snapToGrid w:val="0"/>
              <w:jc w:val="center"/>
            </w:pPr>
            <w:r>
              <w:rPr>
                <w:rFonts w:ascii="宋体" w:hAnsi="宋体" w:eastAsia="宋体"/>
                <w:sz w:val="16"/>
              </w:rPr>
              <w:t>文化项目建设（万元）</w:t>
            </w:r>
          </w:p>
        </w:tc>
        <w:tc>
          <w:tcPr>
            <w:tcW w:w="449" w:type="pct"/>
            <w:tcBorders>
              <w:top w:val="single" w:color="auto" w:sz="10" w:space="0"/>
              <w:left w:val="single" w:color="auto" w:sz="10" w:space="0"/>
              <w:bottom w:val="single" w:color="auto" w:sz="10" w:space="0"/>
              <w:right w:val="single" w:color="auto" w:sz="10" w:space="0"/>
              <w:insideV w:val="single" w:sz="10" w:space="0"/>
            </w:tcBorders>
            <w:vAlign w:val="center"/>
          </w:tcPr>
          <w:p w14:paraId="1E186BA7">
            <w:pPr>
              <w:snapToGrid w:val="0"/>
              <w:jc w:val="center"/>
            </w:pPr>
            <w:r>
              <w:rPr>
                <w:rFonts w:ascii="宋体" w:hAnsi="宋体" w:eastAsia="宋体"/>
                <w:sz w:val="16"/>
              </w:rPr>
              <w:t>&lt;=58万元</w:t>
            </w:r>
          </w:p>
        </w:tc>
        <w:tc>
          <w:tcPr>
            <w:tcW w:w="348" w:type="pct"/>
            <w:tcBorders>
              <w:top w:val="single" w:color="auto" w:sz="10" w:space="0"/>
              <w:left w:val="single" w:color="auto" w:sz="10" w:space="0"/>
              <w:bottom w:val="single" w:color="auto" w:sz="10" w:space="0"/>
              <w:right w:val="single" w:color="auto" w:sz="10" w:space="0"/>
              <w:insideV w:val="single" w:sz="10" w:space="0"/>
            </w:tcBorders>
            <w:vAlign w:val="center"/>
          </w:tcPr>
          <w:p w14:paraId="4F8611F9">
            <w:pPr>
              <w:snapToGrid w:val="0"/>
              <w:jc w:val="center"/>
            </w:pPr>
            <w:r>
              <w:rPr>
                <w:rFonts w:ascii="宋体" w:hAnsi="宋体" w:eastAsia="宋体"/>
                <w:sz w:val="16"/>
              </w:rPr>
              <w:t>计划标准</w:t>
            </w:r>
          </w:p>
        </w:tc>
        <w:tc>
          <w:tcPr>
            <w:tcW w:w="319" w:type="pct"/>
            <w:tcBorders>
              <w:top w:val="single" w:color="auto" w:sz="10" w:space="0"/>
              <w:left w:val="single" w:color="auto" w:sz="10" w:space="0"/>
              <w:bottom w:val="single" w:color="auto" w:sz="10" w:space="0"/>
              <w:right w:val="single" w:color="auto" w:sz="10" w:space="0"/>
              <w:insideV w:val="single" w:sz="10" w:space="0"/>
            </w:tcBorders>
            <w:vAlign w:val="center"/>
          </w:tcPr>
          <w:p w14:paraId="4113269C">
            <w:pPr>
              <w:snapToGrid w:val="0"/>
              <w:jc w:val="center"/>
            </w:pPr>
            <w:r>
              <w:rPr>
                <w:rFonts w:ascii="宋体" w:hAnsi="宋体" w:eastAsia="宋体"/>
                <w:sz w:val="16"/>
              </w:rPr>
              <w:t>新增</w:t>
            </w:r>
          </w:p>
        </w:tc>
        <w:tc>
          <w:tcPr>
            <w:tcW w:w="222" w:type="pct"/>
            <w:tcBorders>
              <w:top w:val="single" w:color="auto" w:sz="10" w:space="0"/>
              <w:left w:val="single" w:color="auto" w:sz="10" w:space="0"/>
              <w:bottom w:val="single" w:color="auto" w:sz="10" w:space="0"/>
              <w:right w:val="single" w:color="auto" w:sz="10" w:space="0"/>
              <w:insideV w:val="single" w:sz="10" w:space="0"/>
            </w:tcBorders>
            <w:vAlign w:val="center"/>
          </w:tcPr>
          <w:p w14:paraId="531ED55E">
            <w:pPr>
              <w:snapToGrid w:val="0"/>
              <w:jc w:val="center"/>
            </w:pPr>
            <w:r>
              <w:rPr>
                <w:rFonts w:ascii="宋体" w:hAnsi="宋体" w:eastAsia="宋体"/>
                <w:sz w:val="16"/>
              </w:rPr>
              <w:t>5</w:t>
            </w:r>
          </w:p>
        </w:tc>
        <w:tc>
          <w:tcPr>
            <w:tcW w:w="392" w:type="pct"/>
            <w:tcBorders>
              <w:top w:val="single" w:color="auto" w:sz="10" w:space="0"/>
              <w:left w:val="single" w:color="auto" w:sz="10" w:space="0"/>
              <w:bottom w:val="single" w:color="auto" w:sz="10" w:space="0"/>
              <w:right w:val="single" w:color="auto" w:sz="10" w:space="0"/>
              <w:insideV w:val="single" w:sz="10" w:space="0"/>
            </w:tcBorders>
            <w:vAlign w:val="center"/>
          </w:tcPr>
          <w:p w14:paraId="4CCE2786">
            <w:pPr>
              <w:snapToGrid w:val="0"/>
              <w:jc w:val="center"/>
            </w:pPr>
            <w:r>
              <w:rPr>
                <w:rFonts w:ascii="宋体" w:hAnsi="宋体" w:eastAsia="宋体"/>
                <w:sz w:val="16"/>
              </w:rPr>
              <w:t>按照完成比例赋分</w:t>
            </w:r>
          </w:p>
        </w:tc>
        <w:tc>
          <w:tcPr>
            <w:tcW w:w="274" w:type="pct"/>
            <w:tcBorders>
              <w:top w:val="single" w:color="auto" w:sz="10" w:space="0"/>
              <w:left w:val="single" w:color="auto" w:sz="10" w:space="0"/>
              <w:bottom w:val="single" w:color="auto" w:sz="10" w:space="0"/>
              <w:right w:val="single" w:color="auto" w:sz="10" w:space="0"/>
              <w:insideV w:val="single" w:sz="10" w:space="0"/>
            </w:tcBorders>
            <w:vAlign w:val="center"/>
          </w:tcPr>
          <w:p w14:paraId="1C4B8144">
            <w:pPr>
              <w:snapToGrid w:val="0"/>
              <w:jc w:val="center"/>
            </w:pPr>
            <w:r>
              <w:rPr>
                <w:rFonts w:ascii="宋体" w:hAnsi="宋体" w:eastAsia="宋体"/>
                <w:sz w:val="16"/>
              </w:rPr>
              <w:t>工作资料</w:t>
            </w:r>
          </w:p>
        </w:tc>
        <w:tc>
          <w:tcPr>
            <w:tcW w:w="421" w:type="pct"/>
            <w:tcBorders>
              <w:top w:val="single" w:color="auto" w:sz="10" w:space="0"/>
              <w:left w:val="single" w:color="auto" w:sz="10" w:space="0"/>
              <w:bottom w:val="single" w:color="auto" w:sz="10" w:space="0"/>
              <w:right w:val="single" w:color="auto" w:sz="10" w:space="0"/>
              <w:insideV w:val="single" w:sz="10" w:space="0"/>
            </w:tcBorders>
            <w:vAlign w:val="center"/>
          </w:tcPr>
          <w:p w14:paraId="63B6AA6E">
            <w:pPr>
              <w:snapToGrid w:val="0"/>
              <w:jc w:val="center"/>
            </w:pPr>
            <w:r>
              <w:rPr>
                <w:rFonts w:ascii="宋体" w:hAnsi="宋体" w:eastAsia="宋体"/>
                <w:sz w:val="16"/>
              </w:rPr>
              <w:t>=58万元</w:t>
            </w:r>
          </w:p>
        </w:tc>
        <w:tc>
          <w:tcPr>
            <w:tcW w:w="406" w:type="pct"/>
            <w:tcBorders>
              <w:top w:val="single" w:color="auto" w:sz="10" w:space="0"/>
              <w:left w:val="single" w:color="auto" w:sz="10" w:space="0"/>
              <w:bottom w:val="single" w:color="auto" w:sz="10" w:space="0"/>
              <w:right w:val="single" w:color="auto" w:sz="10" w:space="0"/>
              <w:insideV w:val="single" w:sz="10" w:space="0"/>
            </w:tcBorders>
            <w:vAlign w:val="center"/>
          </w:tcPr>
          <w:p w14:paraId="0922BAA4">
            <w:pPr>
              <w:snapToGrid w:val="0"/>
              <w:jc w:val="center"/>
            </w:pPr>
            <w:r>
              <w:rPr>
                <w:rFonts w:ascii="宋体" w:hAnsi="宋体" w:eastAsia="宋体"/>
                <w:sz w:val="16"/>
              </w:rPr>
              <w:t>5</w:t>
            </w:r>
          </w:p>
        </w:tc>
        <w:tc>
          <w:tcPr>
            <w:tcW w:w="588" w:type="pct"/>
            <w:tcBorders>
              <w:top w:val="single" w:color="auto" w:sz="10" w:space="0"/>
              <w:left w:val="single" w:color="auto" w:sz="10" w:space="0"/>
              <w:bottom w:val="single" w:color="auto" w:sz="10" w:space="0"/>
              <w:right w:val="single" w:color="auto" w:sz="10" w:space="0"/>
              <w:insideV w:val="single" w:sz="10" w:space="0"/>
            </w:tcBorders>
            <w:vAlign w:val="center"/>
          </w:tcPr>
          <w:p w14:paraId="53ACCA78">
            <w:pPr>
              <w:snapToGrid w:val="0"/>
              <w:jc w:val="center"/>
            </w:pPr>
          </w:p>
        </w:tc>
      </w:tr>
      <w:tr w14:paraId="71714124">
        <w:tblPrEx>
          <w:tblCellMar>
            <w:top w:w="40" w:type="dxa"/>
            <w:left w:w="64" w:type="dxa"/>
            <w:bottom w:w="40" w:type="dxa"/>
            <w:right w:w="64" w:type="dxa"/>
          </w:tblCellMar>
        </w:tblPrEx>
        <w:trPr>
          <w:trHeight w:val="0" w:hRule="atLeast"/>
          <w:jc w:val="center"/>
        </w:trPr>
        <w:tc>
          <w:tcPr>
            <w:tcW w:w="322" w:type="pct"/>
            <w:vMerge w:val="continue"/>
            <w:tcBorders>
              <w:top w:val="single" w:color="auto" w:sz="10" w:space="0"/>
              <w:left w:val="single" w:color="auto" w:sz="10" w:space="0"/>
              <w:bottom w:val="single" w:color="auto" w:sz="10" w:space="0"/>
              <w:right w:val="single" w:color="auto" w:sz="10" w:space="0"/>
              <w:insideV w:val="single" w:sz="10" w:space="0"/>
            </w:tcBorders>
          </w:tcPr>
          <w:p w14:paraId="0F3E1992">
            <w:pPr>
              <w:snapToGrid w:val="0"/>
            </w:pPr>
          </w:p>
        </w:tc>
        <w:tc>
          <w:tcPr>
            <w:tcW w:w="289" w:type="pct"/>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12D54B">
            <w:pPr>
              <w:snapToGrid w:val="0"/>
              <w:jc w:val="center"/>
            </w:pPr>
            <w:r>
              <w:rPr>
                <w:rFonts w:ascii="宋体" w:hAnsi="宋体" w:eastAsia="宋体"/>
                <w:sz w:val="16"/>
              </w:rPr>
              <w:t>效益指标</w:t>
            </w:r>
          </w:p>
        </w:tc>
        <w:tc>
          <w:tcPr>
            <w:tcW w:w="313" w:type="pct"/>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ED8376">
            <w:pPr>
              <w:snapToGrid w:val="0"/>
              <w:jc w:val="center"/>
            </w:pPr>
            <w:r>
              <w:rPr>
                <w:rFonts w:ascii="宋体" w:hAnsi="宋体" w:eastAsia="宋体"/>
                <w:sz w:val="16"/>
              </w:rPr>
              <w:t>社会效益指标</w:t>
            </w:r>
          </w:p>
        </w:tc>
        <w:tc>
          <w:tcPr>
            <w:tcW w:w="649" w:type="pct"/>
            <w:tcBorders>
              <w:top w:val="single" w:color="auto" w:sz="10" w:space="0"/>
              <w:left w:val="single" w:color="auto" w:sz="10" w:space="0"/>
              <w:bottom w:val="single" w:color="auto" w:sz="10" w:space="0"/>
              <w:right w:val="single" w:color="auto" w:sz="10" w:space="0"/>
              <w:insideV w:val="single" w:sz="10" w:space="0"/>
            </w:tcBorders>
            <w:vAlign w:val="center"/>
          </w:tcPr>
          <w:p w14:paraId="584E5CFB">
            <w:pPr>
              <w:snapToGrid w:val="0"/>
              <w:jc w:val="center"/>
            </w:pPr>
            <w:r>
              <w:rPr>
                <w:rFonts w:ascii="宋体" w:hAnsi="宋体" w:eastAsia="宋体"/>
                <w:sz w:val="16"/>
              </w:rPr>
              <w:t>促进改善办案条件</w:t>
            </w:r>
          </w:p>
        </w:tc>
        <w:tc>
          <w:tcPr>
            <w:tcW w:w="449" w:type="pct"/>
            <w:tcBorders>
              <w:top w:val="single" w:color="auto" w:sz="10" w:space="0"/>
              <w:left w:val="single" w:color="auto" w:sz="10" w:space="0"/>
              <w:bottom w:val="single" w:color="auto" w:sz="10" w:space="0"/>
              <w:right w:val="single" w:color="auto" w:sz="10" w:space="0"/>
              <w:insideV w:val="single" w:sz="10" w:space="0"/>
            </w:tcBorders>
            <w:vAlign w:val="center"/>
          </w:tcPr>
          <w:p w14:paraId="64C181C1">
            <w:pPr>
              <w:snapToGrid w:val="0"/>
              <w:jc w:val="center"/>
            </w:pPr>
            <w:r>
              <w:rPr>
                <w:rFonts w:ascii="宋体" w:hAnsi="宋体" w:eastAsia="宋体"/>
                <w:sz w:val="16"/>
              </w:rPr>
              <w:t>提高</w:t>
            </w:r>
          </w:p>
        </w:tc>
        <w:tc>
          <w:tcPr>
            <w:tcW w:w="348" w:type="pct"/>
            <w:tcBorders>
              <w:top w:val="single" w:color="auto" w:sz="10" w:space="0"/>
              <w:left w:val="single" w:color="auto" w:sz="10" w:space="0"/>
              <w:bottom w:val="single" w:color="auto" w:sz="10" w:space="0"/>
              <w:right w:val="single" w:color="auto" w:sz="10" w:space="0"/>
              <w:insideV w:val="single" w:sz="10" w:space="0"/>
            </w:tcBorders>
            <w:vAlign w:val="center"/>
          </w:tcPr>
          <w:p w14:paraId="04C72184">
            <w:pPr>
              <w:snapToGrid w:val="0"/>
              <w:jc w:val="center"/>
            </w:pPr>
            <w:r>
              <w:rPr>
                <w:rFonts w:ascii="宋体" w:hAnsi="宋体" w:eastAsia="宋体"/>
                <w:sz w:val="16"/>
              </w:rPr>
              <w:t>计划标准</w:t>
            </w:r>
          </w:p>
        </w:tc>
        <w:tc>
          <w:tcPr>
            <w:tcW w:w="319" w:type="pct"/>
            <w:tcBorders>
              <w:top w:val="single" w:color="auto" w:sz="10" w:space="0"/>
              <w:left w:val="single" w:color="auto" w:sz="10" w:space="0"/>
              <w:bottom w:val="single" w:color="auto" w:sz="10" w:space="0"/>
              <w:right w:val="single" w:color="auto" w:sz="10" w:space="0"/>
              <w:insideV w:val="single" w:sz="10" w:space="0"/>
            </w:tcBorders>
            <w:vAlign w:val="center"/>
          </w:tcPr>
          <w:p w14:paraId="543847BC">
            <w:pPr>
              <w:snapToGrid w:val="0"/>
              <w:jc w:val="center"/>
            </w:pPr>
            <w:r>
              <w:rPr>
                <w:rFonts w:ascii="宋体" w:hAnsi="宋体" w:eastAsia="宋体"/>
                <w:sz w:val="16"/>
              </w:rPr>
              <w:t>新增</w:t>
            </w:r>
          </w:p>
        </w:tc>
        <w:tc>
          <w:tcPr>
            <w:tcW w:w="222" w:type="pct"/>
            <w:tcBorders>
              <w:top w:val="single" w:color="auto" w:sz="10" w:space="0"/>
              <w:left w:val="single" w:color="auto" w:sz="10" w:space="0"/>
              <w:bottom w:val="single" w:color="auto" w:sz="10" w:space="0"/>
              <w:right w:val="single" w:color="auto" w:sz="10" w:space="0"/>
              <w:insideV w:val="single" w:sz="10" w:space="0"/>
            </w:tcBorders>
            <w:vAlign w:val="center"/>
          </w:tcPr>
          <w:p w14:paraId="255217FC">
            <w:pPr>
              <w:snapToGrid w:val="0"/>
              <w:jc w:val="center"/>
            </w:pPr>
            <w:r>
              <w:rPr>
                <w:rFonts w:ascii="宋体" w:hAnsi="宋体" w:eastAsia="宋体"/>
                <w:sz w:val="16"/>
              </w:rPr>
              <w:t>10</w:t>
            </w:r>
          </w:p>
        </w:tc>
        <w:tc>
          <w:tcPr>
            <w:tcW w:w="392" w:type="pct"/>
            <w:tcBorders>
              <w:top w:val="single" w:color="auto" w:sz="10" w:space="0"/>
              <w:left w:val="single" w:color="auto" w:sz="10" w:space="0"/>
              <w:bottom w:val="single" w:color="auto" w:sz="10" w:space="0"/>
              <w:right w:val="single" w:color="auto" w:sz="10" w:space="0"/>
              <w:insideV w:val="single" w:sz="10" w:space="0"/>
            </w:tcBorders>
            <w:vAlign w:val="center"/>
          </w:tcPr>
          <w:p w14:paraId="70EF9FAF">
            <w:pPr>
              <w:snapToGrid w:val="0"/>
              <w:jc w:val="center"/>
            </w:pPr>
            <w:r>
              <w:rPr>
                <w:rFonts w:ascii="宋体" w:hAnsi="宋体" w:eastAsia="宋体"/>
                <w:sz w:val="16"/>
              </w:rPr>
              <w:t>按评判等级赋分</w:t>
            </w:r>
          </w:p>
        </w:tc>
        <w:tc>
          <w:tcPr>
            <w:tcW w:w="274" w:type="pct"/>
            <w:tcBorders>
              <w:top w:val="single" w:color="auto" w:sz="10" w:space="0"/>
              <w:left w:val="single" w:color="auto" w:sz="10" w:space="0"/>
              <w:bottom w:val="single" w:color="auto" w:sz="10" w:space="0"/>
              <w:right w:val="single" w:color="auto" w:sz="10" w:space="0"/>
              <w:insideV w:val="single" w:sz="10" w:space="0"/>
            </w:tcBorders>
            <w:vAlign w:val="center"/>
          </w:tcPr>
          <w:p w14:paraId="1694D138">
            <w:pPr>
              <w:snapToGrid w:val="0"/>
              <w:jc w:val="center"/>
            </w:pPr>
            <w:r>
              <w:rPr>
                <w:rFonts w:ascii="宋体" w:hAnsi="宋体" w:eastAsia="宋体"/>
                <w:sz w:val="16"/>
              </w:rPr>
              <w:t>工作资料</w:t>
            </w:r>
          </w:p>
        </w:tc>
        <w:tc>
          <w:tcPr>
            <w:tcW w:w="421" w:type="pct"/>
            <w:tcBorders>
              <w:top w:val="single" w:color="auto" w:sz="10" w:space="0"/>
              <w:left w:val="single" w:color="auto" w:sz="10" w:space="0"/>
              <w:bottom w:val="single" w:color="auto" w:sz="10" w:space="0"/>
              <w:right w:val="single" w:color="auto" w:sz="10" w:space="0"/>
              <w:insideV w:val="single" w:sz="10" w:space="0"/>
            </w:tcBorders>
            <w:vAlign w:val="center"/>
          </w:tcPr>
          <w:p w14:paraId="30D9224C">
            <w:pPr>
              <w:snapToGrid w:val="0"/>
              <w:jc w:val="center"/>
            </w:pPr>
            <w:r>
              <w:rPr>
                <w:rFonts w:ascii="宋体" w:hAnsi="宋体" w:eastAsia="宋体"/>
                <w:sz w:val="16"/>
              </w:rPr>
              <w:t>提高</w:t>
            </w:r>
            <w:r>
              <w:rPr>
                <w:rFonts w:ascii="宋体" w:hAnsi="宋体" w:eastAsia="宋体"/>
                <w:sz w:val="16"/>
              </w:rPr>
              <w:tab/>
            </w:r>
          </w:p>
        </w:tc>
        <w:tc>
          <w:tcPr>
            <w:tcW w:w="406" w:type="pct"/>
            <w:tcBorders>
              <w:top w:val="single" w:color="auto" w:sz="10" w:space="0"/>
              <w:left w:val="single" w:color="auto" w:sz="10" w:space="0"/>
              <w:bottom w:val="single" w:color="auto" w:sz="10" w:space="0"/>
              <w:right w:val="single" w:color="auto" w:sz="10" w:space="0"/>
              <w:insideV w:val="single" w:sz="10" w:space="0"/>
            </w:tcBorders>
            <w:vAlign w:val="center"/>
          </w:tcPr>
          <w:p w14:paraId="34542F33">
            <w:pPr>
              <w:snapToGrid w:val="0"/>
              <w:jc w:val="center"/>
            </w:pPr>
            <w:r>
              <w:rPr>
                <w:rFonts w:ascii="宋体" w:hAnsi="宋体" w:eastAsia="宋体"/>
                <w:sz w:val="16"/>
              </w:rPr>
              <w:t>10</w:t>
            </w:r>
          </w:p>
        </w:tc>
        <w:tc>
          <w:tcPr>
            <w:tcW w:w="588" w:type="pct"/>
            <w:tcBorders>
              <w:top w:val="single" w:color="auto" w:sz="10" w:space="0"/>
              <w:left w:val="single" w:color="auto" w:sz="10" w:space="0"/>
              <w:bottom w:val="single" w:color="auto" w:sz="10" w:space="0"/>
              <w:right w:val="single" w:color="auto" w:sz="10" w:space="0"/>
              <w:insideV w:val="single" w:sz="10" w:space="0"/>
            </w:tcBorders>
            <w:vAlign w:val="center"/>
          </w:tcPr>
          <w:p w14:paraId="16260FA6">
            <w:pPr>
              <w:snapToGrid w:val="0"/>
              <w:jc w:val="center"/>
            </w:pPr>
          </w:p>
        </w:tc>
      </w:tr>
      <w:tr w14:paraId="6F07EFBA">
        <w:tblPrEx>
          <w:tblCellMar>
            <w:top w:w="40" w:type="dxa"/>
            <w:left w:w="64" w:type="dxa"/>
            <w:bottom w:w="40" w:type="dxa"/>
            <w:right w:w="64" w:type="dxa"/>
          </w:tblCellMar>
        </w:tblPrEx>
        <w:trPr>
          <w:trHeight w:val="0" w:hRule="atLeast"/>
          <w:jc w:val="center"/>
        </w:trPr>
        <w:tc>
          <w:tcPr>
            <w:tcW w:w="322" w:type="pct"/>
            <w:vMerge w:val="continue"/>
            <w:tcBorders>
              <w:top w:val="single" w:color="auto" w:sz="10" w:space="0"/>
              <w:left w:val="single" w:color="auto" w:sz="10" w:space="0"/>
              <w:bottom w:val="single" w:color="auto" w:sz="10" w:space="0"/>
              <w:right w:val="single" w:color="auto" w:sz="10" w:space="0"/>
              <w:insideV w:val="single" w:sz="10" w:space="0"/>
            </w:tcBorders>
          </w:tcPr>
          <w:p w14:paraId="3687F27C">
            <w:pPr>
              <w:snapToGrid w:val="0"/>
            </w:pPr>
          </w:p>
        </w:tc>
        <w:tc>
          <w:tcPr>
            <w:tcW w:w="289" w:type="pct"/>
            <w:vMerge w:val="continue"/>
            <w:tcBorders>
              <w:top w:val="single" w:color="auto" w:sz="10" w:space="0"/>
              <w:left w:val="single" w:color="auto" w:sz="10" w:space="0"/>
              <w:bottom w:val="single" w:color="auto" w:sz="10" w:space="0"/>
              <w:right w:val="single" w:color="auto" w:sz="10" w:space="0"/>
              <w:insideV w:val="single" w:sz="10" w:space="0"/>
            </w:tcBorders>
          </w:tcPr>
          <w:p w14:paraId="002E5D7B">
            <w:pPr>
              <w:snapToGrid w:val="0"/>
            </w:pPr>
          </w:p>
        </w:tc>
        <w:tc>
          <w:tcPr>
            <w:tcW w:w="313" w:type="pct"/>
            <w:vMerge w:val="continue"/>
            <w:tcBorders>
              <w:top w:val="single" w:color="auto" w:sz="10" w:space="0"/>
              <w:left w:val="single" w:color="auto" w:sz="10" w:space="0"/>
              <w:bottom w:val="single" w:color="auto" w:sz="10" w:space="0"/>
              <w:right w:val="single" w:color="auto" w:sz="10" w:space="0"/>
              <w:insideV w:val="single" w:sz="10" w:space="0"/>
            </w:tcBorders>
          </w:tcPr>
          <w:p w14:paraId="77C0E706">
            <w:pPr>
              <w:snapToGrid w:val="0"/>
            </w:pPr>
          </w:p>
        </w:tc>
        <w:tc>
          <w:tcPr>
            <w:tcW w:w="649" w:type="pct"/>
            <w:tcBorders>
              <w:top w:val="single" w:color="auto" w:sz="10" w:space="0"/>
              <w:left w:val="single" w:color="auto" w:sz="10" w:space="0"/>
              <w:bottom w:val="single" w:color="auto" w:sz="10" w:space="0"/>
              <w:right w:val="single" w:color="auto" w:sz="10" w:space="0"/>
              <w:insideV w:val="single" w:sz="10" w:space="0"/>
            </w:tcBorders>
            <w:vAlign w:val="center"/>
          </w:tcPr>
          <w:p w14:paraId="4E25D635">
            <w:pPr>
              <w:snapToGrid w:val="0"/>
              <w:jc w:val="center"/>
            </w:pPr>
            <w:r>
              <w:rPr>
                <w:rFonts w:ascii="宋体" w:hAnsi="宋体" w:eastAsia="宋体"/>
                <w:sz w:val="16"/>
              </w:rPr>
              <w:t>保障社会稳定和长治久安</w:t>
            </w:r>
          </w:p>
        </w:tc>
        <w:tc>
          <w:tcPr>
            <w:tcW w:w="449" w:type="pct"/>
            <w:tcBorders>
              <w:top w:val="single" w:color="auto" w:sz="10" w:space="0"/>
              <w:left w:val="single" w:color="auto" w:sz="10" w:space="0"/>
              <w:bottom w:val="single" w:color="auto" w:sz="10" w:space="0"/>
              <w:right w:val="single" w:color="auto" w:sz="10" w:space="0"/>
              <w:insideV w:val="single" w:sz="10" w:space="0"/>
            </w:tcBorders>
            <w:vAlign w:val="center"/>
          </w:tcPr>
          <w:p w14:paraId="6E617DA1">
            <w:pPr>
              <w:snapToGrid w:val="0"/>
              <w:jc w:val="center"/>
            </w:pPr>
            <w:r>
              <w:rPr>
                <w:rFonts w:ascii="宋体" w:hAnsi="宋体" w:eastAsia="宋体"/>
                <w:sz w:val="16"/>
              </w:rPr>
              <w:t>持续影响</w:t>
            </w:r>
          </w:p>
        </w:tc>
        <w:tc>
          <w:tcPr>
            <w:tcW w:w="348" w:type="pct"/>
            <w:tcBorders>
              <w:top w:val="single" w:color="auto" w:sz="10" w:space="0"/>
              <w:left w:val="single" w:color="auto" w:sz="10" w:space="0"/>
              <w:bottom w:val="single" w:color="auto" w:sz="10" w:space="0"/>
              <w:right w:val="single" w:color="auto" w:sz="10" w:space="0"/>
              <w:insideV w:val="single" w:sz="10" w:space="0"/>
            </w:tcBorders>
            <w:vAlign w:val="center"/>
          </w:tcPr>
          <w:p w14:paraId="04653FEA">
            <w:pPr>
              <w:snapToGrid w:val="0"/>
              <w:jc w:val="center"/>
            </w:pPr>
            <w:r>
              <w:rPr>
                <w:rFonts w:ascii="宋体" w:hAnsi="宋体" w:eastAsia="宋体"/>
                <w:sz w:val="16"/>
              </w:rPr>
              <w:t>计划标准</w:t>
            </w:r>
          </w:p>
        </w:tc>
        <w:tc>
          <w:tcPr>
            <w:tcW w:w="319" w:type="pct"/>
            <w:tcBorders>
              <w:top w:val="single" w:color="auto" w:sz="10" w:space="0"/>
              <w:left w:val="single" w:color="auto" w:sz="10" w:space="0"/>
              <w:bottom w:val="single" w:color="auto" w:sz="10" w:space="0"/>
              <w:right w:val="single" w:color="auto" w:sz="10" w:space="0"/>
              <w:insideV w:val="single" w:sz="10" w:space="0"/>
            </w:tcBorders>
            <w:vAlign w:val="center"/>
          </w:tcPr>
          <w:p w14:paraId="1648AC43">
            <w:pPr>
              <w:snapToGrid w:val="0"/>
              <w:jc w:val="center"/>
            </w:pPr>
            <w:r>
              <w:rPr>
                <w:rFonts w:ascii="宋体" w:hAnsi="宋体" w:eastAsia="宋体"/>
                <w:sz w:val="16"/>
              </w:rPr>
              <w:t>新增</w:t>
            </w:r>
          </w:p>
        </w:tc>
        <w:tc>
          <w:tcPr>
            <w:tcW w:w="222" w:type="pct"/>
            <w:tcBorders>
              <w:top w:val="single" w:color="auto" w:sz="10" w:space="0"/>
              <w:left w:val="single" w:color="auto" w:sz="10" w:space="0"/>
              <w:bottom w:val="single" w:color="auto" w:sz="10" w:space="0"/>
              <w:right w:val="single" w:color="auto" w:sz="10" w:space="0"/>
              <w:insideV w:val="single" w:sz="10" w:space="0"/>
            </w:tcBorders>
            <w:vAlign w:val="center"/>
          </w:tcPr>
          <w:p w14:paraId="501ED174">
            <w:pPr>
              <w:snapToGrid w:val="0"/>
              <w:jc w:val="center"/>
            </w:pPr>
            <w:r>
              <w:rPr>
                <w:rFonts w:ascii="宋体" w:hAnsi="宋体" w:eastAsia="宋体"/>
                <w:sz w:val="16"/>
              </w:rPr>
              <w:t>10</w:t>
            </w:r>
          </w:p>
        </w:tc>
        <w:tc>
          <w:tcPr>
            <w:tcW w:w="392" w:type="pct"/>
            <w:tcBorders>
              <w:top w:val="single" w:color="auto" w:sz="10" w:space="0"/>
              <w:left w:val="single" w:color="auto" w:sz="10" w:space="0"/>
              <w:bottom w:val="single" w:color="auto" w:sz="10" w:space="0"/>
              <w:right w:val="single" w:color="auto" w:sz="10" w:space="0"/>
              <w:insideV w:val="single" w:sz="10" w:space="0"/>
            </w:tcBorders>
            <w:vAlign w:val="center"/>
          </w:tcPr>
          <w:p w14:paraId="304A21F7">
            <w:pPr>
              <w:snapToGrid w:val="0"/>
              <w:jc w:val="center"/>
            </w:pPr>
            <w:r>
              <w:rPr>
                <w:rFonts w:ascii="宋体" w:hAnsi="宋体" w:eastAsia="宋体"/>
                <w:sz w:val="16"/>
              </w:rPr>
              <w:t>按评判等级赋分</w:t>
            </w:r>
          </w:p>
        </w:tc>
        <w:tc>
          <w:tcPr>
            <w:tcW w:w="274" w:type="pct"/>
            <w:tcBorders>
              <w:top w:val="single" w:color="auto" w:sz="10" w:space="0"/>
              <w:left w:val="single" w:color="auto" w:sz="10" w:space="0"/>
              <w:bottom w:val="single" w:color="auto" w:sz="10" w:space="0"/>
              <w:right w:val="single" w:color="auto" w:sz="10" w:space="0"/>
              <w:insideV w:val="single" w:sz="10" w:space="0"/>
            </w:tcBorders>
            <w:vAlign w:val="center"/>
          </w:tcPr>
          <w:p w14:paraId="3F74E317">
            <w:pPr>
              <w:snapToGrid w:val="0"/>
              <w:jc w:val="center"/>
            </w:pPr>
            <w:r>
              <w:rPr>
                <w:rFonts w:ascii="宋体" w:hAnsi="宋体" w:eastAsia="宋体"/>
                <w:sz w:val="16"/>
              </w:rPr>
              <w:t>工作资料</w:t>
            </w:r>
          </w:p>
        </w:tc>
        <w:tc>
          <w:tcPr>
            <w:tcW w:w="421" w:type="pct"/>
            <w:tcBorders>
              <w:top w:val="single" w:color="auto" w:sz="10" w:space="0"/>
              <w:left w:val="single" w:color="auto" w:sz="10" w:space="0"/>
              <w:bottom w:val="single" w:color="auto" w:sz="10" w:space="0"/>
              <w:right w:val="single" w:color="auto" w:sz="10" w:space="0"/>
              <w:insideV w:val="single" w:sz="10" w:space="0"/>
            </w:tcBorders>
            <w:vAlign w:val="center"/>
          </w:tcPr>
          <w:p w14:paraId="0C6EB40D">
            <w:pPr>
              <w:snapToGrid w:val="0"/>
              <w:jc w:val="center"/>
            </w:pPr>
            <w:r>
              <w:rPr>
                <w:rFonts w:ascii="宋体" w:hAnsi="宋体" w:eastAsia="宋体"/>
                <w:sz w:val="16"/>
              </w:rPr>
              <w:t>持续影响</w:t>
            </w:r>
            <w:r>
              <w:rPr>
                <w:rFonts w:ascii="宋体" w:hAnsi="宋体" w:eastAsia="宋体"/>
                <w:sz w:val="16"/>
              </w:rPr>
              <w:tab/>
            </w:r>
          </w:p>
        </w:tc>
        <w:tc>
          <w:tcPr>
            <w:tcW w:w="406" w:type="pct"/>
            <w:tcBorders>
              <w:top w:val="single" w:color="auto" w:sz="10" w:space="0"/>
              <w:left w:val="single" w:color="auto" w:sz="10" w:space="0"/>
              <w:bottom w:val="single" w:color="auto" w:sz="10" w:space="0"/>
              <w:right w:val="single" w:color="auto" w:sz="10" w:space="0"/>
              <w:insideV w:val="single" w:sz="10" w:space="0"/>
            </w:tcBorders>
            <w:vAlign w:val="center"/>
          </w:tcPr>
          <w:p w14:paraId="3A8F6391">
            <w:pPr>
              <w:snapToGrid w:val="0"/>
              <w:jc w:val="center"/>
            </w:pPr>
            <w:r>
              <w:rPr>
                <w:rFonts w:ascii="宋体" w:hAnsi="宋体" w:eastAsia="宋体"/>
                <w:sz w:val="16"/>
              </w:rPr>
              <w:t>10</w:t>
            </w:r>
          </w:p>
        </w:tc>
        <w:tc>
          <w:tcPr>
            <w:tcW w:w="588" w:type="pct"/>
            <w:tcBorders>
              <w:top w:val="single" w:color="auto" w:sz="10" w:space="0"/>
              <w:left w:val="single" w:color="auto" w:sz="10" w:space="0"/>
              <w:bottom w:val="single" w:color="auto" w:sz="10" w:space="0"/>
              <w:right w:val="single" w:color="auto" w:sz="10" w:space="0"/>
              <w:insideV w:val="single" w:sz="10" w:space="0"/>
            </w:tcBorders>
            <w:vAlign w:val="center"/>
          </w:tcPr>
          <w:p w14:paraId="01EF3AA9">
            <w:pPr>
              <w:snapToGrid w:val="0"/>
              <w:jc w:val="center"/>
            </w:pPr>
          </w:p>
        </w:tc>
      </w:tr>
      <w:tr w14:paraId="215CC454">
        <w:tblPrEx>
          <w:tblCellMar>
            <w:top w:w="40" w:type="dxa"/>
            <w:left w:w="64" w:type="dxa"/>
            <w:bottom w:w="40" w:type="dxa"/>
            <w:right w:w="64" w:type="dxa"/>
          </w:tblCellMar>
        </w:tblPrEx>
        <w:trPr>
          <w:trHeight w:val="0" w:hRule="atLeast"/>
          <w:jc w:val="center"/>
        </w:trPr>
        <w:tc>
          <w:tcPr>
            <w:tcW w:w="322" w:type="pct"/>
            <w:vMerge w:val="continue"/>
            <w:tcBorders>
              <w:top w:val="single" w:color="auto" w:sz="10" w:space="0"/>
              <w:left w:val="single" w:color="auto" w:sz="10" w:space="0"/>
              <w:bottom w:val="single" w:color="auto" w:sz="10" w:space="0"/>
              <w:right w:val="single" w:color="auto" w:sz="10" w:space="0"/>
              <w:insideV w:val="single" w:sz="10" w:space="0"/>
            </w:tcBorders>
          </w:tcPr>
          <w:p w14:paraId="6C60C636">
            <w:pPr>
              <w:snapToGrid w:val="0"/>
            </w:pPr>
          </w:p>
        </w:tc>
        <w:tc>
          <w:tcPr>
            <w:tcW w:w="289" w:type="pct"/>
            <w:tcBorders>
              <w:top w:val="single" w:color="auto" w:sz="10" w:space="0"/>
              <w:left w:val="single" w:color="auto" w:sz="10" w:space="0"/>
              <w:bottom w:val="single" w:color="auto" w:sz="10" w:space="0"/>
              <w:right w:val="single" w:color="auto" w:sz="10" w:space="0"/>
              <w:insideV w:val="single" w:sz="10" w:space="0"/>
            </w:tcBorders>
            <w:vAlign w:val="center"/>
          </w:tcPr>
          <w:p w14:paraId="4C259156">
            <w:pPr>
              <w:snapToGrid w:val="0"/>
              <w:jc w:val="center"/>
            </w:pPr>
            <w:r>
              <w:rPr>
                <w:rFonts w:ascii="宋体" w:hAnsi="宋体" w:eastAsia="宋体"/>
                <w:sz w:val="16"/>
              </w:rPr>
              <w:t>满意度指标</w:t>
            </w:r>
          </w:p>
        </w:tc>
        <w:tc>
          <w:tcPr>
            <w:tcW w:w="313" w:type="pct"/>
            <w:tcBorders>
              <w:top w:val="single" w:color="auto" w:sz="10" w:space="0"/>
              <w:left w:val="single" w:color="auto" w:sz="10" w:space="0"/>
              <w:bottom w:val="single" w:color="auto" w:sz="10" w:space="0"/>
              <w:right w:val="single" w:color="auto" w:sz="10" w:space="0"/>
              <w:insideV w:val="single" w:sz="10" w:space="0"/>
            </w:tcBorders>
            <w:vAlign w:val="center"/>
          </w:tcPr>
          <w:p w14:paraId="41A24206">
            <w:pPr>
              <w:snapToGrid w:val="0"/>
              <w:jc w:val="center"/>
            </w:pPr>
            <w:r>
              <w:rPr>
                <w:rFonts w:ascii="宋体" w:hAnsi="宋体" w:eastAsia="宋体"/>
                <w:sz w:val="16"/>
              </w:rPr>
              <w:t>满意度指标</w:t>
            </w:r>
          </w:p>
        </w:tc>
        <w:tc>
          <w:tcPr>
            <w:tcW w:w="649" w:type="pct"/>
            <w:tcBorders>
              <w:top w:val="single" w:color="auto" w:sz="10" w:space="0"/>
              <w:left w:val="single" w:color="auto" w:sz="10" w:space="0"/>
              <w:bottom w:val="single" w:color="auto" w:sz="10" w:space="0"/>
              <w:right w:val="single" w:color="auto" w:sz="10" w:space="0"/>
              <w:insideV w:val="single" w:sz="10" w:space="0"/>
            </w:tcBorders>
            <w:vAlign w:val="center"/>
          </w:tcPr>
          <w:p w14:paraId="51530F56">
            <w:pPr>
              <w:snapToGrid w:val="0"/>
              <w:jc w:val="center"/>
            </w:pPr>
            <w:r>
              <w:rPr>
                <w:rFonts w:ascii="宋体" w:hAnsi="宋体" w:eastAsia="宋体"/>
                <w:sz w:val="16"/>
              </w:rPr>
              <w:t>受益干警满意率（%）</w:t>
            </w:r>
          </w:p>
        </w:tc>
        <w:tc>
          <w:tcPr>
            <w:tcW w:w="449" w:type="pct"/>
            <w:tcBorders>
              <w:top w:val="single" w:color="auto" w:sz="10" w:space="0"/>
              <w:left w:val="single" w:color="auto" w:sz="10" w:space="0"/>
              <w:bottom w:val="single" w:color="auto" w:sz="10" w:space="0"/>
              <w:right w:val="single" w:color="auto" w:sz="10" w:space="0"/>
              <w:insideV w:val="single" w:sz="10" w:space="0"/>
            </w:tcBorders>
            <w:vAlign w:val="center"/>
          </w:tcPr>
          <w:p w14:paraId="271C25CF">
            <w:pPr>
              <w:snapToGrid w:val="0"/>
              <w:jc w:val="center"/>
            </w:pPr>
            <w:r>
              <w:rPr>
                <w:rFonts w:ascii="宋体" w:hAnsi="宋体" w:eastAsia="宋体"/>
                <w:sz w:val="16"/>
              </w:rPr>
              <w:t>&gt;=98%</w:t>
            </w:r>
          </w:p>
        </w:tc>
        <w:tc>
          <w:tcPr>
            <w:tcW w:w="348" w:type="pct"/>
            <w:tcBorders>
              <w:top w:val="single" w:color="auto" w:sz="10" w:space="0"/>
              <w:left w:val="single" w:color="auto" w:sz="10" w:space="0"/>
              <w:bottom w:val="single" w:color="auto" w:sz="10" w:space="0"/>
              <w:right w:val="single" w:color="auto" w:sz="10" w:space="0"/>
              <w:insideV w:val="single" w:sz="10" w:space="0"/>
            </w:tcBorders>
            <w:vAlign w:val="center"/>
          </w:tcPr>
          <w:p w14:paraId="59539531">
            <w:pPr>
              <w:snapToGrid w:val="0"/>
              <w:jc w:val="center"/>
            </w:pPr>
            <w:r>
              <w:rPr>
                <w:rFonts w:ascii="宋体" w:hAnsi="宋体" w:eastAsia="宋体"/>
                <w:sz w:val="16"/>
              </w:rPr>
              <w:t>计划标准</w:t>
            </w:r>
          </w:p>
        </w:tc>
        <w:tc>
          <w:tcPr>
            <w:tcW w:w="319" w:type="pct"/>
            <w:tcBorders>
              <w:top w:val="single" w:color="auto" w:sz="10" w:space="0"/>
              <w:left w:val="single" w:color="auto" w:sz="10" w:space="0"/>
              <w:bottom w:val="single" w:color="auto" w:sz="10" w:space="0"/>
              <w:right w:val="single" w:color="auto" w:sz="10" w:space="0"/>
              <w:insideV w:val="single" w:sz="10" w:space="0"/>
            </w:tcBorders>
            <w:vAlign w:val="center"/>
          </w:tcPr>
          <w:p w14:paraId="1F4D9F3D">
            <w:pPr>
              <w:snapToGrid w:val="0"/>
              <w:jc w:val="center"/>
            </w:pPr>
            <w:r>
              <w:rPr>
                <w:rFonts w:ascii="宋体" w:hAnsi="宋体" w:eastAsia="宋体"/>
                <w:sz w:val="16"/>
              </w:rPr>
              <w:t>新增</w:t>
            </w:r>
          </w:p>
        </w:tc>
        <w:tc>
          <w:tcPr>
            <w:tcW w:w="222" w:type="pct"/>
            <w:tcBorders>
              <w:top w:val="single" w:color="auto" w:sz="10" w:space="0"/>
              <w:left w:val="single" w:color="auto" w:sz="10" w:space="0"/>
              <w:bottom w:val="single" w:color="auto" w:sz="10" w:space="0"/>
              <w:right w:val="single" w:color="auto" w:sz="10" w:space="0"/>
              <w:insideV w:val="single" w:sz="10" w:space="0"/>
            </w:tcBorders>
            <w:vAlign w:val="center"/>
          </w:tcPr>
          <w:p w14:paraId="7484DC7C">
            <w:pPr>
              <w:snapToGrid w:val="0"/>
              <w:jc w:val="center"/>
            </w:pPr>
            <w:r>
              <w:rPr>
                <w:rFonts w:ascii="宋体" w:hAnsi="宋体" w:eastAsia="宋体"/>
                <w:sz w:val="16"/>
              </w:rPr>
              <w:t>10</w:t>
            </w:r>
          </w:p>
        </w:tc>
        <w:tc>
          <w:tcPr>
            <w:tcW w:w="392" w:type="pct"/>
            <w:tcBorders>
              <w:top w:val="single" w:color="auto" w:sz="10" w:space="0"/>
              <w:left w:val="single" w:color="auto" w:sz="10" w:space="0"/>
              <w:bottom w:val="single" w:color="auto" w:sz="10" w:space="0"/>
              <w:right w:val="single" w:color="auto" w:sz="10" w:space="0"/>
              <w:insideV w:val="single" w:sz="10" w:space="0"/>
            </w:tcBorders>
            <w:vAlign w:val="center"/>
          </w:tcPr>
          <w:p w14:paraId="68BDFB3C">
            <w:pPr>
              <w:snapToGrid w:val="0"/>
              <w:jc w:val="center"/>
            </w:pPr>
            <w:r>
              <w:rPr>
                <w:rFonts w:ascii="宋体" w:hAnsi="宋体" w:eastAsia="宋体"/>
                <w:sz w:val="16"/>
              </w:rPr>
              <w:t>满意度赋分</w:t>
            </w:r>
          </w:p>
        </w:tc>
        <w:tc>
          <w:tcPr>
            <w:tcW w:w="274" w:type="pct"/>
            <w:tcBorders>
              <w:top w:val="single" w:color="auto" w:sz="10" w:space="0"/>
              <w:left w:val="single" w:color="auto" w:sz="10" w:space="0"/>
              <w:bottom w:val="single" w:color="auto" w:sz="10" w:space="0"/>
              <w:right w:val="single" w:color="auto" w:sz="10" w:space="0"/>
              <w:insideV w:val="single" w:sz="10" w:space="0"/>
            </w:tcBorders>
            <w:vAlign w:val="center"/>
          </w:tcPr>
          <w:p w14:paraId="5147D033">
            <w:pPr>
              <w:snapToGrid w:val="0"/>
              <w:jc w:val="center"/>
            </w:pPr>
            <w:r>
              <w:rPr>
                <w:rFonts w:ascii="宋体" w:hAnsi="宋体" w:eastAsia="宋体"/>
                <w:sz w:val="16"/>
              </w:rPr>
              <w:t>工作资料</w:t>
            </w:r>
          </w:p>
        </w:tc>
        <w:tc>
          <w:tcPr>
            <w:tcW w:w="421" w:type="pct"/>
            <w:tcBorders>
              <w:top w:val="single" w:color="auto" w:sz="10" w:space="0"/>
              <w:left w:val="single" w:color="auto" w:sz="10" w:space="0"/>
              <w:bottom w:val="single" w:color="auto" w:sz="10" w:space="0"/>
              <w:right w:val="single" w:color="auto" w:sz="10" w:space="0"/>
              <w:insideV w:val="single" w:sz="10" w:space="0"/>
            </w:tcBorders>
            <w:vAlign w:val="center"/>
          </w:tcPr>
          <w:p w14:paraId="207EF27C">
            <w:pPr>
              <w:snapToGrid w:val="0"/>
              <w:jc w:val="center"/>
            </w:pPr>
            <w:r>
              <w:rPr>
                <w:rFonts w:ascii="宋体" w:hAnsi="宋体" w:eastAsia="宋体"/>
                <w:sz w:val="16"/>
              </w:rPr>
              <w:t>=98%</w:t>
            </w:r>
          </w:p>
        </w:tc>
        <w:tc>
          <w:tcPr>
            <w:tcW w:w="406" w:type="pct"/>
            <w:tcBorders>
              <w:top w:val="single" w:color="auto" w:sz="10" w:space="0"/>
              <w:left w:val="single" w:color="auto" w:sz="10" w:space="0"/>
              <w:bottom w:val="single" w:color="auto" w:sz="10" w:space="0"/>
              <w:right w:val="single" w:color="auto" w:sz="10" w:space="0"/>
              <w:insideV w:val="single" w:sz="10" w:space="0"/>
            </w:tcBorders>
            <w:vAlign w:val="center"/>
          </w:tcPr>
          <w:p w14:paraId="32E4CD1E">
            <w:pPr>
              <w:snapToGrid w:val="0"/>
              <w:jc w:val="center"/>
            </w:pPr>
            <w:r>
              <w:rPr>
                <w:rFonts w:ascii="宋体" w:hAnsi="宋体" w:eastAsia="宋体"/>
                <w:sz w:val="16"/>
              </w:rPr>
              <w:t>10</w:t>
            </w:r>
          </w:p>
        </w:tc>
        <w:tc>
          <w:tcPr>
            <w:tcW w:w="588" w:type="pct"/>
            <w:tcBorders>
              <w:top w:val="single" w:color="auto" w:sz="10" w:space="0"/>
              <w:left w:val="single" w:color="auto" w:sz="10" w:space="0"/>
              <w:bottom w:val="single" w:color="auto" w:sz="10" w:space="0"/>
              <w:right w:val="single" w:color="auto" w:sz="10" w:space="0"/>
              <w:insideV w:val="single" w:sz="10" w:space="0"/>
            </w:tcBorders>
            <w:vAlign w:val="center"/>
          </w:tcPr>
          <w:p w14:paraId="4D0E3704">
            <w:pPr>
              <w:snapToGrid w:val="0"/>
              <w:jc w:val="center"/>
            </w:pPr>
          </w:p>
        </w:tc>
      </w:tr>
      <w:tr w14:paraId="27F81D14">
        <w:tblPrEx>
          <w:tblCellMar>
            <w:top w:w="40" w:type="dxa"/>
            <w:left w:w="64" w:type="dxa"/>
            <w:bottom w:w="40" w:type="dxa"/>
            <w:right w:w="64" w:type="dxa"/>
          </w:tblCellMar>
        </w:tblPrEx>
        <w:trPr>
          <w:trHeight w:val="0" w:hRule="atLeast"/>
          <w:jc w:val="center"/>
        </w:trPr>
        <w:tc>
          <w:tcPr>
            <w:tcW w:w="322" w:type="pct"/>
            <w:tcBorders>
              <w:top w:val="single" w:color="auto" w:sz="10" w:space="0"/>
              <w:left w:val="single" w:color="auto" w:sz="10" w:space="0"/>
              <w:bottom w:val="single" w:color="auto" w:sz="10" w:space="0"/>
              <w:right w:val="single" w:color="auto" w:sz="10" w:space="0"/>
              <w:insideV w:val="single" w:sz="10" w:space="0"/>
            </w:tcBorders>
            <w:vAlign w:val="center"/>
          </w:tcPr>
          <w:p w14:paraId="66B85CDB">
            <w:pPr>
              <w:snapToGrid w:val="0"/>
              <w:jc w:val="center"/>
            </w:pPr>
            <w:r>
              <w:rPr>
                <w:rFonts w:ascii="宋体" w:hAnsi="宋体" w:eastAsia="宋体"/>
                <w:sz w:val="16"/>
              </w:rPr>
              <w:t>总分</w:t>
            </w:r>
          </w:p>
        </w:tc>
        <w:tc>
          <w:tcPr>
            <w:tcW w:w="2593" w:type="pct"/>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0351E7">
            <w:pPr>
              <w:snapToGrid w:val="0"/>
              <w:jc w:val="center"/>
            </w:pPr>
            <w:r>
              <w:rPr>
                <w:rFonts w:ascii="宋体" w:hAnsi="宋体" w:eastAsia="宋体"/>
                <w:sz w:val="16"/>
              </w:rPr>
              <w:t>100</w:t>
            </w:r>
          </w:p>
        </w:tc>
        <w:tc>
          <w:tcPr>
            <w:tcW w:w="392" w:type="pct"/>
            <w:tcBorders>
              <w:top w:val="single" w:color="auto" w:sz="10" w:space="0"/>
              <w:left w:val="single" w:color="auto" w:sz="10" w:space="0"/>
              <w:bottom w:val="single" w:color="auto" w:sz="10" w:space="0"/>
              <w:right w:val="single" w:color="auto" w:sz="10" w:space="0"/>
              <w:insideV w:val="single" w:sz="10" w:space="0"/>
            </w:tcBorders>
            <w:vAlign w:val="center"/>
          </w:tcPr>
          <w:p w14:paraId="2FCE3F75">
            <w:pPr>
              <w:snapToGrid w:val="0"/>
              <w:jc w:val="center"/>
            </w:pPr>
            <w:r>
              <w:rPr>
                <w:rFonts w:ascii="宋体" w:hAnsi="宋体" w:eastAsia="宋体"/>
                <w:sz w:val="16"/>
              </w:rPr>
              <w:t>得分</w:t>
            </w:r>
          </w:p>
        </w:tc>
        <w:tc>
          <w:tcPr>
            <w:tcW w:w="1691" w:type="pct"/>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BC7F028">
            <w:pPr>
              <w:snapToGrid w:val="0"/>
              <w:jc w:val="center"/>
            </w:pPr>
            <w:r>
              <w:rPr>
                <w:rFonts w:ascii="宋体" w:hAnsi="宋体" w:eastAsia="宋体"/>
                <w:sz w:val="16"/>
              </w:rPr>
              <w:t>100分</w:t>
            </w:r>
          </w:p>
        </w:tc>
      </w:tr>
    </w:tbl>
    <w:p w14:paraId="642B736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F515700">
        <w:tblPrEx>
          <w:tblCellMar>
            <w:top w:w="0" w:type="dxa"/>
            <w:left w:w="108" w:type="dxa"/>
            <w:bottom w:w="0" w:type="dxa"/>
            <w:right w:w="108" w:type="dxa"/>
          </w:tblCellMar>
        </w:tblPrEx>
        <w:tc>
          <w:tcPr>
            <w:tcW w:w="8848" w:type="dxa"/>
            <w:gridSpan w:val="14"/>
            <w:vAlign w:val="center"/>
          </w:tcPr>
          <w:p w14:paraId="42F461DF">
            <w:pPr>
              <w:jc w:val="center"/>
            </w:pPr>
            <w:r>
              <w:rPr>
                <w:rFonts w:ascii="宋体" w:hAnsi="宋体" w:eastAsia="宋体"/>
                <w:sz w:val="24"/>
              </w:rPr>
              <w:t>项目支出绩效自评表</w:t>
            </w:r>
          </w:p>
        </w:tc>
      </w:tr>
      <w:tr w14:paraId="1B726A92">
        <w:tblPrEx>
          <w:tblCellMar>
            <w:top w:w="0" w:type="dxa"/>
            <w:left w:w="108" w:type="dxa"/>
            <w:bottom w:w="0" w:type="dxa"/>
            <w:right w:w="108" w:type="dxa"/>
          </w:tblCellMar>
        </w:tblPrEx>
        <w:tc>
          <w:tcPr>
            <w:tcW w:w="8848" w:type="dxa"/>
            <w:gridSpan w:val="14"/>
            <w:vAlign w:val="center"/>
          </w:tcPr>
          <w:p w14:paraId="06A337BA">
            <w:pPr>
              <w:jc w:val="center"/>
            </w:pPr>
            <w:r>
              <w:rPr>
                <w:rFonts w:ascii="宋体" w:hAnsi="宋体" w:eastAsia="宋体"/>
                <w:sz w:val="24"/>
              </w:rPr>
              <w:t>(2024年度)</w:t>
            </w:r>
          </w:p>
        </w:tc>
      </w:tr>
      <w:tr w14:paraId="310119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D811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BF427B">
            <w:pPr>
              <w:jc w:val="center"/>
            </w:pPr>
            <w:r>
              <w:rPr>
                <w:rFonts w:ascii="宋体" w:hAnsi="宋体" w:eastAsia="宋体"/>
                <w:sz w:val="16"/>
              </w:rPr>
              <w:t>2024年其他资金收入（援疆资金）</w:t>
            </w:r>
          </w:p>
        </w:tc>
      </w:tr>
      <w:tr w14:paraId="1E686F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F368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4A13B4">
            <w:pPr>
              <w:jc w:val="center"/>
            </w:pPr>
            <w:r>
              <w:rPr>
                <w:rFonts w:ascii="宋体" w:hAnsi="宋体" w:eastAsia="宋体"/>
                <w:sz w:val="16"/>
              </w:rPr>
              <w:t>克孜勒苏柯尔克孜自治州检察院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DAC8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8805EF">
            <w:pPr>
              <w:jc w:val="center"/>
            </w:pPr>
            <w:r>
              <w:rPr>
                <w:rFonts w:ascii="宋体" w:hAnsi="宋体" w:eastAsia="宋体"/>
                <w:sz w:val="16"/>
              </w:rPr>
              <w:t>克孜勒苏柯尔克孜自治州检察院</w:t>
            </w:r>
          </w:p>
        </w:tc>
      </w:tr>
      <w:tr w14:paraId="7B3E458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D28BC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439C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350B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E051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201E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CAA1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E0F3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47AD2">
            <w:pPr>
              <w:jc w:val="center"/>
            </w:pPr>
            <w:r>
              <w:rPr>
                <w:rFonts w:ascii="宋体" w:hAnsi="宋体" w:eastAsia="宋体"/>
                <w:sz w:val="16"/>
              </w:rPr>
              <w:t>得分</w:t>
            </w:r>
          </w:p>
        </w:tc>
      </w:tr>
      <w:tr w14:paraId="4A5A97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7B4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8CC4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3B1DF">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66DD3">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C4A0F">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397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9BFC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DB8AC">
            <w:pPr>
              <w:jc w:val="center"/>
            </w:pPr>
            <w:r>
              <w:rPr>
                <w:rFonts w:ascii="宋体" w:hAnsi="宋体" w:eastAsia="宋体"/>
                <w:sz w:val="16"/>
              </w:rPr>
              <w:t>10.00分</w:t>
            </w:r>
          </w:p>
        </w:tc>
      </w:tr>
      <w:tr w14:paraId="698F17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858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734A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7DA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C73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C46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AC80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EB7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E3441">
            <w:pPr>
              <w:jc w:val="center"/>
            </w:pPr>
            <w:r>
              <w:rPr>
                <w:rFonts w:ascii="宋体" w:hAnsi="宋体" w:eastAsia="宋体"/>
                <w:sz w:val="16"/>
              </w:rPr>
              <w:t>—</w:t>
            </w:r>
          </w:p>
        </w:tc>
      </w:tr>
      <w:tr w14:paraId="36B543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0A4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1EE3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27791">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39A28">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D177B">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BED0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570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9D78E">
            <w:pPr>
              <w:jc w:val="center"/>
            </w:pPr>
            <w:r>
              <w:rPr>
                <w:rFonts w:ascii="宋体" w:hAnsi="宋体" w:eastAsia="宋体"/>
                <w:sz w:val="16"/>
              </w:rPr>
              <w:t>—</w:t>
            </w:r>
          </w:p>
        </w:tc>
      </w:tr>
      <w:tr w14:paraId="2C50A8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D3037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986DF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5B8DB3">
            <w:pPr>
              <w:jc w:val="center"/>
            </w:pPr>
            <w:r>
              <w:rPr>
                <w:rFonts w:ascii="宋体" w:hAnsi="宋体" w:eastAsia="宋体"/>
                <w:sz w:val="16"/>
              </w:rPr>
              <w:t>实际完成情况</w:t>
            </w:r>
          </w:p>
        </w:tc>
      </w:tr>
      <w:tr w14:paraId="255296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1A6C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C924C6">
            <w:pPr>
              <w:jc w:val="both"/>
            </w:pPr>
            <w:r>
              <w:rPr>
                <w:rFonts w:ascii="宋体" w:hAnsi="宋体" w:eastAsia="宋体"/>
                <w:sz w:val="16"/>
              </w:rPr>
              <w:t>江苏省各人民检察院为认真贯彻落实中央关于援疆工作的决策部署和省委、最高检对口援助的工作要求，持续深化</w:t>
            </w:r>
            <w:r>
              <w:rPr>
                <w:rFonts w:hint="eastAsia" w:ascii="宋体" w:hAnsi="宋体"/>
                <w:sz w:val="16"/>
                <w:lang w:eastAsia="zh-CN"/>
              </w:rPr>
              <w:t>检察院</w:t>
            </w:r>
            <w:r>
              <w:rPr>
                <w:rFonts w:ascii="宋体" w:hAnsi="宋体" w:eastAsia="宋体"/>
                <w:sz w:val="16"/>
              </w:rPr>
              <w:t>业务、干部人才、教育培训、检察院文化、信息科技和资金项目“六位一体”援助格局，坚持统筹推进，优化援助，推动双赢共赢，不断加强赣疆两地交融，大力支持检察院事业发展。 （二）立项依据 为进一步补齐检察院业务工作短板，提升检察院业务工作质量，达到更好的工作效果，本项目立项依据为：2024年单位援疆资金和其他收入资金。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597DAD">
            <w:pPr>
              <w:jc w:val="both"/>
            </w:pPr>
            <w:r>
              <w:rPr>
                <w:rFonts w:ascii="宋体" w:hAnsi="宋体" w:eastAsia="宋体"/>
                <w:sz w:val="16"/>
              </w:rPr>
              <w:t>截至2024年12月31日，完成保障人员数69人，支持单位办案数2000件，支持项目数量3个，通过该项目实施达到推动双赢共赢效果。</w:t>
            </w:r>
            <w:r>
              <w:rPr>
                <w:rFonts w:ascii="宋体" w:hAnsi="宋体" w:eastAsia="宋体"/>
                <w:sz w:val="16"/>
              </w:rPr>
              <w:br w:type="textWrapping"/>
            </w:r>
          </w:p>
        </w:tc>
      </w:tr>
      <w:tr w14:paraId="2F252D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D7F7B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EF46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E9A8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6C82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C740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496B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381B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4F4F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5E1C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5846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AD1E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9C0E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C8810">
            <w:pPr>
              <w:jc w:val="center"/>
            </w:pPr>
            <w:r>
              <w:rPr>
                <w:rFonts w:ascii="宋体" w:hAnsi="宋体" w:eastAsia="宋体"/>
                <w:sz w:val="16"/>
              </w:rPr>
              <w:t>偏差原因分析及改进措施</w:t>
            </w:r>
          </w:p>
        </w:tc>
      </w:tr>
      <w:tr w14:paraId="6B66545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E1F98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41A93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75A3E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0885A">
            <w:pPr>
              <w:jc w:val="center"/>
            </w:pPr>
            <w:r>
              <w:rPr>
                <w:rFonts w:ascii="宋体" w:hAnsi="宋体" w:eastAsia="宋体"/>
                <w:sz w:val="16"/>
              </w:rPr>
              <w:t>保障人员数（人）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F9A79">
            <w:pPr>
              <w:jc w:val="center"/>
            </w:pPr>
            <w:r>
              <w:rPr>
                <w:rFonts w:ascii="宋体" w:hAnsi="宋体" w:eastAsia="宋体"/>
                <w:sz w:val="16"/>
              </w:rPr>
              <w:t>=69人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B70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407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3534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3B0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78B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BEAF1">
            <w:pPr>
              <w:jc w:val="center"/>
            </w:pPr>
            <w:r>
              <w:rPr>
                <w:rFonts w:ascii="宋体" w:hAnsi="宋体" w:eastAsia="宋体"/>
                <w:sz w:val="16"/>
              </w:rPr>
              <w:t>=69人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9C98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D0A4B">
            <w:pPr>
              <w:jc w:val="center"/>
            </w:pPr>
          </w:p>
        </w:tc>
      </w:tr>
      <w:tr w14:paraId="79734A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2CB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7D4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2E8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C24C0">
            <w:pPr>
              <w:jc w:val="center"/>
            </w:pPr>
            <w:r>
              <w:rPr>
                <w:rFonts w:ascii="宋体" w:hAnsi="宋体" w:eastAsia="宋体"/>
                <w:sz w:val="16"/>
              </w:rPr>
              <w:t>支持单位办案数（%）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BD756">
            <w:pPr>
              <w:jc w:val="center"/>
            </w:pPr>
            <w:r>
              <w:rPr>
                <w:rFonts w:ascii="宋体" w:hAnsi="宋体" w:eastAsia="宋体"/>
                <w:sz w:val="16"/>
              </w:rPr>
              <w:t>&gt;=2000件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5E2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B4A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3F98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729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DAE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33220">
            <w:pPr>
              <w:jc w:val="center"/>
            </w:pPr>
            <w:r>
              <w:rPr>
                <w:rFonts w:ascii="宋体" w:hAnsi="宋体" w:eastAsia="宋体"/>
                <w:sz w:val="16"/>
              </w:rPr>
              <w:t>=2000件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93B4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26496">
            <w:pPr>
              <w:jc w:val="center"/>
            </w:pPr>
          </w:p>
        </w:tc>
      </w:tr>
      <w:tr w14:paraId="24C817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4DC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FF9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4F6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B3DAD">
            <w:pPr>
              <w:jc w:val="center"/>
            </w:pPr>
            <w:r>
              <w:rPr>
                <w:rFonts w:ascii="宋体" w:hAnsi="宋体" w:eastAsia="宋体"/>
                <w:sz w:val="16"/>
              </w:rPr>
              <w:t>支持项目数量（个）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F2A77">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6DB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7E8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F06B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A1A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522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9094B">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6898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7EE45">
            <w:pPr>
              <w:jc w:val="center"/>
            </w:pPr>
          </w:p>
        </w:tc>
      </w:tr>
      <w:tr w14:paraId="7C3ECD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0B6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E47A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9CB4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B58BD">
            <w:pPr>
              <w:jc w:val="center"/>
            </w:pPr>
            <w:r>
              <w:rPr>
                <w:rFonts w:ascii="宋体" w:hAnsi="宋体" w:eastAsia="宋体"/>
                <w:sz w:val="16"/>
              </w:rPr>
              <w:t>项目工程完工合格率（%）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D25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CE5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DE3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67B4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18D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37B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084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8A02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13107">
            <w:pPr>
              <w:jc w:val="center"/>
            </w:pPr>
          </w:p>
        </w:tc>
      </w:tr>
      <w:tr w14:paraId="288C82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6B9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266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09CA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5967C">
            <w:pPr>
              <w:jc w:val="center"/>
            </w:pPr>
            <w:r>
              <w:rPr>
                <w:rFonts w:ascii="宋体" w:hAnsi="宋体" w:eastAsia="宋体"/>
                <w:sz w:val="16"/>
              </w:rPr>
              <w:t>完成案件办结率（%）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6A1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AF7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FDD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B55D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CE2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BF1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E5C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AF0C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C7C6A">
            <w:pPr>
              <w:jc w:val="center"/>
            </w:pPr>
          </w:p>
        </w:tc>
      </w:tr>
      <w:tr w14:paraId="4BBEA9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D4C5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E9756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514E5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D707B">
            <w:pPr>
              <w:jc w:val="center"/>
            </w:pPr>
            <w:r>
              <w:rPr>
                <w:rFonts w:ascii="宋体" w:hAnsi="宋体" w:eastAsia="宋体"/>
                <w:sz w:val="16"/>
              </w:rPr>
              <w:t>项目投资总额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C9F08">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8970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F8D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289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449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9D2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D0ACA">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FA8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7D746">
            <w:pPr>
              <w:jc w:val="center"/>
            </w:pPr>
          </w:p>
        </w:tc>
      </w:tr>
      <w:tr w14:paraId="4632A1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638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CE80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446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F906D">
            <w:pPr>
              <w:jc w:val="center"/>
            </w:pPr>
            <w:r>
              <w:rPr>
                <w:rFonts w:ascii="宋体" w:hAnsi="宋体" w:eastAsia="宋体"/>
                <w:sz w:val="16"/>
              </w:rPr>
              <w:t>食堂费用（万元）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EFD7E">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2CB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990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92E1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07F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EB3B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A8E30">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5B0E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E5C27">
            <w:pPr>
              <w:jc w:val="center"/>
            </w:pPr>
          </w:p>
        </w:tc>
      </w:tr>
      <w:tr w14:paraId="4B3389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8CD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3F4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F60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CC345">
            <w:pPr>
              <w:jc w:val="center"/>
            </w:pPr>
            <w:r>
              <w:rPr>
                <w:rFonts w:ascii="宋体" w:hAnsi="宋体" w:eastAsia="宋体"/>
                <w:sz w:val="16"/>
              </w:rPr>
              <w:t>设备采购费用（万元）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6A68B">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1EC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830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7E30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C4E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D367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A0315">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53EE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6369F">
            <w:pPr>
              <w:jc w:val="center"/>
            </w:pPr>
          </w:p>
        </w:tc>
      </w:tr>
      <w:tr w14:paraId="44319B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5043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7D75C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93CDF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A4F93">
            <w:pPr>
              <w:jc w:val="center"/>
            </w:pPr>
            <w:r>
              <w:rPr>
                <w:rFonts w:ascii="宋体" w:hAnsi="宋体" w:eastAsia="宋体"/>
                <w:sz w:val="16"/>
              </w:rPr>
              <w:t>促进改善办案条件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4751C">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AE6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01E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58E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F4BD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F4A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A75D8">
            <w:pPr>
              <w:jc w:val="center"/>
            </w:pPr>
            <w:r>
              <w:rPr>
                <w:rFonts w:ascii="宋体" w:hAnsi="宋体" w:eastAsia="宋体"/>
                <w:sz w:val="16"/>
              </w:rPr>
              <w:t>持续影响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B7D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3D533">
            <w:pPr>
              <w:jc w:val="center"/>
            </w:pPr>
          </w:p>
        </w:tc>
      </w:tr>
      <w:tr w14:paraId="4B2081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734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A26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357F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AB7E8">
            <w:pPr>
              <w:jc w:val="center"/>
            </w:pPr>
            <w:r>
              <w:rPr>
                <w:rFonts w:ascii="宋体" w:hAnsi="宋体" w:eastAsia="宋体"/>
                <w:sz w:val="16"/>
              </w:rPr>
              <w:t>保障社会稳定和长治久安</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C947A">
            <w:pPr>
              <w:jc w:val="center"/>
            </w:pPr>
            <w:r>
              <w:rPr>
                <w:rFonts w:ascii="宋体" w:hAnsi="宋体" w:eastAsia="宋体"/>
                <w:sz w:val="16"/>
              </w:rPr>
              <w:t>持续影响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28B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CAE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909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BC46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844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01623">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304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C8CEE">
            <w:pPr>
              <w:jc w:val="center"/>
            </w:pPr>
          </w:p>
        </w:tc>
      </w:tr>
      <w:tr w14:paraId="0A3D90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883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E920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74E7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3ABB5">
            <w:pPr>
              <w:jc w:val="center"/>
            </w:pPr>
            <w:r>
              <w:rPr>
                <w:rFonts w:ascii="宋体" w:hAnsi="宋体" w:eastAsia="宋体"/>
                <w:sz w:val="16"/>
              </w:rPr>
              <w:t>受益干警满意度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74925">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58C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7EF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5A9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9EC1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AEC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4D5F2">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AF9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073CD">
            <w:pPr>
              <w:jc w:val="center"/>
            </w:pPr>
          </w:p>
        </w:tc>
      </w:tr>
      <w:tr w14:paraId="22AE06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9AC8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97B9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6210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E8AC54">
            <w:pPr>
              <w:jc w:val="center"/>
            </w:pPr>
            <w:r>
              <w:rPr>
                <w:rFonts w:ascii="宋体" w:hAnsi="宋体" w:eastAsia="宋体"/>
                <w:sz w:val="16"/>
              </w:rPr>
              <w:t>100分</w:t>
            </w:r>
          </w:p>
        </w:tc>
      </w:tr>
    </w:tbl>
    <w:p w14:paraId="6EDC9E8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166FC33C">
        <w:tc>
          <w:tcPr>
            <w:tcW w:w="8848" w:type="dxa"/>
            <w:gridSpan w:val="14"/>
            <w:vAlign w:val="center"/>
          </w:tcPr>
          <w:p w14:paraId="347D3E53">
            <w:pPr>
              <w:jc w:val="center"/>
            </w:pPr>
            <w:r>
              <w:rPr>
                <w:rFonts w:ascii="宋体" w:hAnsi="宋体" w:eastAsia="宋体"/>
                <w:sz w:val="24"/>
              </w:rPr>
              <w:t>项目支出绩效自评表</w:t>
            </w:r>
          </w:p>
        </w:tc>
      </w:tr>
      <w:tr w14:paraId="0B7941E8">
        <w:tblPrEx>
          <w:tblCellMar>
            <w:top w:w="0" w:type="dxa"/>
            <w:left w:w="108" w:type="dxa"/>
            <w:bottom w:w="0" w:type="dxa"/>
            <w:right w:w="108" w:type="dxa"/>
          </w:tblCellMar>
        </w:tblPrEx>
        <w:tc>
          <w:tcPr>
            <w:tcW w:w="8848" w:type="dxa"/>
            <w:gridSpan w:val="14"/>
            <w:vAlign w:val="center"/>
          </w:tcPr>
          <w:p w14:paraId="499C441B">
            <w:pPr>
              <w:jc w:val="center"/>
            </w:pPr>
            <w:r>
              <w:rPr>
                <w:rFonts w:ascii="宋体" w:hAnsi="宋体" w:eastAsia="宋体"/>
                <w:sz w:val="24"/>
              </w:rPr>
              <w:t>(2024年度)</w:t>
            </w:r>
          </w:p>
        </w:tc>
      </w:tr>
      <w:tr w14:paraId="06DB56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915A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C66CABA">
            <w:pPr>
              <w:jc w:val="center"/>
            </w:pPr>
            <w:r>
              <w:rPr>
                <w:rFonts w:ascii="宋体" w:hAnsi="宋体" w:eastAsia="宋体"/>
                <w:sz w:val="16"/>
              </w:rPr>
              <w:t>2024年第一书记和为民办实事工作经费</w:t>
            </w:r>
          </w:p>
        </w:tc>
      </w:tr>
      <w:tr w14:paraId="5CAAE4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E66C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8B2D61">
            <w:pPr>
              <w:jc w:val="center"/>
            </w:pPr>
            <w:r>
              <w:rPr>
                <w:rFonts w:ascii="宋体" w:hAnsi="宋体" w:eastAsia="宋体"/>
                <w:sz w:val="16"/>
              </w:rPr>
              <w:t>克孜勒苏柯尔克孜自治州检察院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B76B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48B04F">
            <w:pPr>
              <w:jc w:val="center"/>
            </w:pPr>
            <w:r>
              <w:rPr>
                <w:rFonts w:ascii="宋体" w:hAnsi="宋体" w:eastAsia="宋体"/>
                <w:sz w:val="16"/>
              </w:rPr>
              <w:t>克孜勒苏柯尔克孜自治州检察院</w:t>
            </w:r>
          </w:p>
        </w:tc>
      </w:tr>
      <w:tr w14:paraId="7139F94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979C2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3434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4D78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E36F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0769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908B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BF3B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11063">
            <w:pPr>
              <w:jc w:val="center"/>
            </w:pPr>
            <w:r>
              <w:rPr>
                <w:rFonts w:ascii="宋体" w:hAnsi="宋体" w:eastAsia="宋体"/>
                <w:sz w:val="16"/>
              </w:rPr>
              <w:t>得分</w:t>
            </w:r>
          </w:p>
        </w:tc>
      </w:tr>
      <w:tr w14:paraId="3C3346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004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6638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57BBF">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7AFAC">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A5EF0">
            <w:pPr>
              <w:jc w:val="center"/>
            </w:pPr>
            <w:r>
              <w:rPr>
                <w:rFonts w:ascii="宋体" w:hAnsi="宋体" w:eastAsia="宋体"/>
                <w:sz w:val="16"/>
              </w:rPr>
              <w:t>3.08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283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AFF2F">
            <w:pPr>
              <w:jc w:val="center"/>
            </w:pPr>
            <w:r>
              <w:rPr>
                <w:rFonts w:ascii="宋体" w:hAnsi="宋体" w:eastAsia="宋体"/>
                <w:sz w:val="16"/>
              </w:rPr>
              <w:t>18.1%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38A1E">
            <w:pPr>
              <w:jc w:val="center"/>
            </w:pPr>
            <w:r>
              <w:rPr>
                <w:rFonts w:ascii="宋体" w:hAnsi="宋体" w:eastAsia="宋体"/>
                <w:sz w:val="16"/>
              </w:rPr>
              <w:t>0.00分</w:t>
            </w:r>
          </w:p>
        </w:tc>
      </w:tr>
      <w:tr w14:paraId="6830BA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D9A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F340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215A1">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C64F2">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FC2D0">
            <w:pPr>
              <w:jc w:val="center"/>
            </w:pPr>
            <w:r>
              <w:rPr>
                <w:rFonts w:ascii="宋体" w:hAnsi="宋体" w:eastAsia="宋体"/>
                <w:sz w:val="16"/>
              </w:rPr>
              <w:t>3.08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2C23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16C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BC279">
            <w:pPr>
              <w:jc w:val="center"/>
            </w:pPr>
            <w:r>
              <w:rPr>
                <w:rFonts w:ascii="宋体" w:hAnsi="宋体" w:eastAsia="宋体"/>
                <w:sz w:val="16"/>
              </w:rPr>
              <w:t>—</w:t>
            </w:r>
          </w:p>
        </w:tc>
      </w:tr>
      <w:tr w14:paraId="2D3B17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8AA6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58B7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1CD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947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E3F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E3F2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CCA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405D9">
            <w:pPr>
              <w:jc w:val="center"/>
            </w:pPr>
            <w:r>
              <w:rPr>
                <w:rFonts w:ascii="宋体" w:hAnsi="宋体" w:eastAsia="宋体"/>
                <w:sz w:val="16"/>
              </w:rPr>
              <w:t>—</w:t>
            </w:r>
          </w:p>
        </w:tc>
      </w:tr>
      <w:tr w14:paraId="4B7EEE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40CD3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AF11E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D49288">
            <w:pPr>
              <w:jc w:val="center"/>
            </w:pPr>
            <w:r>
              <w:rPr>
                <w:rFonts w:ascii="宋体" w:hAnsi="宋体" w:eastAsia="宋体"/>
                <w:sz w:val="16"/>
              </w:rPr>
              <w:t>实际完成情况</w:t>
            </w:r>
          </w:p>
        </w:tc>
      </w:tr>
      <w:tr w14:paraId="055CA4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E2F1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C7CCEB">
            <w:pPr>
              <w:jc w:val="both"/>
            </w:pPr>
            <w:r>
              <w:rPr>
                <w:rFonts w:ascii="宋体" w:hAnsi="宋体" w:eastAsia="宋体"/>
                <w:sz w:val="16"/>
              </w:rPr>
              <w:t>该项目资金投入总额为17万元，其中：财政资金17万元，其他资金0元，主要用于做好库鲁木都克村驻村工作任务，扎实开展群众工作，为群众送温暖、送服务、积极开展各类活动，实现社会稳定和长治久安。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A2CAA2">
            <w:pPr>
              <w:jc w:val="both"/>
            </w:pPr>
            <w:r>
              <w:rPr>
                <w:rFonts w:ascii="宋体" w:hAnsi="宋体" w:eastAsia="宋体"/>
                <w:sz w:val="16"/>
              </w:rPr>
              <w:t>截至2024年12月31日，已完成：购买慰问品及开展活动1次，宣传栏振新广场亮化1次；通过该项目实施，实现社会稳定和长治久安</w:t>
            </w:r>
          </w:p>
        </w:tc>
      </w:tr>
      <w:tr w14:paraId="40664F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F131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059E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7F52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1FEE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8F5A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36CE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DEFE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B2D2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A176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F697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2091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D27C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E45E0">
            <w:pPr>
              <w:jc w:val="center"/>
            </w:pPr>
            <w:r>
              <w:rPr>
                <w:rFonts w:ascii="宋体" w:hAnsi="宋体" w:eastAsia="宋体"/>
                <w:sz w:val="16"/>
              </w:rPr>
              <w:t>偏差原因分析及改进措施</w:t>
            </w:r>
          </w:p>
        </w:tc>
      </w:tr>
      <w:tr w14:paraId="167A30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5E056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6294F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887C1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10A1F">
            <w:pPr>
              <w:jc w:val="center"/>
            </w:pPr>
            <w:r>
              <w:rPr>
                <w:rFonts w:ascii="宋体" w:hAnsi="宋体" w:eastAsia="宋体"/>
                <w:sz w:val="16"/>
              </w:rPr>
              <w:t>购买慰问品及开展活动（次）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D4D69">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73A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D3D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255D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305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3A6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7ACBF">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326D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19A80">
            <w:pPr>
              <w:jc w:val="center"/>
            </w:pPr>
          </w:p>
        </w:tc>
      </w:tr>
      <w:tr w14:paraId="3AF2D2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1A33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BC6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DA9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6BC36">
            <w:pPr>
              <w:jc w:val="center"/>
            </w:pPr>
            <w:r>
              <w:rPr>
                <w:rFonts w:ascii="宋体" w:hAnsi="宋体" w:eastAsia="宋体"/>
                <w:sz w:val="16"/>
              </w:rPr>
              <w:t>宣传栏振新广场亮化（次）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3FCAD">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6F9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B54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BE3B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FCB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A2A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C14C9">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4D08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FEE59">
            <w:pPr>
              <w:jc w:val="center"/>
            </w:pPr>
          </w:p>
        </w:tc>
      </w:tr>
      <w:tr w14:paraId="6862CC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96F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E5CF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13E8A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E5E93">
            <w:pPr>
              <w:jc w:val="center"/>
            </w:pPr>
            <w:r>
              <w:rPr>
                <w:rFonts w:ascii="宋体" w:hAnsi="宋体" w:eastAsia="宋体"/>
                <w:sz w:val="16"/>
              </w:rPr>
              <w:t>慰问品及活动质量合格率（%）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1CF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D40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487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42A1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14A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D88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D4A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65C0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0C76E">
            <w:pPr>
              <w:jc w:val="center"/>
            </w:pPr>
          </w:p>
        </w:tc>
      </w:tr>
      <w:tr w14:paraId="5588C3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018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4071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158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76269">
            <w:pPr>
              <w:jc w:val="center"/>
            </w:pPr>
            <w:r>
              <w:rPr>
                <w:rFonts w:ascii="宋体" w:hAnsi="宋体" w:eastAsia="宋体"/>
                <w:sz w:val="16"/>
              </w:rPr>
              <w:t>宣传栏振新广场亮化合格率（%）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A25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419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E03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60A2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E6E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94A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3B5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5418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36C62">
            <w:pPr>
              <w:jc w:val="center"/>
            </w:pPr>
          </w:p>
        </w:tc>
      </w:tr>
      <w:tr w14:paraId="7EBAE0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6514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896E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25C5F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8713A">
            <w:pPr>
              <w:jc w:val="center"/>
            </w:pPr>
            <w:r>
              <w:rPr>
                <w:rFonts w:ascii="宋体" w:hAnsi="宋体" w:eastAsia="宋体"/>
                <w:sz w:val="16"/>
              </w:rPr>
              <w:t>购买慰问品及开展活动（%）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167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9DA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BCA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4004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8E2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23F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3A4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3145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EBB0E">
            <w:pPr>
              <w:jc w:val="center"/>
            </w:pPr>
          </w:p>
        </w:tc>
      </w:tr>
      <w:tr w14:paraId="0A8B77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31D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1A8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06C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A9F96">
            <w:pPr>
              <w:jc w:val="center"/>
            </w:pPr>
            <w:r>
              <w:rPr>
                <w:rFonts w:ascii="宋体" w:hAnsi="宋体" w:eastAsia="宋体"/>
                <w:sz w:val="16"/>
              </w:rPr>
              <w:t>宣传栏振新广场亮化合格（%）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F1B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481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8ED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2530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5FB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07F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F22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F209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BECD5">
            <w:pPr>
              <w:jc w:val="center"/>
            </w:pPr>
          </w:p>
        </w:tc>
      </w:tr>
      <w:tr w14:paraId="2A0ECA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F37A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4943D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FD0C9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52DD9">
            <w:pPr>
              <w:jc w:val="center"/>
            </w:pPr>
            <w:r>
              <w:rPr>
                <w:rFonts w:ascii="宋体" w:hAnsi="宋体" w:eastAsia="宋体"/>
                <w:sz w:val="16"/>
              </w:rPr>
              <w:t>购买慰问品及开展活动（万元）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73B29">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7194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1C4E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F84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BDE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AC0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B53BD">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AB3C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8AE7B">
            <w:pPr>
              <w:jc w:val="center"/>
            </w:pPr>
            <w:r>
              <w:rPr>
                <w:rFonts w:ascii="宋体" w:hAnsi="宋体" w:eastAsia="宋体"/>
                <w:sz w:val="16"/>
              </w:rPr>
              <w:t>偏差原因：项目未及时保障；改进措施：及时支出</w:t>
            </w:r>
          </w:p>
        </w:tc>
      </w:tr>
      <w:tr w14:paraId="4877DC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0DCA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6E1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D5F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185CA">
            <w:pPr>
              <w:jc w:val="center"/>
            </w:pPr>
            <w:r>
              <w:rPr>
                <w:rFonts w:ascii="宋体" w:hAnsi="宋体" w:eastAsia="宋体"/>
                <w:sz w:val="16"/>
              </w:rPr>
              <w:t>宣传栏振新广场亮化（万元）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C36FF">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A3CA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677F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729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83D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902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753A2">
            <w:pPr>
              <w:jc w:val="center"/>
            </w:pPr>
            <w:r>
              <w:rPr>
                <w:rFonts w:ascii="宋体" w:hAnsi="宋体" w:eastAsia="宋体"/>
                <w:sz w:val="16"/>
              </w:rPr>
              <w:t>&lt;=2.08万元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7CBE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ED8C0">
            <w:pPr>
              <w:jc w:val="center"/>
            </w:pPr>
            <w:r>
              <w:rPr>
                <w:rFonts w:ascii="宋体" w:hAnsi="宋体" w:eastAsia="宋体"/>
                <w:sz w:val="16"/>
              </w:rPr>
              <w:t>偏差原因：项目未及时保障；改进措施：及时支出</w:t>
            </w:r>
          </w:p>
        </w:tc>
      </w:tr>
      <w:tr w14:paraId="349D42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CED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54CD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674A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46BEE">
            <w:pPr>
              <w:jc w:val="center"/>
            </w:pPr>
            <w:r>
              <w:rPr>
                <w:rFonts w:ascii="宋体" w:hAnsi="宋体" w:eastAsia="宋体"/>
                <w:sz w:val="16"/>
              </w:rPr>
              <w:t>对社会稳定和长治久安的影响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E27DC">
            <w:pPr>
              <w:jc w:val="center"/>
            </w:pPr>
            <w:r>
              <w:rPr>
                <w:rFonts w:ascii="宋体" w:hAnsi="宋体" w:eastAsia="宋体"/>
                <w:sz w:val="16"/>
              </w:rPr>
              <w:t>长期保障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D26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F1A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574D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E040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2AAA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EB66F">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06916">
            <w:pPr>
              <w:jc w:val="center"/>
            </w:pPr>
            <w:r>
              <w:rPr>
                <w:rFonts w:ascii="宋体" w:hAnsi="宋体" w:eastAsia="宋体"/>
                <w:sz w:val="16"/>
              </w:rPr>
              <w:t>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88E3E">
            <w:pPr>
              <w:jc w:val="center"/>
            </w:pPr>
            <w:r>
              <w:rPr>
                <w:rFonts w:ascii="宋体" w:hAnsi="宋体" w:eastAsia="宋体"/>
                <w:sz w:val="16"/>
              </w:rPr>
              <w:t>偏差原因：项目未及时保障；改进措施：及时支出</w:t>
            </w:r>
          </w:p>
        </w:tc>
      </w:tr>
      <w:tr w14:paraId="1758F8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DDAD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BB8F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B7AC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B1C8C">
            <w:pPr>
              <w:jc w:val="center"/>
            </w:pPr>
            <w:r>
              <w:rPr>
                <w:rFonts w:ascii="宋体" w:hAnsi="宋体" w:eastAsia="宋体"/>
                <w:sz w:val="16"/>
              </w:rPr>
              <w:t>服务群众满意度（%）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A99F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158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8AC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DF7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5AF6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7BB9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DE35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0A50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D9298">
            <w:pPr>
              <w:jc w:val="center"/>
            </w:pPr>
          </w:p>
        </w:tc>
      </w:tr>
      <w:tr w14:paraId="552D8E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9356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83AE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6876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54318B">
            <w:pPr>
              <w:jc w:val="center"/>
            </w:pPr>
            <w:r>
              <w:rPr>
                <w:rFonts w:ascii="宋体" w:hAnsi="宋体" w:eastAsia="宋体"/>
                <w:sz w:val="16"/>
              </w:rPr>
              <w:t>62分</w:t>
            </w:r>
          </w:p>
        </w:tc>
      </w:tr>
    </w:tbl>
    <w:p w14:paraId="36A92D6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07C6FF6C">
        <w:tc>
          <w:tcPr>
            <w:tcW w:w="8848" w:type="dxa"/>
            <w:gridSpan w:val="14"/>
            <w:vAlign w:val="center"/>
          </w:tcPr>
          <w:p w14:paraId="77E59F2B">
            <w:pPr>
              <w:jc w:val="center"/>
            </w:pPr>
            <w:r>
              <w:rPr>
                <w:rFonts w:ascii="宋体" w:hAnsi="宋体" w:eastAsia="宋体"/>
                <w:sz w:val="24"/>
              </w:rPr>
              <w:t>项目支出绩效自评表</w:t>
            </w:r>
          </w:p>
        </w:tc>
      </w:tr>
      <w:tr w14:paraId="0A7F7A91">
        <w:tblPrEx>
          <w:tblCellMar>
            <w:top w:w="0" w:type="dxa"/>
            <w:left w:w="108" w:type="dxa"/>
            <w:bottom w:w="0" w:type="dxa"/>
            <w:right w:w="108" w:type="dxa"/>
          </w:tblCellMar>
        </w:tblPrEx>
        <w:tc>
          <w:tcPr>
            <w:tcW w:w="8848" w:type="dxa"/>
            <w:gridSpan w:val="14"/>
            <w:vAlign w:val="center"/>
          </w:tcPr>
          <w:p w14:paraId="60768B41">
            <w:pPr>
              <w:jc w:val="center"/>
            </w:pPr>
            <w:r>
              <w:rPr>
                <w:rFonts w:ascii="宋体" w:hAnsi="宋体" w:eastAsia="宋体"/>
                <w:sz w:val="24"/>
              </w:rPr>
              <w:t>(2024年度)</w:t>
            </w:r>
          </w:p>
        </w:tc>
      </w:tr>
      <w:tr w14:paraId="0C4041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63FA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DEB990D">
            <w:pPr>
              <w:jc w:val="center"/>
            </w:pPr>
            <w:r>
              <w:rPr>
                <w:rFonts w:ascii="宋体" w:hAnsi="宋体" w:eastAsia="宋体"/>
                <w:sz w:val="16"/>
              </w:rPr>
              <w:t>为民办实事结转</w:t>
            </w:r>
          </w:p>
        </w:tc>
      </w:tr>
      <w:tr w14:paraId="7F1F9E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17D9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9270B3">
            <w:pPr>
              <w:jc w:val="center"/>
            </w:pPr>
            <w:r>
              <w:rPr>
                <w:rFonts w:ascii="宋体" w:hAnsi="宋体" w:eastAsia="宋体"/>
                <w:sz w:val="16"/>
              </w:rPr>
              <w:t>克孜勒苏柯尔克孜自治州检察院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090B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D5B9F9">
            <w:pPr>
              <w:jc w:val="center"/>
            </w:pPr>
            <w:r>
              <w:rPr>
                <w:rFonts w:ascii="宋体" w:hAnsi="宋体" w:eastAsia="宋体"/>
                <w:sz w:val="16"/>
              </w:rPr>
              <w:t>克孜勒苏柯尔克孜自治州检察院</w:t>
            </w:r>
          </w:p>
        </w:tc>
      </w:tr>
      <w:tr w14:paraId="5312D35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4329E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34E3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472F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0327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AA63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2A20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86BB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7DACC">
            <w:pPr>
              <w:jc w:val="center"/>
            </w:pPr>
            <w:r>
              <w:rPr>
                <w:rFonts w:ascii="宋体" w:hAnsi="宋体" w:eastAsia="宋体"/>
                <w:sz w:val="16"/>
              </w:rPr>
              <w:t>得分</w:t>
            </w:r>
          </w:p>
        </w:tc>
      </w:tr>
      <w:tr w14:paraId="6FAD96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F58F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8862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995D3">
            <w:pPr>
              <w:jc w:val="center"/>
            </w:pPr>
            <w:r>
              <w:rPr>
                <w:rFonts w:ascii="宋体" w:hAnsi="宋体" w:eastAsia="宋体"/>
                <w:sz w:val="16"/>
              </w:rPr>
              <w:t>4.90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19736">
            <w:pPr>
              <w:jc w:val="center"/>
            </w:pPr>
            <w:r>
              <w:rPr>
                <w:rFonts w:ascii="宋体" w:hAnsi="宋体" w:eastAsia="宋体"/>
                <w:sz w:val="16"/>
              </w:rPr>
              <w:t>4.90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51304">
            <w:pPr>
              <w:jc w:val="center"/>
            </w:pPr>
            <w:r>
              <w:rPr>
                <w:rFonts w:ascii="宋体" w:hAnsi="宋体" w:eastAsia="宋体"/>
                <w:sz w:val="16"/>
              </w:rPr>
              <w:t>4.90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B1E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F847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771C4">
            <w:pPr>
              <w:jc w:val="center"/>
            </w:pPr>
            <w:r>
              <w:rPr>
                <w:rFonts w:ascii="宋体" w:hAnsi="宋体" w:eastAsia="宋体"/>
                <w:sz w:val="16"/>
              </w:rPr>
              <w:t>10.00分</w:t>
            </w:r>
          </w:p>
        </w:tc>
      </w:tr>
      <w:tr w14:paraId="508692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21E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A8E2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0574C">
            <w:pPr>
              <w:jc w:val="center"/>
            </w:pPr>
            <w:r>
              <w:rPr>
                <w:rFonts w:ascii="宋体" w:hAnsi="宋体" w:eastAsia="宋体"/>
                <w:sz w:val="16"/>
              </w:rPr>
              <w:t>4.90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A485E">
            <w:pPr>
              <w:jc w:val="center"/>
            </w:pPr>
            <w:r>
              <w:rPr>
                <w:rFonts w:ascii="宋体" w:hAnsi="宋体" w:eastAsia="宋体"/>
                <w:sz w:val="16"/>
              </w:rPr>
              <w:t>4.90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19176">
            <w:pPr>
              <w:jc w:val="center"/>
            </w:pPr>
            <w:r>
              <w:rPr>
                <w:rFonts w:ascii="宋体" w:hAnsi="宋体" w:eastAsia="宋体"/>
                <w:sz w:val="16"/>
              </w:rPr>
              <w:t>4.90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F021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ACD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48130">
            <w:pPr>
              <w:jc w:val="center"/>
            </w:pPr>
            <w:r>
              <w:rPr>
                <w:rFonts w:ascii="宋体" w:hAnsi="宋体" w:eastAsia="宋体"/>
                <w:sz w:val="16"/>
              </w:rPr>
              <w:t>—</w:t>
            </w:r>
          </w:p>
        </w:tc>
      </w:tr>
      <w:tr w14:paraId="17167D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906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2954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D655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CB1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542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7753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4C0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D9D84">
            <w:pPr>
              <w:jc w:val="center"/>
            </w:pPr>
            <w:r>
              <w:rPr>
                <w:rFonts w:ascii="宋体" w:hAnsi="宋体" w:eastAsia="宋体"/>
                <w:sz w:val="16"/>
              </w:rPr>
              <w:t>—</w:t>
            </w:r>
          </w:p>
        </w:tc>
      </w:tr>
      <w:tr w14:paraId="717909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CE638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15957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B0E33E">
            <w:pPr>
              <w:jc w:val="center"/>
            </w:pPr>
            <w:r>
              <w:rPr>
                <w:rFonts w:ascii="宋体" w:hAnsi="宋体" w:eastAsia="宋体"/>
                <w:sz w:val="16"/>
              </w:rPr>
              <w:t>实际完成情况</w:t>
            </w:r>
          </w:p>
        </w:tc>
      </w:tr>
      <w:tr w14:paraId="0C49F2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BD5F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B4C13E">
            <w:pPr>
              <w:jc w:val="both"/>
            </w:pPr>
            <w:r>
              <w:rPr>
                <w:rFonts w:ascii="宋体" w:hAnsi="宋体" w:eastAsia="宋体"/>
                <w:sz w:val="16"/>
              </w:rPr>
              <w:t>该项目的实施，能够切实解决群众生产生活中的实际困难，加强民族团结，增进民族互信，突出现代文化引领，落实民生建设任务，增加农牧民收入，关心关爱困难群众，实现维护社会稳定和长治久安总目标。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32E7BF">
            <w:pPr>
              <w:jc w:val="both"/>
            </w:pPr>
            <w:r>
              <w:rPr>
                <w:rFonts w:ascii="宋体" w:hAnsi="宋体" w:eastAsia="宋体"/>
                <w:sz w:val="16"/>
              </w:rPr>
              <w:t>截至2024年12月31日，新增公改厕数量10间，走访慰问困难群众20户，文体活动开展次数5次，通过该项目实施，真正做到了为群众送温暖、送服务、开展各类活动，实现社会稳定和长治久安。</w:t>
            </w:r>
          </w:p>
        </w:tc>
      </w:tr>
      <w:tr w14:paraId="6336D6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BF16B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AEDD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43DD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246D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6A4A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BB8A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696E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D823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63B0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7720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96EB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BBCD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4D078">
            <w:pPr>
              <w:jc w:val="center"/>
            </w:pPr>
            <w:r>
              <w:rPr>
                <w:rFonts w:ascii="宋体" w:hAnsi="宋体" w:eastAsia="宋体"/>
                <w:sz w:val="16"/>
              </w:rPr>
              <w:t>偏差原因分析及改进措施</w:t>
            </w:r>
          </w:p>
        </w:tc>
      </w:tr>
      <w:tr w14:paraId="4DA08E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38D66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003AC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AC1D1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CFFDA">
            <w:pPr>
              <w:jc w:val="center"/>
            </w:pPr>
            <w:r>
              <w:rPr>
                <w:rFonts w:ascii="宋体" w:hAnsi="宋体" w:eastAsia="宋体"/>
                <w:sz w:val="16"/>
              </w:rPr>
              <w:t>新增公改厕数量（间）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FAE37">
            <w:pPr>
              <w:jc w:val="center"/>
            </w:pPr>
            <w:r>
              <w:rPr>
                <w:rFonts w:ascii="宋体" w:hAnsi="宋体" w:eastAsia="宋体"/>
                <w:sz w:val="16"/>
              </w:rPr>
              <w:t>&gt;=10间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8B9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600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070E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677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0C6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BD6CB">
            <w:pPr>
              <w:jc w:val="center"/>
            </w:pPr>
            <w:r>
              <w:rPr>
                <w:rFonts w:ascii="宋体" w:hAnsi="宋体" w:eastAsia="宋体"/>
                <w:sz w:val="16"/>
              </w:rPr>
              <w:t>=10间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1AEA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D1646">
            <w:pPr>
              <w:jc w:val="center"/>
            </w:pPr>
          </w:p>
        </w:tc>
      </w:tr>
      <w:tr w14:paraId="2F024E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CE1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3AAC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3F2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7954F">
            <w:pPr>
              <w:jc w:val="center"/>
            </w:pPr>
            <w:r>
              <w:rPr>
                <w:rFonts w:ascii="宋体" w:hAnsi="宋体" w:eastAsia="宋体"/>
                <w:sz w:val="16"/>
              </w:rPr>
              <w:t>走访慰问困难群众（户）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6A062">
            <w:pPr>
              <w:jc w:val="center"/>
            </w:pPr>
            <w:r>
              <w:rPr>
                <w:rFonts w:ascii="宋体" w:hAnsi="宋体" w:eastAsia="宋体"/>
                <w:sz w:val="16"/>
              </w:rPr>
              <w:t>&gt;=20户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BC9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1D5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77C2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13C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65A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87409">
            <w:pPr>
              <w:jc w:val="center"/>
            </w:pPr>
            <w:r>
              <w:rPr>
                <w:rFonts w:ascii="宋体" w:hAnsi="宋体" w:eastAsia="宋体"/>
                <w:sz w:val="16"/>
              </w:rPr>
              <w:t>=20户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655D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2544F">
            <w:pPr>
              <w:jc w:val="center"/>
            </w:pPr>
          </w:p>
        </w:tc>
      </w:tr>
      <w:tr w14:paraId="5886EB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2CB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519D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3880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0506B">
            <w:pPr>
              <w:jc w:val="center"/>
            </w:pPr>
            <w:r>
              <w:rPr>
                <w:rFonts w:ascii="宋体" w:hAnsi="宋体" w:eastAsia="宋体"/>
                <w:sz w:val="16"/>
              </w:rPr>
              <w:t>文体活动开展次数（次）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79A17">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5C3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8A1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21CB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FF4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7CD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17601">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200E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EFBC7">
            <w:pPr>
              <w:jc w:val="center"/>
            </w:pPr>
          </w:p>
        </w:tc>
      </w:tr>
      <w:tr w14:paraId="4CA354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2F63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CAF3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C3D79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C60EF">
            <w:pPr>
              <w:jc w:val="center"/>
            </w:pPr>
            <w:r>
              <w:rPr>
                <w:rFonts w:ascii="宋体" w:hAnsi="宋体" w:eastAsia="宋体"/>
                <w:sz w:val="16"/>
              </w:rPr>
              <w:t>公改厕质量验收达标率（%）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F53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489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011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8AE1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FDF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6A6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44D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6DFB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59659">
            <w:pPr>
              <w:jc w:val="center"/>
            </w:pPr>
          </w:p>
        </w:tc>
      </w:tr>
      <w:tr w14:paraId="15445E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BE0A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CCD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62C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82EBB">
            <w:pPr>
              <w:jc w:val="center"/>
            </w:pPr>
            <w:r>
              <w:rPr>
                <w:rFonts w:ascii="宋体" w:hAnsi="宋体" w:eastAsia="宋体"/>
                <w:sz w:val="16"/>
              </w:rPr>
              <w:t>项目改造完成合格率（%）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C39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B34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131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7819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FEC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E1B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9DD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FCDB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308D4">
            <w:pPr>
              <w:jc w:val="center"/>
            </w:pPr>
          </w:p>
        </w:tc>
      </w:tr>
      <w:tr w14:paraId="5A9909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598E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E4D6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3BA98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D1CC9">
            <w:pPr>
              <w:jc w:val="center"/>
            </w:pPr>
            <w:r>
              <w:rPr>
                <w:rFonts w:ascii="宋体" w:hAnsi="宋体" w:eastAsia="宋体"/>
                <w:sz w:val="16"/>
              </w:rPr>
              <w:t>资金投入及时率（%）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C2F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03D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11B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0A2E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AD5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732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4E4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2994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9E41C">
            <w:pPr>
              <w:jc w:val="center"/>
            </w:pPr>
          </w:p>
        </w:tc>
      </w:tr>
      <w:tr w14:paraId="67E0A3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630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3A86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24A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0EF96">
            <w:pPr>
              <w:jc w:val="center"/>
            </w:pPr>
            <w:r>
              <w:rPr>
                <w:rFonts w:ascii="宋体" w:hAnsi="宋体" w:eastAsia="宋体"/>
                <w:sz w:val="16"/>
              </w:rPr>
              <w:t>走访慰问困难群众及时率（%）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F5A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DAC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524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596F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D63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BFB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B43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55A2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A7AC0">
            <w:pPr>
              <w:jc w:val="center"/>
            </w:pPr>
          </w:p>
        </w:tc>
      </w:tr>
      <w:tr w14:paraId="4181BA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4C7B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51F08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DBF5C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BBEA0">
            <w:pPr>
              <w:jc w:val="center"/>
            </w:pPr>
            <w:r>
              <w:rPr>
                <w:rFonts w:ascii="宋体" w:hAnsi="宋体" w:eastAsia="宋体"/>
                <w:sz w:val="16"/>
              </w:rPr>
              <w:t>公改厕经费（万元）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211B0">
            <w:pPr>
              <w:jc w:val="center"/>
            </w:pPr>
            <w:r>
              <w:rPr>
                <w:rFonts w:ascii="宋体" w:hAnsi="宋体" w:eastAsia="宋体"/>
                <w:sz w:val="16"/>
              </w:rPr>
              <w:t>&lt;=2.9万元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A70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86A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662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94B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70FB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0C9D9">
            <w:pPr>
              <w:jc w:val="center"/>
            </w:pPr>
            <w:r>
              <w:rPr>
                <w:rFonts w:ascii="宋体" w:hAnsi="宋体" w:eastAsia="宋体"/>
                <w:sz w:val="16"/>
              </w:rPr>
              <w:t>=2.9万元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A78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AAF16">
            <w:pPr>
              <w:jc w:val="center"/>
            </w:pPr>
          </w:p>
        </w:tc>
      </w:tr>
      <w:tr w14:paraId="633661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088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7B4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2AF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4B099">
            <w:pPr>
              <w:jc w:val="center"/>
            </w:pPr>
            <w:r>
              <w:rPr>
                <w:rFonts w:ascii="宋体" w:hAnsi="宋体" w:eastAsia="宋体"/>
                <w:sz w:val="16"/>
              </w:rPr>
              <w:t>走访慰问支出（万元）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1A2F9">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5DE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89A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69B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DA0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938E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9417F">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1AD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CD154">
            <w:pPr>
              <w:jc w:val="center"/>
            </w:pPr>
          </w:p>
        </w:tc>
      </w:tr>
      <w:tr w14:paraId="22AAB2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C84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8579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C59C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745F2">
            <w:pPr>
              <w:jc w:val="center"/>
            </w:pPr>
            <w:r>
              <w:rPr>
                <w:rFonts w:ascii="宋体" w:hAnsi="宋体" w:eastAsia="宋体"/>
                <w:sz w:val="16"/>
              </w:rPr>
              <w:t>提高当地群众幸福感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03429">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CAE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0A0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5A8F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EC07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F18D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904FA">
            <w:pPr>
              <w:jc w:val="center"/>
            </w:pPr>
            <w:r>
              <w:rPr>
                <w:rFonts w:ascii="宋体" w:hAnsi="宋体" w:eastAsia="宋体"/>
                <w:sz w:val="16"/>
              </w:rPr>
              <w:t>持续影响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4A55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598AD">
            <w:pPr>
              <w:jc w:val="center"/>
            </w:pPr>
          </w:p>
        </w:tc>
      </w:tr>
      <w:tr w14:paraId="27A5F3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EFA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B7BB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3DB9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7AB66">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C866F">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17D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E9A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A05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E6F9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E50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AEE9F">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57C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BB791">
            <w:pPr>
              <w:jc w:val="center"/>
            </w:pPr>
          </w:p>
        </w:tc>
      </w:tr>
      <w:tr w14:paraId="77BF1B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2C94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6AAD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0D2B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A2F6FA">
            <w:pPr>
              <w:jc w:val="center"/>
            </w:pPr>
            <w:r>
              <w:rPr>
                <w:rFonts w:ascii="宋体" w:hAnsi="宋体" w:eastAsia="宋体"/>
                <w:sz w:val="16"/>
              </w:rPr>
              <w:t>100分</w:t>
            </w:r>
          </w:p>
        </w:tc>
      </w:tr>
    </w:tbl>
    <w:p w14:paraId="3B0523D1">
      <w:r>
        <w:br w:type="page"/>
      </w:r>
    </w:p>
    <w:p w14:paraId="389F2A28">
      <w:pPr>
        <w:spacing w:line="640" w:lineRule="exact"/>
        <w:ind w:firstLine="640"/>
        <w:jc w:val="both"/>
        <w:outlineLvl w:val="2"/>
      </w:pPr>
      <w:r>
        <w:rPr>
          <w:rFonts w:ascii="黑体" w:hAnsi="黑体" w:eastAsia="黑体"/>
          <w:sz w:val="32"/>
        </w:rPr>
        <w:t>十二、其他需说明的事项</w:t>
      </w:r>
    </w:p>
    <w:p w14:paraId="1ACB5523">
      <w:pPr>
        <w:spacing w:line="580" w:lineRule="exact"/>
        <w:ind w:firstLine="640"/>
        <w:jc w:val="both"/>
      </w:pPr>
      <w:r>
        <w:rPr>
          <w:rFonts w:ascii="仿宋_GB2312" w:hAnsi="仿宋_GB2312" w:eastAsia="仿宋_GB2312"/>
          <w:b w:val="0"/>
          <w:sz w:val="32"/>
        </w:rPr>
        <w:t>本单位无其他需说明的事项。</w:t>
      </w:r>
    </w:p>
    <w:p w14:paraId="6F70C1CD">
      <w:r>
        <w:br w:type="page"/>
      </w:r>
    </w:p>
    <w:p w14:paraId="0E72B139">
      <w:pPr>
        <w:spacing w:line="240" w:lineRule="auto"/>
        <w:jc w:val="center"/>
        <w:outlineLvl w:val="1"/>
      </w:pPr>
      <w:r>
        <w:rPr>
          <w:rFonts w:ascii="黑体" w:hAnsi="黑体" w:eastAsia="黑体"/>
          <w:sz w:val="32"/>
        </w:rPr>
        <w:t>第三部分 专业名词解释</w:t>
      </w:r>
    </w:p>
    <w:p w14:paraId="7F6D20D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DE3A9B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FCC9FD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30710C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82FB24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03F358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7E0C15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82F225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C8623D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98C733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9524C0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68E552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DAA9C9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E5B1A6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C6E1A62">
      <w:r>
        <w:br w:type="page"/>
      </w:r>
    </w:p>
    <w:p w14:paraId="5A6056CD">
      <w:pPr>
        <w:spacing w:line="240" w:lineRule="auto"/>
        <w:jc w:val="center"/>
        <w:outlineLvl w:val="1"/>
      </w:pPr>
      <w:r>
        <w:rPr>
          <w:rFonts w:ascii="黑体" w:hAnsi="黑体" w:eastAsia="黑体"/>
          <w:sz w:val="32"/>
        </w:rPr>
        <w:t>第四部分 部门决算报表（见附表）</w:t>
      </w:r>
    </w:p>
    <w:p w14:paraId="4C78448B">
      <w:pPr>
        <w:spacing w:line="240" w:lineRule="auto"/>
        <w:ind w:firstLine="640"/>
        <w:jc w:val="both"/>
      </w:pPr>
      <w:r>
        <w:rPr>
          <w:rFonts w:ascii="仿宋_GB2312" w:hAnsi="仿宋_GB2312" w:eastAsia="仿宋_GB2312"/>
          <w:b w:val="0"/>
          <w:sz w:val="32"/>
        </w:rPr>
        <w:t>一、《收入支出决算总表》</w:t>
      </w:r>
    </w:p>
    <w:p w14:paraId="54F1C09C">
      <w:pPr>
        <w:spacing w:line="240" w:lineRule="auto"/>
        <w:ind w:firstLine="640"/>
        <w:jc w:val="both"/>
      </w:pPr>
      <w:r>
        <w:rPr>
          <w:rFonts w:ascii="仿宋_GB2312" w:hAnsi="仿宋_GB2312" w:eastAsia="仿宋_GB2312"/>
          <w:b w:val="0"/>
          <w:sz w:val="32"/>
        </w:rPr>
        <w:t>二、《收入决算表》</w:t>
      </w:r>
    </w:p>
    <w:p w14:paraId="39E5BB4A">
      <w:pPr>
        <w:spacing w:line="240" w:lineRule="auto"/>
        <w:ind w:firstLine="640"/>
        <w:jc w:val="both"/>
      </w:pPr>
      <w:r>
        <w:rPr>
          <w:rFonts w:ascii="仿宋_GB2312" w:hAnsi="仿宋_GB2312" w:eastAsia="仿宋_GB2312"/>
          <w:b w:val="0"/>
          <w:sz w:val="32"/>
        </w:rPr>
        <w:t>三、《支出决算表》</w:t>
      </w:r>
    </w:p>
    <w:p w14:paraId="4B091DE3">
      <w:pPr>
        <w:spacing w:line="240" w:lineRule="auto"/>
        <w:ind w:firstLine="640"/>
        <w:jc w:val="both"/>
      </w:pPr>
      <w:r>
        <w:rPr>
          <w:rFonts w:ascii="仿宋_GB2312" w:hAnsi="仿宋_GB2312" w:eastAsia="仿宋_GB2312"/>
          <w:b w:val="0"/>
          <w:sz w:val="32"/>
        </w:rPr>
        <w:t>四、《财政拨款收入支出决算总表》</w:t>
      </w:r>
    </w:p>
    <w:p w14:paraId="1046A132">
      <w:pPr>
        <w:spacing w:line="240" w:lineRule="auto"/>
        <w:ind w:firstLine="640"/>
        <w:jc w:val="both"/>
      </w:pPr>
      <w:r>
        <w:rPr>
          <w:rFonts w:ascii="仿宋_GB2312" w:hAnsi="仿宋_GB2312" w:eastAsia="仿宋_GB2312"/>
          <w:b w:val="0"/>
          <w:sz w:val="32"/>
        </w:rPr>
        <w:t>五、《一般公共预算财政拨款支出决算表》</w:t>
      </w:r>
    </w:p>
    <w:p w14:paraId="201D3237">
      <w:pPr>
        <w:spacing w:line="240" w:lineRule="auto"/>
        <w:ind w:firstLine="640"/>
        <w:jc w:val="both"/>
      </w:pPr>
      <w:r>
        <w:rPr>
          <w:rFonts w:ascii="仿宋_GB2312" w:hAnsi="仿宋_GB2312" w:eastAsia="仿宋_GB2312"/>
          <w:b w:val="0"/>
          <w:sz w:val="32"/>
        </w:rPr>
        <w:t>六、《一般公共预算财政拨款基本支出决算表》</w:t>
      </w:r>
    </w:p>
    <w:p w14:paraId="25DC4BF7">
      <w:pPr>
        <w:spacing w:line="240" w:lineRule="auto"/>
        <w:ind w:firstLine="640"/>
        <w:jc w:val="both"/>
      </w:pPr>
      <w:r>
        <w:rPr>
          <w:rFonts w:ascii="仿宋_GB2312" w:hAnsi="仿宋_GB2312" w:eastAsia="仿宋_GB2312"/>
          <w:b w:val="0"/>
          <w:sz w:val="32"/>
        </w:rPr>
        <w:t>七、《政府性基金预算财政拨款收入支出决算表》</w:t>
      </w:r>
    </w:p>
    <w:p w14:paraId="5EC3DF46">
      <w:pPr>
        <w:spacing w:line="240" w:lineRule="auto"/>
        <w:ind w:firstLine="640"/>
        <w:jc w:val="both"/>
      </w:pPr>
      <w:r>
        <w:rPr>
          <w:rFonts w:ascii="仿宋_GB2312" w:hAnsi="仿宋_GB2312" w:eastAsia="仿宋_GB2312"/>
          <w:b w:val="0"/>
          <w:sz w:val="32"/>
        </w:rPr>
        <w:t>八、《国有资本经营预算财政拨款收入支出决算表》</w:t>
      </w:r>
    </w:p>
    <w:p w14:paraId="6F776296">
      <w:pPr>
        <w:spacing w:line="240" w:lineRule="auto"/>
        <w:ind w:firstLine="640"/>
        <w:jc w:val="both"/>
      </w:pPr>
      <w:r>
        <w:rPr>
          <w:rFonts w:ascii="仿宋_GB2312" w:hAnsi="仿宋_GB2312" w:eastAsia="仿宋_GB2312"/>
          <w:b w:val="0"/>
          <w:sz w:val="32"/>
        </w:rPr>
        <w:t>九、《财政拨款“三公”经费支出决算表》</w:t>
      </w:r>
    </w:p>
    <w:p w14:paraId="5B084091">
      <w:pPr>
        <w:spacing w:line="240" w:lineRule="auto"/>
        <w:ind w:firstLine="640"/>
        <w:jc w:val="both"/>
      </w:pPr>
    </w:p>
    <w:p w14:paraId="4F485D1F">
      <w:pPr>
        <w:spacing w:line="240" w:lineRule="auto"/>
        <w:ind w:firstLine="640"/>
        <w:jc w:val="both"/>
      </w:pPr>
    </w:p>
    <w:p w14:paraId="12191907">
      <w:pPr>
        <w:spacing w:line="240" w:lineRule="auto"/>
        <w:ind w:firstLine="640"/>
        <w:jc w:val="both"/>
      </w:pPr>
    </w:p>
    <w:p w14:paraId="2FC100CC">
      <w:pPr>
        <w:spacing w:line="240" w:lineRule="auto"/>
        <w:ind w:firstLine="640"/>
        <w:jc w:val="both"/>
      </w:pPr>
    </w:p>
    <w:p w14:paraId="42F43DF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55C4A9F-F7CD-4934-AC0B-40B70223941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仿宋_GB2312"/>
    <w:panose1 w:val="020B0604020202020204"/>
    <w:charset w:val="86"/>
    <w:family w:val="modern"/>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embedRegular r:id="rId2" w:fontKey="{C8F565ED-509E-4801-A8FE-7EE533DADE44}"/>
  </w:font>
  <w:font w:name="楷体_GB2312">
    <w:panose1 w:val="02010609030101010101"/>
    <w:charset w:val="86"/>
    <w:family w:val="auto"/>
    <w:pitch w:val="default"/>
    <w:sig w:usb0="00000001" w:usb1="080E0000" w:usb2="00000000" w:usb3="00000000" w:csb0="00040000" w:csb1="00000000"/>
    <w:embedRegular r:id="rId3" w:fontKey="{6C91C1B0-EFFC-428A-9944-C70497D4E969}"/>
  </w:font>
  <w:font w:name="方正小标宋_GBK">
    <w:panose1 w:val="02000000000000000000"/>
    <w:charset w:val="86"/>
    <w:family w:val="script"/>
    <w:pitch w:val="default"/>
    <w:sig w:usb0="A00002BF" w:usb1="38CF7CFA" w:usb2="00082016" w:usb3="00000000" w:csb0="00040001" w:csb1="00000000"/>
    <w:embedRegular r:id="rId4" w:fontKey="{9F5EE90B-ED91-4EEF-B0C3-D2E110BEAA1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88F6D48"/>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167473"/>
    <w:rsid w:val="60DE4D57"/>
    <w:rsid w:val="613409CB"/>
    <w:rsid w:val="61A46A97"/>
    <w:rsid w:val="62DD7D21"/>
    <w:rsid w:val="65D97752"/>
    <w:rsid w:val="664C500C"/>
    <w:rsid w:val="6711570E"/>
    <w:rsid w:val="67D111AB"/>
    <w:rsid w:val="68DB0208"/>
    <w:rsid w:val="68DF36D5"/>
    <w:rsid w:val="69846A0E"/>
    <w:rsid w:val="69AD798C"/>
    <w:rsid w:val="6A7E447E"/>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FCF388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6004</Words>
  <Characters>6852</Characters>
  <Lines>0</Lines>
  <Paragraphs>0</Paragraphs>
  <TotalTime>0</TotalTime>
  <ScaleCrop>false</ScaleCrop>
  <LinksUpToDate>false</LinksUpToDate>
  <CharactersWithSpaces>6860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2025-09-02T04:11:32Z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eyJoZGlkIjoiNTBiYjFiYzY0OWM2ODlhYjA1NDAwODJkOGMwZGNkYTMiLCJ1c2VySWQiOiIyNTk4NTcxMjUifQ==</vt:lpwstr>
  </property>
</Properties>
</file>