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9DA3DE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克孜勒苏柯尔克孜自治州档案局2024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A28B68">
      <w:r>
        <w:br w:type="page"/>
      </w:r>
    </w:p>
    <w:p w14:paraId="0F329E5D">
      <w:pPr>
        <w:spacing w:line="640" w:lineRule="exact"/>
        <w:jc w:val="center"/>
        <w:outlineLvl w:val="1"/>
      </w:pPr>
      <w:r>
        <w:rPr>
          <w:rFonts w:ascii="黑体" w:hAnsi="黑体" w:eastAsia="黑体"/>
          <w:sz w:val="32"/>
        </w:rPr>
        <w:t>第一部分 单位概况</w:t>
      </w:r>
    </w:p>
    <w:p w14:paraId="7EF81FD9">
      <w:pPr>
        <w:spacing w:line="640" w:lineRule="exact"/>
        <w:ind w:firstLine="640"/>
        <w:jc w:val="both"/>
        <w:outlineLvl w:val="2"/>
      </w:pPr>
      <w:r>
        <w:rPr>
          <w:rFonts w:ascii="黑体" w:hAnsi="黑体" w:eastAsia="黑体"/>
          <w:sz w:val="32"/>
        </w:rPr>
        <w:t>一、主要职能</w:t>
      </w:r>
    </w:p>
    <w:p w14:paraId="6A60BF89">
      <w:pPr>
        <w:spacing w:line="580" w:lineRule="exact"/>
        <w:ind w:firstLine="640"/>
        <w:jc w:val="both"/>
      </w:pPr>
      <w:r>
        <w:rPr>
          <w:rFonts w:ascii="仿宋_GB2312" w:hAnsi="仿宋_GB2312" w:eastAsia="仿宋_GB2312"/>
          <w:sz w:val="32"/>
        </w:rPr>
        <w:t>依据党和国家的方针、政策、法律、法规，对全州档案工作实行统筹规划、宏观管理；拟定自治州档案工作规章，依法组织、指导、检查、监督、协调自治州党政机关、军队、群众团体、企业、事业单位和各县、市的档案业务工作。保管、接收、征集、整理全州单位的重要档案资料，名人、实物和社会散落的一级摄影、摄像、录像及各类声像资料，做好各门类和载体档案的科学化和现代化管理工作；负责档案史料的编研出版、档案的提供利用工作。负责全州档案信息化建设的宏观规划和指导，档案数字化、馆藏档案计算机管理系统的维护、更新、网络保密工作。</w:t>
      </w:r>
    </w:p>
    <w:p w14:paraId="65D2FC2B">
      <w:pPr>
        <w:spacing w:line="640" w:lineRule="exact"/>
        <w:ind w:firstLine="640"/>
        <w:jc w:val="both"/>
        <w:outlineLvl w:val="2"/>
      </w:pPr>
      <w:r>
        <w:rPr>
          <w:rFonts w:ascii="黑体" w:hAnsi="黑体" w:eastAsia="黑体"/>
          <w:sz w:val="32"/>
        </w:rPr>
        <w:t>二、机构设置及人员情况</w:t>
      </w:r>
    </w:p>
    <w:p w14:paraId="22C6E721">
      <w:pPr>
        <w:spacing w:line="580" w:lineRule="exact"/>
        <w:ind w:firstLine="640"/>
        <w:jc w:val="both"/>
      </w:pPr>
      <w:r>
        <w:rPr>
          <w:rFonts w:ascii="仿宋_GB2312" w:hAnsi="仿宋_GB2312" w:eastAsia="仿宋_GB2312"/>
          <w:sz w:val="32"/>
        </w:rPr>
        <w:t>克孜勒苏柯尔克孜自治州档案局2024年度，实有人数33人，其中：在职人员18人，增加1人；离休人员0人，增加0人；退休人员15人,增加1人。</w:t>
      </w:r>
    </w:p>
    <w:p w14:paraId="0093758F">
      <w:pPr>
        <w:spacing w:line="580" w:lineRule="exact"/>
        <w:ind w:firstLine="640"/>
        <w:jc w:val="both"/>
      </w:pPr>
      <w:r>
        <w:rPr>
          <w:rFonts w:ascii="仿宋_GB2312" w:hAnsi="仿宋_GB2312" w:eastAsia="仿宋_GB2312"/>
          <w:sz w:val="32"/>
        </w:rPr>
        <w:t>克孜勒苏柯尔克孜自治州档案局无下属预算单位，下设5个科室，分别是：办公室、征集接收科、编研宣传科、保管利用科、电子信息化科。</w:t>
      </w:r>
    </w:p>
    <w:p w14:paraId="3CBCE885">
      <w:r>
        <w:br w:type="page"/>
      </w:r>
    </w:p>
    <w:p w14:paraId="1152D00D">
      <w:pPr>
        <w:spacing w:line="240" w:lineRule="auto"/>
        <w:jc w:val="center"/>
        <w:outlineLvl w:val="1"/>
      </w:pPr>
      <w:r>
        <w:rPr>
          <w:rFonts w:ascii="黑体" w:hAnsi="黑体" w:eastAsia="黑体"/>
          <w:sz w:val="32"/>
        </w:rPr>
        <w:t>第二部分 部门决算情况说明</w:t>
      </w:r>
    </w:p>
    <w:p w14:paraId="7C107BDD">
      <w:pPr>
        <w:spacing w:line="640" w:lineRule="exact"/>
        <w:ind w:firstLine="640"/>
        <w:jc w:val="both"/>
        <w:outlineLvl w:val="2"/>
      </w:pPr>
      <w:r>
        <w:rPr>
          <w:rFonts w:ascii="黑体" w:hAnsi="黑体" w:eastAsia="黑体"/>
          <w:sz w:val="32"/>
        </w:rPr>
        <w:t>一、收入支出决算总体情况说明</w:t>
      </w:r>
    </w:p>
    <w:p w14:paraId="7D717B71">
      <w:pPr>
        <w:spacing w:line="580" w:lineRule="exact"/>
        <w:ind w:firstLine="640"/>
        <w:jc w:val="both"/>
      </w:pPr>
      <w:r>
        <w:rPr>
          <w:rFonts w:ascii="仿宋_GB2312" w:hAnsi="仿宋_GB2312" w:eastAsia="仿宋_GB2312"/>
          <w:b/>
          <w:sz w:val="32"/>
        </w:rPr>
        <w:t>2024年度收入总计407.57万元，</w:t>
      </w:r>
      <w:r>
        <w:rPr>
          <w:rFonts w:ascii="仿宋_GB2312" w:hAnsi="仿宋_GB2312" w:eastAsia="仿宋_GB2312"/>
          <w:b w:val="0"/>
          <w:sz w:val="32"/>
        </w:rPr>
        <w:t>其中：本年收入合计407.49万元，使用非财政拨款结余（含专用结余）0.00万元，年初结转和结余0.09万元。</w:t>
      </w:r>
    </w:p>
    <w:p w14:paraId="7C4B091E">
      <w:pPr>
        <w:spacing w:line="580" w:lineRule="exact"/>
        <w:ind w:firstLine="640"/>
        <w:jc w:val="both"/>
      </w:pPr>
      <w:r>
        <w:rPr>
          <w:rFonts w:ascii="仿宋_GB2312" w:hAnsi="仿宋_GB2312" w:eastAsia="仿宋_GB2312"/>
          <w:b/>
          <w:sz w:val="32"/>
        </w:rPr>
        <w:t>2024年度支出总计407.57万元，</w:t>
      </w:r>
      <w:r>
        <w:rPr>
          <w:rFonts w:ascii="仿宋_GB2312" w:hAnsi="仿宋_GB2312" w:eastAsia="仿宋_GB2312"/>
          <w:b w:val="0"/>
          <w:sz w:val="32"/>
        </w:rPr>
        <w:t>其中：本年支出合计405.58万元，结余分配0.00万元，年末结转和结余2.00万元。</w:t>
      </w:r>
    </w:p>
    <w:p w14:paraId="63123064">
      <w:pPr>
        <w:spacing w:line="580" w:lineRule="exact"/>
        <w:ind w:firstLine="640"/>
        <w:jc w:val="both"/>
      </w:pPr>
      <w:r>
        <w:rPr>
          <w:rFonts w:ascii="仿宋_GB2312" w:hAnsi="仿宋_GB2312" w:eastAsia="仿宋_GB2312"/>
          <w:b w:val="0"/>
          <w:sz w:val="32"/>
        </w:rPr>
        <w:t>收入支出总体与上年相比，增加26.39万元，增长6.92%，主要原因是：本年在职人员增加，在职人员工资调增、社保、公积金基数调增，人员经费增加；本年增加援疆资金石榴一家亲项目和州机关工委拨党建奖励资金。</w:t>
      </w:r>
    </w:p>
    <w:p w14:paraId="41618485">
      <w:pPr>
        <w:spacing w:line="640" w:lineRule="exact"/>
        <w:ind w:firstLine="640"/>
        <w:jc w:val="both"/>
        <w:outlineLvl w:val="2"/>
      </w:pPr>
      <w:r>
        <w:rPr>
          <w:rFonts w:ascii="黑体" w:hAnsi="黑体" w:eastAsia="黑体"/>
          <w:sz w:val="32"/>
        </w:rPr>
        <w:t>二、收入决算情况说明</w:t>
      </w:r>
    </w:p>
    <w:p w14:paraId="4AE711E7">
      <w:pPr>
        <w:spacing w:line="580" w:lineRule="exact"/>
        <w:ind w:firstLine="640"/>
        <w:jc w:val="both"/>
      </w:pPr>
      <w:r>
        <w:rPr>
          <w:rFonts w:ascii="仿宋_GB2312" w:hAnsi="仿宋_GB2312" w:eastAsia="仿宋_GB2312"/>
          <w:b/>
          <w:sz w:val="32"/>
        </w:rPr>
        <w:t>本年收入407.49万元，</w:t>
      </w:r>
      <w:r>
        <w:rPr>
          <w:rFonts w:ascii="仿宋_GB2312" w:hAnsi="仿宋_GB2312" w:eastAsia="仿宋_GB2312"/>
          <w:b w:val="0"/>
          <w:sz w:val="32"/>
        </w:rPr>
        <w:t>其中：财政拨款收入381.96万元，占93.73%；上级补助收入0.00万元，占0.00%；事业收入0.00万元，占0.00%；经营收入0.00万元，占0.00%；附属单位上缴收入0.00万元，占0.00%；其他收入25.52万元，占6.26%。</w:t>
      </w:r>
    </w:p>
    <w:p w14:paraId="2C6DDCB5">
      <w:pPr>
        <w:spacing w:line="640" w:lineRule="exact"/>
        <w:ind w:firstLine="640"/>
        <w:jc w:val="both"/>
        <w:outlineLvl w:val="2"/>
      </w:pPr>
      <w:r>
        <w:rPr>
          <w:rFonts w:ascii="黑体" w:hAnsi="黑体" w:eastAsia="黑体"/>
          <w:sz w:val="32"/>
        </w:rPr>
        <w:t>三、支出决算情况说明</w:t>
      </w:r>
    </w:p>
    <w:p w14:paraId="64D01EC4">
      <w:pPr>
        <w:spacing w:line="580" w:lineRule="exact"/>
        <w:ind w:firstLine="640"/>
        <w:jc w:val="both"/>
      </w:pPr>
      <w:r>
        <w:rPr>
          <w:rFonts w:ascii="仿宋_GB2312" w:hAnsi="仿宋_GB2312" w:eastAsia="仿宋_GB2312"/>
          <w:b/>
          <w:sz w:val="32"/>
        </w:rPr>
        <w:t>本年支出405.58万元，</w:t>
      </w:r>
      <w:r>
        <w:rPr>
          <w:rFonts w:ascii="仿宋_GB2312" w:hAnsi="仿宋_GB2312" w:eastAsia="仿宋_GB2312"/>
          <w:b w:val="0"/>
          <w:sz w:val="32"/>
        </w:rPr>
        <w:t>其中：基本支出356.96万元，占88.01%；项目支出48.61万元，占11.99%；上缴上级支出0.00万元，占0.00%；经营支出0.00万元，占0.00%；对附属单位补助支出0.00万元，占0.00%。</w:t>
      </w:r>
    </w:p>
    <w:p w14:paraId="765D5323">
      <w:pPr>
        <w:spacing w:line="640" w:lineRule="exact"/>
        <w:ind w:firstLine="640"/>
        <w:jc w:val="both"/>
        <w:outlineLvl w:val="2"/>
      </w:pPr>
      <w:r>
        <w:rPr>
          <w:rFonts w:ascii="黑体" w:hAnsi="黑体" w:eastAsia="黑体"/>
          <w:sz w:val="32"/>
        </w:rPr>
        <w:t>四、财政拨款收入支出决算总体情况说明</w:t>
      </w:r>
    </w:p>
    <w:p w14:paraId="00E87EAD">
      <w:pPr>
        <w:spacing w:line="580" w:lineRule="exact"/>
        <w:ind w:firstLine="640"/>
        <w:jc w:val="both"/>
      </w:pPr>
      <w:r>
        <w:rPr>
          <w:rFonts w:ascii="仿宋_GB2312" w:hAnsi="仿宋_GB2312" w:eastAsia="仿宋_GB2312"/>
          <w:b/>
          <w:sz w:val="32"/>
        </w:rPr>
        <w:t>2024年度财政拨款收入总计381.96万元，</w:t>
      </w:r>
      <w:r>
        <w:rPr>
          <w:rFonts w:ascii="仿宋_GB2312" w:hAnsi="仿宋_GB2312" w:eastAsia="仿宋_GB2312"/>
          <w:b w:val="0"/>
          <w:sz w:val="32"/>
        </w:rPr>
        <w:t>其中：年初财政拨款结转和结余0.00万元，本年财政拨款收入381.96万元。</w:t>
      </w:r>
      <w:r>
        <w:rPr>
          <w:rFonts w:ascii="仿宋_GB2312" w:hAnsi="仿宋_GB2312" w:eastAsia="仿宋_GB2312"/>
          <w:b/>
          <w:sz w:val="32"/>
        </w:rPr>
        <w:t>财政拨款支出总计381.96万元，</w:t>
      </w:r>
      <w:r>
        <w:rPr>
          <w:rFonts w:ascii="仿宋_GB2312" w:hAnsi="仿宋_GB2312" w:eastAsia="仿宋_GB2312"/>
          <w:b w:val="0"/>
          <w:sz w:val="32"/>
        </w:rPr>
        <w:t>其中：年末财政拨款结转和结余0.00万元，本年财政拨款支出381.96万元。</w:t>
      </w:r>
    </w:p>
    <w:p w14:paraId="692917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增加0.79万元，增长0.21%，主要原因是：2024年4月我单位新调入一人，故增加人员经费。</w:t>
      </w:r>
      <w:r>
        <w:rPr>
          <w:rFonts w:ascii="仿宋_GB2312" w:hAnsi="仿宋_GB2312" w:eastAsia="仿宋_GB2312"/>
          <w:b/>
          <w:sz w:val="32"/>
        </w:rPr>
        <w:t>与年初预算相比，</w:t>
      </w:r>
      <w:r>
        <w:rPr>
          <w:rFonts w:ascii="仿宋_GB2312" w:hAnsi="仿宋_GB2312" w:eastAsia="仿宋_GB2312"/>
          <w:b w:val="0"/>
          <w:sz w:val="32"/>
        </w:rPr>
        <w:t>年初预算数364.28万元，决算数381.96万元，预决算差异率4.85%，主要原因是：2024年4月我单位新调入一人，年中追加人员经费及人员工资、社保、公积金基数调增部分资金，导致预决算存在差异。</w:t>
      </w:r>
    </w:p>
    <w:p w14:paraId="06A65A3F">
      <w:pPr>
        <w:spacing w:line="640" w:lineRule="exact"/>
        <w:ind w:firstLine="640"/>
        <w:jc w:val="both"/>
        <w:outlineLvl w:val="2"/>
      </w:pPr>
      <w:r>
        <w:rPr>
          <w:rFonts w:ascii="黑体" w:hAnsi="黑体" w:eastAsia="黑体"/>
          <w:sz w:val="32"/>
        </w:rPr>
        <w:t>五、一般公共预算财政拨款支出决算情况说明</w:t>
      </w:r>
    </w:p>
    <w:p w14:paraId="750F6D99">
      <w:pPr>
        <w:spacing w:line="640" w:lineRule="exact"/>
        <w:ind w:firstLine="640"/>
        <w:jc w:val="both"/>
        <w:outlineLvl w:val="3"/>
      </w:pPr>
      <w:r>
        <w:rPr>
          <w:rFonts w:ascii="楷体_GB2312" w:hAnsi="楷体_GB2312" w:eastAsia="楷体_GB2312"/>
          <w:b/>
          <w:sz w:val="32"/>
        </w:rPr>
        <w:t>（一）一般公共预算财政拨款支出决算总体情况</w:t>
      </w:r>
    </w:p>
    <w:p w14:paraId="1C956589">
      <w:pPr>
        <w:spacing w:line="580" w:lineRule="exact"/>
        <w:ind w:firstLine="640"/>
        <w:jc w:val="both"/>
      </w:pPr>
      <w:r>
        <w:rPr>
          <w:rFonts w:ascii="仿宋_GB2312" w:hAnsi="仿宋_GB2312" w:eastAsia="仿宋_GB2312"/>
          <w:b/>
          <w:sz w:val="32"/>
        </w:rPr>
        <w:t>2024年度一般公共预算财政拨款支出381.96万元，</w:t>
      </w:r>
      <w:r>
        <w:rPr>
          <w:rFonts w:ascii="仿宋_GB2312" w:hAnsi="仿宋_GB2312" w:eastAsia="仿宋_GB2312"/>
          <w:b w:val="0"/>
          <w:sz w:val="32"/>
        </w:rPr>
        <w:t>占本年支出合计的94.18%。</w:t>
      </w:r>
      <w:r>
        <w:rPr>
          <w:rFonts w:ascii="仿宋_GB2312" w:hAnsi="仿宋_GB2312" w:eastAsia="仿宋_GB2312"/>
          <w:b/>
          <w:sz w:val="32"/>
        </w:rPr>
        <w:t>与上年相比，</w:t>
      </w:r>
      <w:r>
        <w:rPr>
          <w:rFonts w:ascii="仿宋_GB2312" w:hAnsi="仿宋_GB2312" w:eastAsia="仿宋_GB2312"/>
          <w:b w:val="0"/>
          <w:sz w:val="32"/>
        </w:rPr>
        <w:t>增加0.79万元，增长0.21%，主要原因是：2024年4月我单位新调入一人，故增加人员经费。</w:t>
      </w:r>
      <w:r>
        <w:rPr>
          <w:rFonts w:ascii="仿宋_GB2312" w:hAnsi="仿宋_GB2312" w:eastAsia="仿宋_GB2312"/>
          <w:b/>
          <w:sz w:val="32"/>
        </w:rPr>
        <w:t>与年初预算相比,</w:t>
      </w:r>
      <w:r>
        <w:rPr>
          <w:rFonts w:ascii="仿宋_GB2312" w:hAnsi="仿宋_GB2312" w:eastAsia="仿宋_GB2312"/>
          <w:b w:val="0"/>
          <w:sz w:val="32"/>
        </w:rPr>
        <w:t>年初预算数364.28万元，决算数381.96万元，预决算差异率4.85%，主要原因是：2024年4月我单位新调入一人，年中追加人员经费及人员工资、社保、公积金基数调增部分资金，导致预决算存在差异。</w:t>
      </w:r>
    </w:p>
    <w:p w14:paraId="2F882EE6">
      <w:pPr>
        <w:spacing w:line="640" w:lineRule="exact"/>
        <w:ind w:firstLine="640"/>
        <w:jc w:val="both"/>
        <w:outlineLvl w:val="3"/>
      </w:pPr>
      <w:r>
        <w:rPr>
          <w:rFonts w:ascii="楷体_GB2312" w:hAnsi="楷体_GB2312" w:eastAsia="楷体_GB2312"/>
          <w:b/>
          <w:sz w:val="32"/>
        </w:rPr>
        <w:t>（二）一般公共预算财政拨款支出决算结构情况</w:t>
      </w:r>
    </w:p>
    <w:p w14:paraId="3ADF4055">
      <w:pPr>
        <w:spacing w:line="580" w:lineRule="exact"/>
        <w:ind w:firstLine="640"/>
        <w:jc w:val="both"/>
      </w:pPr>
      <w:r>
        <w:rPr>
          <w:rFonts w:ascii="仿宋_GB2312" w:hAnsi="仿宋_GB2312" w:eastAsia="仿宋_GB2312"/>
          <w:b w:val="0"/>
          <w:sz w:val="32"/>
        </w:rPr>
        <w:t>1.一般公共服务支出(类)323.72万元,占84.75%。</w:t>
      </w:r>
    </w:p>
    <w:p w14:paraId="2A70C5E5">
      <w:pPr>
        <w:spacing w:line="580" w:lineRule="exact"/>
        <w:ind w:firstLine="640"/>
        <w:jc w:val="both"/>
      </w:pPr>
      <w:r>
        <w:rPr>
          <w:rFonts w:ascii="仿宋_GB2312" w:hAnsi="仿宋_GB2312" w:eastAsia="仿宋_GB2312"/>
          <w:b w:val="0"/>
          <w:sz w:val="32"/>
        </w:rPr>
        <w:t>2.社会保障和就业支出(类)58.25万元,占15.25%。</w:t>
      </w:r>
    </w:p>
    <w:p w14:paraId="57E816AE">
      <w:pPr>
        <w:spacing w:line="640" w:lineRule="exact"/>
        <w:ind w:firstLine="640"/>
        <w:jc w:val="both"/>
        <w:outlineLvl w:val="3"/>
      </w:pPr>
      <w:r>
        <w:rPr>
          <w:rFonts w:ascii="楷体_GB2312" w:hAnsi="楷体_GB2312" w:eastAsia="楷体_GB2312"/>
          <w:b/>
          <w:sz w:val="32"/>
        </w:rPr>
        <w:t>（三）一般公共预算财政拨款支出决算具体情况</w:t>
      </w:r>
    </w:p>
    <w:p w14:paraId="11CD1017">
      <w:pPr>
        <w:spacing w:line="580" w:lineRule="exact"/>
        <w:ind w:firstLine="640"/>
        <w:jc w:val="both"/>
      </w:pPr>
      <w:r>
        <w:rPr>
          <w:rFonts w:ascii="仿宋_GB2312" w:hAnsi="仿宋_GB2312" w:eastAsia="仿宋_GB2312"/>
          <w:b w:val="0"/>
          <w:sz w:val="32"/>
        </w:rPr>
        <w:t>1.一般公共服务支出(类)档案事务(款)行政运行(项):支出决算数为298.72万元，比上年决算增加36.65万元，增长13.98%,主要原因是：2024年4月我单位新调入一人，本年在职人员工资调增，导致相关人员经费较上年有所增加。</w:t>
      </w:r>
    </w:p>
    <w:p w14:paraId="2852528E">
      <w:pPr>
        <w:spacing w:line="580" w:lineRule="exact"/>
        <w:ind w:firstLine="640"/>
        <w:jc w:val="both"/>
      </w:pPr>
      <w:r>
        <w:rPr>
          <w:rFonts w:ascii="仿宋_GB2312" w:hAnsi="仿宋_GB2312" w:eastAsia="仿宋_GB2312"/>
          <w:b w:val="0"/>
          <w:sz w:val="32"/>
        </w:rPr>
        <w:t>2.一般公共服务支出(类)档案事务(款)其他档案事务支出(项):支出决算数为25.00万元，比上年决算减少47.20万元，下降65.37%,主要原因是：本年减少档案数字化项目、机房专用UPS不间断电源及环境动态监测项目、七氟丙烷灭火装置项目经费。</w:t>
      </w:r>
    </w:p>
    <w:p w14:paraId="508C76C5">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3.社会保障和就业支出(类)行政事业单位养老支出(款)行政单位离退休(项):支出决算数为17.42万元，比上年决算增加3.28万元，增长23.20%,主要原因是：本年退休人员增加，退休费支出增加。</w:t>
      </w:r>
    </w:p>
    <w:p w14:paraId="54855F16">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4.社会保障和就业支出(类)行政事业单位养老支出(款)事业单位离退休(项):支出决算数为8.13万元，比上年决算增加1.24万元，增长18.00%,主要原因是：本年增加退休人员基础绩效奖，退休费支出增加。</w:t>
      </w:r>
    </w:p>
    <w:p w14:paraId="597D3A5D">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32.69万元，比上年决算增加6.82万元，增长26.36%,主要原因是：本年在职人员工资基数调增，养老缴费基数上涨，相应支出增加。</w:t>
      </w:r>
    </w:p>
    <w:p w14:paraId="10295F1A">
      <w:pPr>
        <w:spacing w:line="640" w:lineRule="exact"/>
        <w:ind w:firstLine="640"/>
        <w:jc w:val="both"/>
        <w:outlineLvl w:val="2"/>
      </w:pPr>
      <w:r>
        <w:rPr>
          <w:rFonts w:ascii="黑体" w:hAnsi="黑体" w:eastAsia="黑体"/>
          <w:sz w:val="32"/>
        </w:rPr>
        <w:t>六、一般公共预算财政拨款基本支出决算情况说明</w:t>
      </w:r>
    </w:p>
    <w:p w14:paraId="513B0378">
      <w:pPr>
        <w:spacing w:line="580" w:lineRule="exact"/>
        <w:ind w:firstLine="640"/>
        <w:jc w:val="both"/>
      </w:pPr>
      <w:r>
        <w:rPr>
          <w:rFonts w:ascii="仿宋_GB2312" w:hAnsi="仿宋_GB2312" w:eastAsia="仿宋_GB2312"/>
          <w:b w:val="0"/>
          <w:sz w:val="32"/>
        </w:rPr>
        <w:t>2024年度一般公共预算财政拨款基本支出356.96万元，其中：</w:t>
      </w:r>
      <w:r>
        <w:rPr>
          <w:rFonts w:ascii="仿宋_GB2312" w:hAnsi="仿宋_GB2312" w:eastAsia="仿宋_GB2312"/>
          <w:b/>
          <w:sz w:val="32"/>
        </w:rPr>
        <w:t>人员经费344.06万元，</w:t>
      </w:r>
      <w:r>
        <w:rPr>
          <w:rFonts w:ascii="仿宋_GB2312" w:hAnsi="仿宋_GB2312" w:eastAsia="仿宋_GB2312"/>
          <w:b w:val="0"/>
          <w:sz w:val="32"/>
        </w:rPr>
        <w:t>包括：基本工资、津贴补贴、奖金、机关事业单位基本养老保险缴费、职工基本医疗保险缴费、其他社会保障缴费、住房公积金、退休费、奖励金、其他对个人和家庭的补助。</w:t>
      </w:r>
    </w:p>
    <w:p w14:paraId="523BAACB">
      <w:pPr>
        <w:spacing w:line="580" w:lineRule="exact"/>
        <w:ind w:firstLine="640"/>
        <w:jc w:val="both"/>
      </w:pPr>
      <w:r>
        <w:rPr>
          <w:rFonts w:ascii="仿宋_GB2312" w:hAnsi="仿宋_GB2312" w:eastAsia="仿宋_GB2312"/>
          <w:b/>
          <w:sz w:val="32"/>
        </w:rPr>
        <w:t>公用经费12.90万元，</w:t>
      </w:r>
      <w:r>
        <w:rPr>
          <w:rFonts w:ascii="仿宋_GB2312" w:hAnsi="仿宋_GB2312" w:eastAsia="仿宋_GB2312"/>
          <w:b w:val="0"/>
          <w:sz w:val="32"/>
        </w:rPr>
        <w:t>包括：办公费、水费、电费、邮电费、差旅费、公务接待费、工会经费、福利费、公务用车运行维护费、其他商品和服务支出。</w:t>
      </w:r>
    </w:p>
    <w:p w14:paraId="4EFF8A44">
      <w:pPr>
        <w:spacing w:line="640" w:lineRule="exact"/>
        <w:ind w:firstLine="640"/>
        <w:jc w:val="both"/>
        <w:outlineLvl w:val="2"/>
      </w:pPr>
      <w:r>
        <w:rPr>
          <w:rFonts w:ascii="黑体" w:hAnsi="黑体" w:eastAsia="黑体"/>
          <w:sz w:val="32"/>
        </w:rPr>
        <w:t>七、政府性基金预算财政拨款收入支出决算情况说明</w:t>
      </w:r>
    </w:p>
    <w:p w14:paraId="06BFE0A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F9F5D7">
      <w:pPr>
        <w:spacing w:line="640" w:lineRule="exact"/>
        <w:ind w:firstLine="640"/>
        <w:jc w:val="both"/>
        <w:outlineLvl w:val="2"/>
      </w:pPr>
      <w:r>
        <w:rPr>
          <w:rFonts w:ascii="黑体" w:hAnsi="黑体" w:eastAsia="黑体"/>
          <w:sz w:val="32"/>
        </w:rPr>
        <w:t>八、国有资本经营预算财政拨款收入支出决算情况说明</w:t>
      </w:r>
    </w:p>
    <w:p w14:paraId="5A11AF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8840E0">
      <w:pPr>
        <w:spacing w:line="640" w:lineRule="exact"/>
        <w:ind w:firstLine="640"/>
        <w:jc w:val="both"/>
        <w:outlineLvl w:val="2"/>
      </w:pPr>
      <w:r>
        <w:rPr>
          <w:rFonts w:ascii="黑体" w:hAnsi="黑体" w:eastAsia="黑体"/>
          <w:sz w:val="32"/>
        </w:rPr>
        <w:t>九、财政拨款“三公”经费支出决算情况说明</w:t>
      </w:r>
    </w:p>
    <w:p w14:paraId="349200A2">
      <w:pPr>
        <w:spacing w:line="580" w:lineRule="exact"/>
        <w:ind w:firstLine="640"/>
        <w:jc w:val="both"/>
      </w:pPr>
      <w:r>
        <w:rPr>
          <w:rFonts w:ascii="仿宋_GB2312" w:hAnsi="仿宋_GB2312" w:eastAsia="仿宋_GB2312"/>
          <w:b/>
          <w:sz w:val="32"/>
        </w:rPr>
        <w:t>2024年度财政拨款“三公”经费支出1.31万元，</w:t>
      </w:r>
      <w:r>
        <w:rPr>
          <w:rFonts w:ascii="仿宋_GB2312" w:hAnsi="仿宋_GB2312" w:eastAsia="仿宋_GB2312"/>
          <w:b w:val="0"/>
          <w:sz w:val="32"/>
        </w:rPr>
        <w:t>比上年增加0.05万元，增长3.97%，主要原因是：2024年接待费</w:t>
      </w:r>
      <w:r>
        <w:rPr>
          <w:rFonts w:hint="eastAsia" w:ascii="仿宋_GB2312" w:hAnsi="仿宋_GB2312" w:eastAsia="仿宋_GB2312"/>
          <w:b w:val="0"/>
          <w:sz w:val="32"/>
          <w:lang w:val="en-US" w:eastAsia="zh-CN"/>
        </w:rPr>
        <w:t>增加</w:t>
      </w:r>
      <w:r>
        <w:rPr>
          <w:rFonts w:ascii="仿宋_GB2312" w:hAnsi="仿宋_GB2312" w:eastAsia="仿宋_GB2312"/>
          <w:b w:val="0"/>
          <w:sz w:val="32"/>
        </w:rPr>
        <w:t>，接待自治区来州指导检查工作组、援疆调研组等。其中：因公出国（境）费支出0.00万元，占0.00%，比上年增加0.00万元，增长0.00%，主要原因是：2023年与2024年均未安排因公出国（境）费支出。公务用车购置及运行维护费支出0.82万元，占62.60%，比上年减少0.44万元，下降34.92%，主要原因是：严格落实</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八项规定精神，厉行节约，减少公务用车运行维护费。公务接待费支出0.49万元，占37.40%，比上年增加0.49万元，增长100.00%，主要原因是：2024年接待费</w:t>
      </w:r>
      <w:r>
        <w:rPr>
          <w:rFonts w:hint="eastAsia" w:ascii="仿宋_GB2312" w:hAnsi="仿宋_GB2312" w:eastAsia="仿宋_GB2312"/>
          <w:b w:val="0"/>
          <w:sz w:val="32"/>
          <w:lang w:val="en-US" w:eastAsia="zh-CN"/>
        </w:rPr>
        <w:t>增加</w:t>
      </w:r>
      <w:r>
        <w:rPr>
          <w:rFonts w:ascii="仿宋_GB2312" w:hAnsi="仿宋_GB2312" w:eastAsia="仿宋_GB2312"/>
          <w:b w:val="0"/>
          <w:sz w:val="32"/>
        </w:rPr>
        <w:t>，接待自治区来州指导检查工作组、援疆调研组等。</w:t>
      </w:r>
    </w:p>
    <w:p w14:paraId="110F4F71">
      <w:pPr>
        <w:spacing w:line="580" w:lineRule="exact"/>
        <w:ind w:firstLine="640"/>
        <w:jc w:val="both"/>
      </w:pPr>
      <w:r>
        <w:rPr>
          <w:rFonts w:ascii="仿宋_GB2312" w:hAnsi="仿宋_GB2312" w:eastAsia="仿宋_GB2312"/>
          <w:b/>
          <w:sz w:val="32"/>
        </w:rPr>
        <w:t>具体情况如下：</w:t>
      </w:r>
    </w:p>
    <w:p w14:paraId="0B80D6E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C30873">
      <w:pPr>
        <w:spacing w:line="580" w:lineRule="exact"/>
        <w:ind w:firstLine="640"/>
        <w:jc w:val="both"/>
      </w:pPr>
      <w:r>
        <w:rPr>
          <w:rFonts w:ascii="仿宋_GB2312" w:hAnsi="仿宋_GB2312" w:eastAsia="仿宋_GB2312"/>
          <w:b w:val="0"/>
          <w:sz w:val="32"/>
        </w:rPr>
        <w:t>公务用车购置及运行维护费0.82万元，其中：公务用车购置费0.00万元，公务用车运行维护费0.82万元。公务用车运行维护费开支内容包括车辆维修费、加油费、保养费、保险费等。公务用车购置数0辆，公务用车保有量1辆。国有资产占用情况中固定资产车辆1辆，与公务用车保有量差异原因是：本单位固定资产车辆与公务用车保有量一致无差异。</w:t>
      </w:r>
    </w:p>
    <w:p w14:paraId="7E448794">
      <w:pPr>
        <w:spacing w:line="580" w:lineRule="exact"/>
        <w:ind w:firstLine="640"/>
        <w:jc w:val="both"/>
      </w:pPr>
      <w:r>
        <w:rPr>
          <w:rFonts w:ascii="仿宋_GB2312" w:hAnsi="仿宋_GB2312" w:eastAsia="仿宋_GB2312"/>
          <w:b w:val="0"/>
          <w:sz w:val="32"/>
        </w:rPr>
        <w:t>公务接待费0.49万元，开支内容包括接待自治区来州指导检查工作组、援疆调研组产生的就餐费。单位全年安排的国内公务接待4批次，60人次。</w:t>
      </w:r>
    </w:p>
    <w:p w14:paraId="3370DE9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1.31万元，决算数1.31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0.82万元，决算数0.82万元，预决算差异率0.00%，主要原因是：严格按照预算执行，预决算无差异。公务接待费全年预算数0.49万元，决算数0.49万元，预决算差异率0.00%，主要原因是：严格按照预算执行，预决算无差异。</w:t>
      </w:r>
    </w:p>
    <w:p w14:paraId="244A85E1">
      <w:pPr>
        <w:spacing w:line="640" w:lineRule="exact"/>
        <w:ind w:firstLine="640"/>
        <w:jc w:val="both"/>
        <w:outlineLvl w:val="2"/>
      </w:pPr>
      <w:r>
        <w:rPr>
          <w:rFonts w:ascii="黑体" w:hAnsi="黑体" w:eastAsia="黑体"/>
          <w:sz w:val="32"/>
        </w:rPr>
        <w:t>十、其他重要事项的情况说明</w:t>
      </w:r>
    </w:p>
    <w:p w14:paraId="1521DD0E">
      <w:pPr>
        <w:spacing w:line="640" w:lineRule="exact"/>
        <w:ind w:firstLine="640"/>
        <w:jc w:val="both"/>
        <w:outlineLvl w:val="3"/>
      </w:pPr>
      <w:r>
        <w:rPr>
          <w:rFonts w:ascii="楷体_GB2312" w:hAnsi="楷体_GB2312" w:eastAsia="楷体_GB2312"/>
          <w:b/>
          <w:sz w:val="32"/>
        </w:rPr>
        <w:t>（一）机关运行经费及公用经费支出情况</w:t>
      </w:r>
    </w:p>
    <w:p w14:paraId="45395879">
      <w:pPr>
        <w:spacing w:line="580" w:lineRule="exact"/>
        <w:ind w:firstLine="640"/>
        <w:jc w:val="both"/>
      </w:pPr>
      <w:r>
        <w:rPr>
          <w:rFonts w:ascii="仿宋_GB2312" w:hAnsi="仿宋_GB2312" w:eastAsia="仿宋_GB2312"/>
          <w:b w:val="0"/>
          <w:sz w:val="32"/>
        </w:rPr>
        <w:t>2024年度克孜勒苏柯尔克孜自治州档案局（行政单位和参照公务员法管理事业单位）机关运行经费支出12.90万元，比上年减少3.49万元，下降21.29%，主要原因是：严格控制公用经费，合理节约办公用品，减少不必要开支。</w:t>
      </w:r>
    </w:p>
    <w:p w14:paraId="7CCF3EB0">
      <w:pPr>
        <w:spacing w:line="640" w:lineRule="exact"/>
        <w:ind w:firstLine="640"/>
        <w:jc w:val="both"/>
        <w:outlineLvl w:val="3"/>
      </w:pPr>
      <w:r>
        <w:rPr>
          <w:rFonts w:ascii="楷体_GB2312" w:hAnsi="楷体_GB2312" w:eastAsia="楷体_GB2312"/>
          <w:b/>
          <w:sz w:val="32"/>
        </w:rPr>
        <w:t>（二）政府采购情况</w:t>
      </w:r>
    </w:p>
    <w:p w14:paraId="77C3BFB6">
      <w:pPr>
        <w:spacing w:line="580" w:lineRule="exact"/>
        <w:ind w:firstLine="640"/>
        <w:jc w:val="both"/>
      </w:pPr>
      <w:r>
        <w:rPr>
          <w:rFonts w:ascii="仿宋_GB2312" w:hAnsi="仿宋_GB2312" w:eastAsia="仿宋_GB2312"/>
          <w:b w:val="0"/>
          <w:sz w:val="32"/>
        </w:rPr>
        <w:t>2024年度政府采购支出总额2.88万元，其中：政府采购货物支出0.28万元、政府采购工程支出0.45万元、政府采购服务支出2.16万元。</w:t>
      </w:r>
    </w:p>
    <w:p w14:paraId="74852653">
      <w:pPr>
        <w:spacing w:line="580" w:lineRule="exact"/>
        <w:ind w:firstLine="640"/>
        <w:jc w:val="both"/>
      </w:pPr>
      <w:r>
        <w:rPr>
          <w:rFonts w:ascii="仿宋_GB2312" w:hAnsi="仿宋_GB2312" w:eastAsia="仿宋_GB2312"/>
          <w:b w:val="0"/>
          <w:sz w:val="32"/>
        </w:rPr>
        <w:t>授予中小企业合同金额2.86万元，占政府采购支出总额的99.31%，其中：授予小微企业合同金额2.61万元，占政府采购支出总额的90.62%。</w:t>
      </w:r>
    </w:p>
    <w:p w14:paraId="3557D262">
      <w:pPr>
        <w:spacing w:line="640" w:lineRule="exact"/>
        <w:ind w:firstLine="640"/>
        <w:jc w:val="both"/>
        <w:outlineLvl w:val="3"/>
      </w:pPr>
      <w:r>
        <w:rPr>
          <w:rFonts w:ascii="楷体_GB2312" w:hAnsi="楷体_GB2312" w:eastAsia="楷体_GB2312"/>
          <w:b/>
          <w:sz w:val="32"/>
        </w:rPr>
        <w:t>（三）国有资产占用情况说明</w:t>
      </w:r>
    </w:p>
    <w:p w14:paraId="684125C5">
      <w:pPr>
        <w:spacing w:line="580" w:lineRule="exact"/>
        <w:ind w:firstLine="640"/>
        <w:jc w:val="both"/>
      </w:pPr>
      <w:r>
        <w:rPr>
          <w:rFonts w:ascii="仿宋_GB2312" w:hAnsi="仿宋_GB2312" w:eastAsia="仿宋_GB2312"/>
          <w:b w:val="0"/>
          <w:sz w:val="32"/>
        </w:rPr>
        <w:t>截至2024年12月31日，房屋0.00平方米，价值0.00万元。车辆1辆，价值12.78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5284F29D">
      <w:pPr>
        <w:spacing w:line="640" w:lineRule="exact"/>
        <w:ind w:firstLine="640"/>
        <w:jc w:val="both"/>
        <w:outlineLvl w:val="2"/>
      </w:pPr>
      <w:r>
        <w:rPr>
          <w:rFonts w:ascii="黑体" w:hAnsi="黑体" w:eastAsia="黑体"/>
          <w:sz w:val="32"/>
        </w:rPr>
        <w:t>十一、预算绩效的情况说明</w:t>
      </w:r>
    </w:p>
    <w:p w14:paraId="6E45328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407.57万元，实际执行总额405.57万元；预算绩效评价项目2个，全年预算数50.00万元，全年执行数48.61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023616D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52AA458">
        <w:tblPrEx>
          <w:tblCellMar>
            <w:top w:w="0" w:type="dxa"/>
            <w:left w:w="108" w:type="dxa"/>
            <w:bottom w:w="0" w:type="dxa"/>
            <w:right w:w="108" w:type="dxa"/>
          </w:tblCellMar>
        </w:tblPrEx>
        <w:tc>
          <w:tcPr>
            <w:tcW w:w="8840" w:type="dxa"/>
            <w:gridSpan w:val="8"/>
            <w:vAlign w:val="center"/>
          </w:tcPr>
          <w:p w14:paraId="0009DF01">
            <w:pPr>
              <w:jc w:val="center"/>
            </w:pPr>
            <w:r>
              <w:rPr>
                <w:rFonts w:ascii="宋体" w:hAnsi="宋体" w:eastAsia="宋体"/>
                <w:sz w:val="24"/>
              </w:rPr>
              <w:t>单位整体支出绩效自评表</w:t>
            </w:r>
          </w:p>
        </w:tc>
      </w:tr>
      <w:tr w14:paraId="4AE9BC24">
        <w:tblPrEx>
          <w:tblCellMar>
            <w:top w:w="0" w:type="dxa"/>
            <w:left w:w="108" w:type="dxa"/>
            <w:bottom w:w="0" w:type="dxa"/>
            <w:right w:w="108" w:type="dxa"/>
          </w:tblCellMar>
        </w:tblPrEx>
        <w:tc>
          <w:tcPr>
            <w:tcW w:w="8840" w:type="dxa"/>
            <w:gridSpan w:val="8"/>
            <w:vAlign w:val="center"/>
          </w:tcPr>
          <w:p w14:paraId="301DB44C">
            <w:pPr>
              <w:jc w:val="center"/>
            </w:pPr>
            <w:r>
              <w:rPr>
                <w:rFonts w:ascii="宋体" w:hAnsi="宋体" w:eastAsia="宋体"/>
                <w:sz w:val="24"/>
              </w:rPr>
              <w:t>（2024年度）</w:t>
            </w:r>
          </w:p>
        </w:tc>
      </w:tr>
      <w:tr w14:paraId="4BAA14C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20D2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618E3">
            <w:pPr>
              <w:jc w:val="center"/>
            </w:pPr>
            <w:r>
              <w:rPr>
                <w:rFonts w:ascii="宋体" w:hAnsi="宋体" w:eastAsia="宋体"/>
                <w:sz w:val="16"/>
              </w:rPr>
              <w:t>克孜勒苏柯尔克孜自治州档案局</w:t>
            </w:r>
          </w:p>
        </w:tc>
      </w:tr>
      <w:tr w14:paraId="3FF019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D6E4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C9E8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A839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0F92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563F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217C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7D8A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3B91A">
            <w:pPr>
              <w:jc w:val="center"/>
            </w:pPr>
            <w:r>
              <w:rPr>
                <w:rFonts w:ascii="宋体" w:hAnsi="宋体" w:eastAsia="宋体"/>
                <w:sz w:val="16"/>
              </w:rPr>
              <w:t>得分</w:t>
            </w:r>
          </w:p>
        </w:tc>
      </w:tr>
      <w:tr w14:paraId="6B31AE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7F50A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29CE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1383F">
            <w:pPr>
              <w:jc w:val="center"/>
            </w:pPr>
            <w:r>
              <w:rPr>
                <w:rFonts w:ascii="宋体" w:hAnsi="宋体" w:eastAsia="宋体"/>
                <w:sz w:val="16"/>
              </w:rPr>
              <w:t>414.28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548EB">
            <w:pPr>
              <w:jc w:val="center"/>
            </w:pPr>
            <w:r>
              <w:rPr>
                <w:rFonts w:ascii="宋体" w:hAnsi="宋体" w:eastAsia="宋体"/>
                <w:sz w:val="16"/>
              </w:rPr>
              <w:t>407.57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62D6A">
            <w:pPr>
              <w:jc w:val="center"/>
            </w:pPr>
            <w:r>
              <w:rPr>
                <w:rFonts w:ascii="宋体" w:hAnsi="宋体" w:eastAsia="宋体"/>
                <w:sz w:val="16"/>
              </w:rPr>
              <w:t>405.57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A4E8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5D319">
            <w:pPr>
              <w:jc w:val="center"/>
            </w:pPr>
            <w:r>
              <w:rPr>
                <w:rFonts w:ascii="宋体" w:hAnsi="宋体" w:eastAsia="宋体"/>
                <w:sz w:val="16"/>
              </w:rPr>
              <w:t>99.51%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667499">
            <w:pPr>
              <w:jc w:val="center"/>
              <w:rPr>
                <w:rFonts w:hint="default" w:eastAsia="宋体"/>
                <w:lang w:val="en-US" w:eastAsia="zh-CN"/>
              </w:rPr>
            </w:pPr>
            <w:r>
              <w:rPr>
                <w:rFonts w:hint="eastAsia" w:ascii="宋体" w:hAnsi="宋体"/>
                <w:sz w:val="16"/>
                <w:lang w:val="en-US" w:eastAsia="zh-CN"/>
              </w:rPr>
              <w:t>9.95</w:t>
            </w:r>
            <w:bookmarkStart w:id="0" w:name="_GoBack"/>
            <w:bookmarkEnd w:id="0"/>
          </w:p>
        </w:tc>
      </w:tr>
      <w:tr w14:paraId="372C7E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8A986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0E16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EF5B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4628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FA89E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ECF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162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DA889">
            <w:pPr>
              <w:jc w:val="center"/>
            </w:pPr>
            <w:r>
              <w:rPr>
                <w:rFonts w:ascii="宋体" w:hAnsi="宋体" w:eastAsia="宋体"/>
                <w:sz w:val="16"/>
              </w:rPr>
              <w:t>—</w:t>
            </w:r>
          </w:p>
        </w:tc>
      </w:tr>
      <w:tr w14:paraId="332E63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CED9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CBB6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A2286">
            <w:pPr>
              <w:jc w:val="center"/>
            </w:pPr>
            <w:r>
              <w:rPr>
                <w:rFonts w:ascii="宋体" w:hAnsi="宋体" w:eastAsia="宋体"/>
                <w:sz w:val="16"/>
              </w:rPr>
              <w:t>364.28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57548">
            <w:pPr>
              <w:jc w:val="center"/>
            </w:pPr>
            <w:r>
              <w:rPr>
                <w:rFonts w:ascii="宋体" w:hAnsi="宋体" w:eastAsia="宋体"/>
                <w:sz w:val="16"/>
              </w:rPr>
              <w:t>407.57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8A49C">
            <w:pPr>
              <w:jc w:val="center"/>
            </w:pPr>
            <w:r>
              <w:rPr>
                <w:rFonts w:ascii="宋体" w:hAnsi="宋体" w:eastAsia="宋体"/>
                <w:sz w:val="16"/>
              </w:rPr>
              <w:t>405.57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413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BDB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1ECC5">
            <w:pPr>
              <w:jc w:val="center"/>
            </w:pPr>
            <w:r>
              <w:rPr>
                <w:rFonts w:ascii="宋体" w:hAnsi="宋体" w:eastAsia="宋体"/>
                <w:sz w:val="16"/>
              </w:rPr>
              <w:t>—</w:t>
            </w:r>
          </w:p>
        </w:tc>
      </w:tr>
      <w:tr w14:paraId="3B280B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1514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3ABD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8D654">
            <w:pPr>
              <w:jc w:val="center"/>
            </w:pPr>
            <w:r>
              <w:rPr>
                <w:rFonts w:ascii="宋体" w:hAnsi="宋体" w:eastAsia="宋体"/>
                <w:sz w:val="16"/>
              </w:rPr>
              <w:t>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8DB4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1DD2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65D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123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EDD49">
            <w:pPr>
              <w:jc w:val="center"/>
            </w:pPr>
            <w:r>
              <w:rPr>
                <w:rFonts w:ascii="宋体" w:hAnsi="宋体" w:eastAsia="宋体"/>
                <w:sz w:val="16"/>
              </w:rPr>
              <w:t>—</w:t>
            </w:r>
          </w:p>
        </w:tc>
      </w:tr>
      <w:tr w14:paraId="592204E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FC8A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4379D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88C1B9">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549C60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C02E9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C1E11F">
            <w:pPr>
              <w:jc w:val="both"/>
            </w:pPr>
            <w:r>
              <w:rPr>
                <w:rFonts w:ascii="宋体" w:hAnsi="宋体" w:eastAsia="宋体"/>
                <w:sz w:val="16"/>
              </w:rPr>
              <w:t>1、大力推进数字档案馆建设。进一步推进实现库存档案数字化、增量档案电子化的目标，继续开展馆藏资源数字化加工项目，加大传统纸质档案数字化加工成果和专业档案备份数据的接收力度。2、进一步健全和完善内部管理制度，加固档案“八防”措施，3、进一步加强业务学习，不断提高查阅利用效率。紧紧围绕州委、州政府中心工作，强化档案目标管理，对基层档案库房实行定期检查、清点，对发现的问题逐一登记汇总，形成工作台账上报州党办协助督查问题较多的全宗单位进行整改。4、抓好自治区级档案达标创建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7F62BF">
            <w:pPr>
              <w:jc w:val="both"/>
            </w:pPr>
            <w:r>
              <w:rPr>
                <w:rFonts w:ascii="宋体" w:hAnsi="宋体" w:eastAsia="宋体"/>
                <w:sz w:val="16"/>
              </w:rPr>
              <w:t>　　全年累计开展档案查阅利用1232人次，查阅档案3892 卷件（其中：电话调卷136人（次）、328卷件；登门查阅1096人（次）3564 卷件）查阅利用率100%，指标完成率为100%</w:t>
            </w:r>
            <w:r>
              <w:rPr>
                <w:rFonts w:hint="eastAsia" w:ascii="宋体" w:hAnsi="宋体"/>
                <w:sz w:val="16"/>
                <w:lang w:eastAsia="zh-CN"/>
              </w:rPr>
              <w:t>。</w:t>
            </w:r>
            <w:r>
              <w:rPr>
                <w:rFonts w:ascii="宋体" w:hAnsi="宋体" w:eastAsia="宋体"/>
                <w:sz w:val="16"/>
              </w:rPr>
              <w:t>档案宣传培训工作：一是开展档案宣传活动。在6·9国际档案日和社会各重要节点期间，通过制作宣传板报、悬挂标语横幅、设立街头咨询服务台、发放宣传单和小册子等方式开展档案咨询服务，着力进行档案法治宣传。今年，州、县两级共开展档案普法宣传80场次，参与人数1586人次。二是发挥档案协作功能。3-5月在全州开展“文件整理归档月”活动，督促各机关档案协作组扎实开展文件整理归档工作，各机关单位档案工作合格率持续提升。通过以上工作的实施，保障了我单位18名职工的工资、福利及社保正常发放及缴纳，确保民生工作落实到位；保障我单位1辆公务用车的运行及维护，保障单位各项工作的正常运转，确保机构运转正常</w:t>
            </w:r>
            <w:r>
              <w:rPr>
                <w:rFonts w:hint="eastAsia" w:ascii="宋体" w:hAnsi="宋体"/>
                <w:sz w:val="16"/>
                <w:lang w:eastAsia="zh-CN"/>
              </w:rPr>
              <w:t>；</w:t>
            </w:r>
            <w:r>
              <w:rPr>
                <w:rFonts w:ascii="宋体" w:hAnsi="宋体" w:eastAsia="宋体"/>
                <w:sz w:val="16"/>
              </w:rPr>
              <w:t>通过以上工作的实施，保障了我单位18名职工的工资、福利及社保正常发放及缴纳，确保民生工作落实到位；保障我单位1辆公务用车的运行及维护，保障单位各项工作的正常运转，确保机构运转正常。</w:t>
            </w:r>
          </w:p>
        </w:tc>
      </w:tr>
      <w:tr w14:paraId="4EC4EE9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ADB8B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274F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9902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904F1">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B099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E1B5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924A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BC1A5">
            <w:pPr>
              <w:jc w:val="center"/>
            </w:pPr>
            <w:r>
              <w:rPr>
                <w:rFonts w:ascii="宋体" w:hAnsi="宋体" w:eastAsia="宋体"/>
                <w:sz w:val="16"/>
              </w:rPr>
              <w:t>得分</w:t>
            </w:r>
          </w:p>
        </w:tc>
      </w:tr>
      <w:tr w14:paraId="591B0FC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0B81E">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1BF2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88E95">
            <w:pPr>
              <w:jc w:val="center"/>
            </w:pPr>
            <w:r>
              <w:rPr>
                <w:rFonts w:ascii="宋体" w:hAnsi="宋体" w:eastAsia="宋体"/>
                <w:sz w:val="16"/>
              </w:rPr>
              <w:t>档案查阅利用率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B54C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22A1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2761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831F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E2317">
            <w:pPr>
              <w:jc w:val="center"/>
            </w:pPr>
            <w:r>
              <w:rPr>
                <w:rFonts w:ascii="宋体" w:hAnsi="宋体" w:eastAsia="宋体"/>
                <w:sz w:val="16"/>
              </w:rPr>
              <w:t>30</w:t>
            </w:r>
          </w:p>
        </w:tc>
      </w:tr>
      <w:tr w14:paraId="750751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F9F3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93F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F074F">
            <w:pPr>
              <w:jc w:val="center"/>
            </w:pPr>
            <w:r>
              <w:rPr>
                <w:rFonts w:ascii="宋体" w:hAnsi="宋体" w:eastAsia="宋体"/>
                <w:sz w:val="16"/>
              </w:rPr>
              <w:t>档案数字化</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A12DC">
            <w:pPr>
              <w:jc w:val="center"/>
            </w:pPr>
            <w:r>
              <w:rPr>
                <w:rFonts w:ascii="宋体" w:hAnsi="宋体" w:eastAsia="宋体"/>
                <w:sz w:val="16"/>
              </w:rPr>
              <w:t>=60万页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25F30">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C92A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E1B96">
            <w:pPr>
              <w:jc w:val="center"/>
            </w:pPr>
            <w:r>
              <w:rPr>
                <w:rFonts w:ascii="宋体" w:hAnsi="宋体" w:eastAsia="宋体"/>
                <w:sz w:val="16"/>
              </w:rPr>
              <w:t>65.39万页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04886">
            <w:pPr>
              <w:jc w:val="center"/>
            </w:pPr>
            <w:r>
              <w:rPr>
                <w:rFonts w:ascii="宋体" w:hAnsi="宋体" w:eastAsia="宋体"/>
                <w:sz w:val="16"/>
              </w:rPr>
              <w:t>30</w:t>
            </w:r>
          </w:p>
        </w:tc>
      </w:tr>
      <w:tr w14:paraId="11A9BA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6D2F3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22FD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00E0F">
            <w:pPr>
              <w:jc w:val="center"/>
            </w:pPr>
            <w:r>
              <w:rPr>
                <w:rFonts w:ascii="宋体" w:hAnsi="宋体" w:eastAsia="宋体"/>
                <w:sz w:val="16"/>
              </w:rPr>
              <w:t>档案宣传培训个数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4EEA0">
            <w:pPr>
              <w:jc w:val="center"/>
            </w:pPr>
            <w:r>
              <w:rPr>
                <w:rFonts w:ascii="宋体" w:hAnsi="宋体" w:eastAsia="宋体"/>
                <w:sz w:val="16"/>
              </w:rPr>
              <w:t>&gt;=143个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8F435">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809E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C7FF6">
            <w:pPr>
              <w:jc w:val="center"/>
            </w:pPr>
            <w:r>
              <w:rPr>
                <w:rFonts w:ascii="宋体" w:hAnsi="宋体" w:eastAsia="宋体"/>
                <w:sz w:val="16"/>
              </w:rPr>
              <w:t>143个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7049C">
            <w:pPr>
              <w:jc w:val="center"/>
            </w:pPr>
            <w:r>
              <w:rPr>
                <w:rFonts w:ascii="宋体" w:hAnsi="宋体" w:eastAsia="宋体"/>
                <w:sz w:val="16"/>
              </w:rPr>
              <w:t>30</w:t>
            </w:r>
          </w:p>
        </w:tc>
      </w:tr>
    </w:tbl>
    <w:p w14:paraId="768897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2E0B992">
        <w:tblPrEx>
          <w:tblCellMar>
            <w:top w:w="0" w:type="dxa"/>
            <w:left w:w="108" w:type="dxa"/>
            <w:bottom w:w="0" w:type="dxa"/>
            <w:right w:w="108" w:type="dxa"/>
          </w:tblCellMar>
        </w:tblPrEx>
        <w:tc>
          <w:tcPr>
            <w:tcW w:w="8848" w:type="dxa"/>
            <w:gridSpan w:val="14"/>
            <w:vAlign w:val="center"/>
          </w:tcPr>
          <w:p w14:paraId="76D4C9C8">
            <w:pPr>
              <w:jc w:val="center"/>
            </w:pPr>
            <w:r>
              <w:rPr>
                <w:rFonts w:ascii="宋体" w:hAnsi="宋体" w:eastAsia="宋体"/>
                <w:sz w:val="24"/>
              </w:rPr>
              <w:t>项目支出绩效自评表</w:t>
            </w:r>
          </w:p>
        </w:tc>
      </w:tr>
      <w:tr w14:paraId="031DB6B9">
        <w:tblPrEx>
          <w:tblCellMar>
            <w:top w:w="0" w:type="dxa"/>
            <w:left w:w="108" w:type="dxa"/>
            <w:bottom w:w="0" w:type="dxa"/>
            <w:right w:w="108" w:type="dxa"/>
          </w:tblCellMar>
        </w:tblPrEx>
        <w:tc>
          <w:tcPr>
            <w:tcW w:w="8848" w:type="dxa"/>
            <w:gridSpan w:val="14"/>
            <w:vAlign w:val="center"/>
          </w:tcPr>
          <w:p w14:paraId="354E0695">
            <w:pPr>
              <w:jc w:val="center"/>
            </w:pPr>
            <w:r>
              <w:rPr>
                <w:rFonts w:ascii="宋体" w:hAnsi="宋体" w:eastAsia="宋体"/>
                <w:sz w:val="24"/>
              </w:rPr>
              <w:t>(2024年度)</w:t>
            </w:r>
          </w:p>
        </w:tc>
      </w:tr>
      <w:tr w14:paraId="53704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A7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D3F765">
            <w:pPr>
              <w:jc w:val="center"/>
            </w:pPr>
            <w:r>
              <w:rPr>
                <w:rFonts w:ascii="宋体" w:hAnsi="宋体" w:eastAsia="宋体"/>
                <w:sz w:val="16"/>
              </w:rPr>
              <w:t>档案事业费</w:t>
            </w:r>
          </w:p>
        </w:tc>
      </w:tr>
      <w:tr w14:paraId="0E63AE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B2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1B5B4">
            <w:pPr>
              <w:jc w:val="center"/>
            </w:pPr>
            <w:r>
              <w:rPr>
                <w:rFonts w:ascii="宋体" w:hAnsi="宋体" w:eastAsia="宋体"/>
                <w:sz w:val="16"/>
              </w:rPr>
              <w:t>克孜勒苏柯尔克孜自治州档案局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E7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A3F0B7">
            <w:pPr>
              <w:jc w:val="center"/>
            </w:pPr>
            <w:r>
              <w:rPr>
                <w:rFonts w:ascii="宋体" w:hAnsi="宋体" w:eastAsia="宋体"/>
                <w:sz w:val="16"/>
              </w:rPr>
              <w:t>克孜勒苏柯尔克孜自治州档案局</w:t>
            </w:r>
          </w:p>
        </w:tc>
      </w:tr>
      <w:tr w14:paraId="166188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83D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3FE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24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972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F4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AA3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C81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FE07">
            <w:pPr>
              <w:jc w:val="center"/>
            </w:pPr>
            <w:r>
              <w:rPr>
                <w:rFonts w:ascii="宋体" w:hAnsi="宋体" w:eastAsia="宋体"/>
                <w:sz w:val="16"/>
              </w:rPr>
              <w:t>得分</w:t>
            </w:r>
          </w:p>
        </w:tc>
      </w:tr>
      <w:tr w14:paraId="03723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7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81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570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8A6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E23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99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6338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3265">
            <w:pPr>
              <w:jc w:val="center"/>
            </w:pPr>
            <w:r>
              <w:rPr>
                <w:rFonts w:ascii="宋体" w:hAnsi="宋体" w:eastAsia="宋体"/>
                <w:sz w:val="16"/>
              </w:rPr>
              <w:t>10.00分</w:t>
            </w:r>
          </w:p>
        </w:tc>
      </w:tr>
      <w:tr w14:paraId="010B1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F8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57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AF0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FAD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D5C9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B9B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FC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4FFE">
            <w:pPr>
              <w:jc w:val="center"/>
            </w:pPr>
            <w:r>
              <w:rPr>
                <w:rFonts w:ascii="宋体" w:hAnsi="宋体" w:eastAsia="宋体"/>
                <w:sz w:val="16"/>
              </w:rPr>
              <w:t>—</w:t>
            </w:r>
          </w:p>
        </w:tc>
      </w:tr>
      <w:tr w14:paraId="44870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1D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D05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A43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83B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A5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77D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B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4D27">
            <w:pPr>
              <w:jc w:val="center"/>
            </w:pPr>
            <w:r>
              <w:rPr>
                <w:rFonts w:ascii="宋体" w:hAnsi="宋体" w:eastAsia="宋体"/>
                <w:sz w:val="16"/>
              </w:rPr>
              <w:t>—</w:t>
            </w:r>
          </w:p>
        </w:tc>
      </w:tr>
      <w:tr w14:paraId="3BECF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8DD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80F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1D3D81">
            <w:pPr>
              <w:jc w:val="center"/>
            </w:pPr>
            <w:r>
              <w:rPr>
                <w:rFonts w:ascii="宋体" w:hAnsi="宋体" w:eastAsia="宋体"/>
                <w:sz w:val="16"/>
              </w:rPr>
              <w:t>实际完成情况</w:t>
            </w:r>
          </w:p>
        </w:tc>
      </w:tr>
      <w:tr w14:paraId="3C139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8C1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306E1">
            <w:pPr>
              <w:jc w:val="both"/>
            </w:pPr>
            <w:r>
              <w:rPr>
                <w:rFonts w:ascii="宋体" w:hAnsi="宋体" w:eastAsia="宋体"/>
                <w:sz w:val="16"/>
              </w:rPr>
              <w:t>项目总投资10万元，财政资金10万元，其他资金0万元；通过积极开展档案工作，宣传党和国家相关政策及法律法规，加强档案馆库的基础建设，积极开展档案的提供利用服务工作，完成档案的接收、征集、保管、咨询等其他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9B43FD">
            <w:pPr>
              <w:jc w:val="both"/>
            </w:pPr>
            <w:r>
              <w:rPr>
                <w:rFonts w:hint="eastAsia" w:ascii="宋体" w:hAnsi="宋体"/>
                <w:sz w:val="16"/>
                <w:lang w:eastAsia="zh-CN"/>
              </w:rPr>
              <w:t>截至</w:t>
            </w:r>
            <w:r>
              <w:rPr>
                <w:rFonts w:ascii="宋体" w:hAnsi="宋体" w:eastAsia="宋体"/>
                <w:sz w:val="16"/>
              </w:rPr>
              <w:t>2024年12月31日，完成档案规范宣传培训单位143个， 运维次数2（次），档案规范宣传培训次数6（次），通过积极开展档案工作，宣传党和国家相关政策及法律法规，加强档案馆库的基础建设，积极开展档案的提供利用服务工作，完成档案的接收、征集、保管、咨询等其他工作。</w:t>
            </w:r>
          </w:p>
        </w:tc>
      </w:tr>
      <w:tr w14:paraId="01F327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5D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B5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EB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D8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A7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09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E5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F8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9C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1A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81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32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D2ED4">
            <w:pPr>
              <w:jc w:val="center"/>
            </w:pPr>
            <w:r>
              <w:rPr>
                <w:rFonts w:ascii="宋体" w:hAnsi="宋体" w:eastAsia="宋体"/>
                <w:sz w:val="16"/>
              </w:rPr>
              <w:t>偏差原因分析及改进措施</w:t>
            </w:r>
          </w:p>
        </w:tc>
      </w:tr>
      <w:tr w14:paraId="411E48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562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C3D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22F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DC1E">
            <w:pPr>
              <w:jc w:val="center"/>
            </w:pPr>
            <w:r>
              <w:rPr>
                <w:rFonts w:ascii="宋体" w:hAnsi="宋体" w:eastAsia="宋体"/>
                <w:sz w:val="16"/>
              </w:rPr>
              <w:t>馆藏档案整理率（%）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E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E7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5A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1F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7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F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1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61D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A643">
            <w:pPr>
              <w:jc w:val="center"/>
            </w:pPr>
          </w:p>
        </w:tc>
      </w:tr>
      <w:tr w14:paraId="04919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1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1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04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EE27">
            <w:pPr>
              <w:jc w:val="center"/>
            </w:pPr>
            <w:r>
              <w:rPr>
                <w:rFonts w:ascii="宋体" w:hAnsi="宋体" w:eastAsia="宋体"/>
                <w:sz w:val="16"/>
              </w:rPr>
              <w:t>档案规范宣传培训单位个数（个）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C0BA">
            <w:pPr>
              <w:jc w:val="center"/>
            </w:pPr>
            <w:r>
              <w:rPr>
                <w:rFonts w:ascii="宋体" w:hAnsi="宋体" w:eastAsia="宋体"/>
                <w:sz w:val="16"/>
              </w:rPr>
              <w:t>&gt;=143个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3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C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F9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A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7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C57D">
            <w:pPr>
              <w:jc w:val="center"/>
            </w:pPr>
            <w:r>
              <w:rPr>
                <w:rFonts w:ascii="宋体" w:hAnsi="宋体" w:eastAsia="宋体"/>
                <w:sz w:val="16"/>
              </w:rPr>
              <w:t>=143个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F8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38602">
            <w:pPr>
              <w:jc w:val="center"/>
            </w:pPr>
          </w:p>
        </w:tc>
      </w:tr>
      <w:tr w14:paraId="1BFDF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F8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D8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2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277A">
            <w:pPr>
              <w:jc w:val="center"/>
            </w:pPr>
            <w:r>
              <w:rPr>
                <w:rFonts w:ascii="宋体" w:hAnsi="宋体" w:eastAsia="宋体"/>
                <w:sz w:val="16"/>
              </w:rPr>
              <w:t>运维次数（次）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BEE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2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741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46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4F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E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88C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0ED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C2C77">
            <w:pPr>
              <w:jc w:val="center"/>
            </w:pPr>
          </w:p>
        </w:tc>
      </w:tr>
      <w:tr w14:paraId="55D14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00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ED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76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F887">
            <w:pPr>
              <w:jc w:val="center"/>
            </w:pPr>
            <w:r>
              <w:rPr>
                <w:rFonts w:ascii="宋体" w:hAnsi="宋体" w:eastAsia="宋体"/>
                <w:sz w:val="16"/>
              </w:rPr>
              <w:t>档案规范宣传培训次数（次）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62ED">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F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594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44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F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6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B17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4C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058A">
            <w:pPr>
              <w:jc w:val="center"/>
            </w:pPr>
          </w:p>
        </w:tc>
      </w:tr>
      <w:tr w14:paraId="24DBE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7D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A79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9AD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6943">
            <w:pPr>
              <w:jc w:val="center"/>
            </w:pPr>
            <w:r>
              <w:rPr>
                <w:rFonts w:ascii="宋体" w:hAnsi="宋体" w:eastAsia="宋体"/>
                <w:sz w:val="16"/>
              </w:rPr>
              <w:t>档案规范宣传培训覆盖率（%）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E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9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EE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F2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5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7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8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04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7288">
            <w:pPr>
              <w:jc w:val="center"/>
            </w:pPr>
          </w:p>
        </w:tc>
      </w:tr>
      <w:tr w14:paraId="7F2DF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5D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78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0C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9F15">
            <w:pPr>
              <w:jc w:val="center"/>
            </w:pPr>
            <w:r>
              <w:rPr>
                <w:rFonts w:ascii="宋体" w:hAnsi="宋体" w:eastAsia="宋体"/>
                <w:sz w:val="16"/>
              </w:rPr>
              <w:t>运维质量合格率（%）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A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A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02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42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9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D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A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4B7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30AC">
            <w:pPr>
              <w:jc w:val="center"/>
            </w:pPr>
          </w:p>
        </w:tc>
      </w:tr>
      <w:tr w14:paraId="0C19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56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FBA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516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E6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39E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8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66E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8C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8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86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A1D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E6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61E6">
            <w:pPr>
              <w:jc w:val="center"/>
            </w:pPr>
          </w:p>
        </w:tc>
      </w:tr>
      <w:tr w14:paraId="40A6D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AF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28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16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5667">
            <w:pPr>
              <w:jc w:val="center"/>
            </w:pPr>
            <w:r>
              <w:rPr>
                <w:rFonts w:ascii="宋体" w:hAnsi="宋体" w:eastAsia="宋体"/>
                <w:sz w:val="16"/>
              </w:rPr>
              <w:t>运维及时率（%）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2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2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59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9B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E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9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0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908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626CA">
            <w:pPr>
              <w:jc w:val="center"/>
            </w:pPr>
          </w:p>
        </w:tc>
      </w:tr>
      <w:tr w14:paraId="44BCF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95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D53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218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D528">
            <w:pPr>
              <w:jc w:val="center"/>
            </w:pPr>
            <w:r>
              <w:rPr>
                <w:rFonts w:ascii="宋体" w:hAnsi="宋体" w:eastAsia="宋体"/>
                <w:sz w:val="16"/>
              </w:rPr>
              <w:t>档案规范宣传培训费（万元）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51A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E9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987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A1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2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45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736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CC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837B">
            <w:pPr>
              <w:jc w:val="center"/>
            </w:pPr>
          </w:p>
        </w:tc>
      </w:tr>
      <w:tr w14:paraId="4A3C6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89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FB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93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2575">
            <w:pPr>
              <w:jc w:val="center"/>
            </w:pPr>
            <w:r>
              <w:rPr>
                <w:rFonts w:ascii="宋体" w:hAnsi="宋体" w:eastAsia="宋体"/>
                <w:sz w:val="16"/>
              </w:rPr>
              <w:t>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235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52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A288">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B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9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F3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3FA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A1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0D5A">
            <w:pPr>
              <w:jc w:val="center"/>
            </w:pPr>
          </w:p>
        </w:tc>
      </w:tr>
      <w:tr w14:paraId="769F6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B0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42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652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299F">
            <w:pPr>
              <w:jc w:val="center"/>
            </w:pPr>
            <w:r>
              <w:rPr>
                <w:rFonts w:ascii="宋体" w:hAnsi="宋体" w:eastAsia="宋体"/>
                <w:sz w:val="16"/>
              </w:rPr>
              <w:t>保障工作需要，提高效率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5B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D98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6A6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62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34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F19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DF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D6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3306">
            <w:pPr>
              <w:jc w:val="center"/>
            </w:pPr>
          </w:p>
        </w:tc>
      </w:tr>
      <w:tr w14:paraId="6BAB5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1C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D4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1C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ADD0">
            <w:pPr>
              <w:jc w:val="center"/>
            </w:pPr>
            <w:r>
              <w:rPr>
                <w:rFonts w:ascii="宋体" w:hAnsi="宋体" w:eastAsia="宋体"/>
                <w:sz w:val="16"/>
              </w:rPr>
              <w:t>受益预算单位满意度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35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7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25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BD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DA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A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7F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3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C043A">
            <w:pPr>
              <w:jc w:val="center"/>
            </w:pPr>
          </w:p>
        </w:tc>
      </w:tr>
      <w:tr w14:paraId="40298A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8C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5C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30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6D9347">
            <w:pPr>
              <w:jc w:val="center"/>
            </w:pPr>
            <w:r>
              <w:rPr>
                <w:rFonts w:ascii="宋体" w:hAnsi="宋体" w:eastAsia="宋体"/>
                <w:sz w:val="16"/>
              </w:rPr>
              <w:t>100分</w:t>
            </w:r>
          </w:p>
        </w:tc>
      </w:tr>
    </w:tbl>
    <w:p w14:paraId="0C61431D">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0"/>
        <w:gridCol w:w="632"/>
        <w:gridCol w:w="632"/>
        <w:gridCol w:w="631"/>
        <w:gridCol w:w="632"/>
        <w:gridCol w:w="631"/>
        <w:gridCol w:w="631"/>
        <w:gridCol w:w="631"/>
        <w:gridCol w:w="856"/>
        <w:gridCol w:w="632"/>
        <w:gridCol w:w="629"/>
        <w:gridCol w:w="632"/>
      </w:tblGrid>
      <w:tr w14:paraId="6C93533E">
        <w:tblPrEx>
          <w:tblCellMar>
            <w:top w:w="0" w:type="dxa"/>
            <w:left w:w="108" w:type="dxa"/>
            <w:bottom w:w="0" w:type="dxa"/>
            <w:right w:w="108" w:type="dxa"/>
          </w:tblCellMar>
        </w:tblPrEx>
        <w:tc>
          <w:tcPr>
            <w:tcW w:w="8848" w:type="dxa"/>
            <w:gridSpan w:val="14"/>
            <w:vAlign w:val="center"/>
          </w:tcPr>
          <w:p w14:paraId="19466757">
            <w:pPr>
              <w:jc w:val="center"/>
            </w:pPr>
            <w:r>
              <w:rPr>
                <w:rFonts w:ascii="宋体" w:hAnsi="宋体" w:eastAsia="宋体"/>
                <w:sz w:val="24"/>
              </w:rPr>
              <w:t>项目支出绩效自评表</w:t>
            </w:r>
          </w:p>
        </w:tc>
      </w:tr>
      <w:tr w14:paraId="7C1C6E1F">
        <w:tblPrEx>
          <w:tblCellMar>
            <w:top w:w="0" w:type="dxa"/>
            <w:left w:w="108" w:type="dxa"/>
            <w:bottom w:w="0" w:type="dxa"/>
            <w:right w:w="108" w:type="dxa"/>
          </w:tblCellMar>
        </w:tblPrEx>
        <w:tc>
          <w:tcPr>
            <w:tcW w:w="8848" w:type="dxa"/>
            <w:gridSpan w:val="14"/>
            <w:vAlign w:val="center"/>
          </w:tcPr>
          <w:p w14:paraId="1AF115A1">
            <w:pPr>
              <w:jc w:val="center"/>
            </w:pPr>
            <w:r>
              <w:rPr>
                <w:rFonts w:ascii="宋体" w:hAnsi="宋体" w:eastAsia="宋体"/>
                <w:sz w:val="24"/>
              </w:rPr>
              <w:t>(2024年度)</w:t>
            </w:r>
          </w:p>
        </w:tc>
      </w:tr>
      <w:tr w14:paraId="3B095E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B3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75293B">
            <w:pPr>
              <w:jc w:val="center"/>
            </w:pPr>
            <w:r>
              <w:rPr>
                <w:rFonts w:ascii="宋体" w:hAnsi="宋体" w:eastAsia="宋体"/>
                <w:sz w:val="16"/>
              </w:rPr>
              <w:t>档案数字化加工</w:t>
            </w:r>
          </w:p>
        </w:tc>
      </w:tr>
      <w:tr w14:paraId="5D69E1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FF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4FB67C">
            <w:pPr>
              <w:jc w:val="center"/>
            </w:pPr>
            <w:r>
              <w:rPr>
                <w:rFonts w:ascii="宋体" w:hAnsi="宋体" w:eastAsia="宋体"/>
                <w:sz w:val="16"/>
              </w:rPr>
              <w:t>克孜勒苏柯尔克孜自治州档案局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E1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E63DD1">
            <w:pPr>
              <w:jc w:val="center"/>
            </w:pPr>
            <w:r>
              <w:rPr>
                <w:rFonts w:ascii="宋体" w:hAnsi="宋体" w:eastAsia="宋体"/>
                <w:sz w:val="16"/>
              </w:rPr>
              <w:t>克孜勒苏柯尔克孜自治州档案局</w:t>
            </w:r>
          </w:p>
        </w:tc>
      </w:tr>
      <w:tr w14:paraId="30308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4D3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7F2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0C0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DE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468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B7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9D2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BEB2">
            <w:pPr>
              <w:jc w:val="center"/>
            </w:pPr>
            <w:r>
              <w:rPr>
                <w:rFonts w:ascii="宋体" w:hAnsi="宋体" w:eastAsia="宋体"/>
                <w:sz w:val="16"/>
              </w:rPr>
              <w:t>得分</w:t>
            </w:r>
          </w:p>
        </w:tc>
      </w:tr>
      <w:tr w14:paraId="50845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E58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34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ABDE">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56B3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CF24">
            <w:pPr>
              <w:jc w:val="center"/>
            </w:pPr>
            <w:r>
              <w:rPr>
                <w:rFonts w:ascii="宋体" w:hAnsi="宋体" w:eastAsia="宋体"/>
                <w:sz w:val="16"/>
              </w:rPr>
              <w:t>38.61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CD9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8E266">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F9CB">
            <w:pPr>
              <w:jc w:val="center"/>
            </w:pPr>
            <w:r>
              <w:rPr>
                <w:rFonts w:ascii="宋体" w:hAnsi="宋体" w:eastAsia="宋体"/>
                <w:sz w:val="16"/>
              </w:rPr>
              <w:t>9.13分</w:t>
            </w:r>
          </w:p>
        </w:tc>
      </w:tr>
      <w:tr w14:paraId="55055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FF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E2D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C53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02B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68E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A2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4F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AA2B">
            <w:pPr>
              <w:jc w:val="center"/>
            </w:pPr>
            <w:r>
              <w:rPr>
                <w:rFonts w:ascii="宋体" w:hAnsi="宋体" w:eastAsia="宋体"/>
                <w:sz w:val="16"/>
              </w:rPr>
              <w:t>—</w:t>
            </w:r>
          </w:p>
        </w:tc>
      </w:tr>
      <w:tr w14:paraId="15B57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8E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C5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D567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06F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B725">
            <w:pPr>
              <w:jc w:val="center"/>
            </w:pPr>
            <w:r>
              <w:rPr>
                <w:rFonts w:ascii="宋体" w:hAnsi="宋体" w:eastAsia="宋体"/>
                <w:sz w:val="16"/>
              </w:rPr>
              <w:t>23.61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F73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CB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1D9A">
            <w:pPr>
              <w:jc w:val="center"/>
            </w:pPr>
            <w:r>
              <w:rPr>
                <w:rFonts w:ascii="宋体" w:hAnsi="宋体" w:eastAsia="宋体"/>
                <w:sz w:val="16"/>
              </w:rPr>
              <w:t>—</w:t>
            </w:r>
          </w:p>
        </w:tc>
      </w:tr>
      <w:tr w14:paraId="406BA4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169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4958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D30BCC">
            <w:pPr>
              <w:jc w:val="center"/>
            </w:pPr>
            <w:r>
              <w:rPr>
                <w:rFonts w:ascii="宋体" w:hAnsi="宋体" w:eastAsia="宋体"/>
                <w:sz w:val="16"/>
              </w:rPr>
              <w:t>实际完成情况</w:t>
            </w:r>
          </w:p>
        </w:tc>
      </w:tr>
      <w:tr w14:paraId="2E34C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592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44DD81">
            <w:pPr>
              <w:jc w:val="both"/>
            </w:pPr>
            <w:r>
              <w:rPr>
                <w:rFonts w:ascii="宋体" w:hAnsi="宋体" w:eastAsia="宋体"/>
                <w:sz w:val="16"/>
              </w:rPr>
              <w:t>该项目总投资65万元，其中：财政资金15万元，援疆资金50万元。主要用于完成存量档案数字化工作，为建设数字化档案馆打下坚实基础、为服务群众提供便捷式检索服务提供打下坚实基础，通过该项</w:t>
            </w:r>
            <w:r>
              <w:rPr>
                <w:rFonts w:hint="eastAsia" w:ascii="宋体" w:hAnsi="宋体"/>
                <w:sz w:val="16"/>
                <w:lang w:eastAsia="zh-CN"/>
              </w:rPr>
              <w:t>目的</w:t>
            </w:r>
            <w:r>
              <w:rPr>
                <w:rFonts w:ascii="宋体" w:hAnsi="宋体" w:eastAsia="宋体"/>
                <w:sz w:val="16"/>
              </w:rPr>
              <w:t>实施达到为全州档案数字化事业历史性奠基的效果。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C5D3AC">
            <w:pPr>
              <w:jc w:val="both"/>
            </w:pPr>
            <w:r>
              <w:rPr>
                <w:rFonts w:hint="eastAsia" w:ascii="宋体" w:hAnsi="宋体"/>
                <w:sz w:val="16"/>
                <w:lang w:eastAsia="zh-CN"/>
              </w:rPr>
              <w:t>截至2024</w:t>
            </w:r>
            <w:r>
              <w:rPr>
                <w:rFonts w:ascii="宋体" w:hAnsi="宋体" w:eastAsia="宋体"/>
                <w:sz w:val="16"/>
              </w:rPr>
              <w:t>年12月31日，主要完成200万页档案数字存量档案数字化工作，为建设数字化档案馆打下坚实基础、为服务群众提供便捷式检索服务提供打下坚实基础，通过该项目实施达到为全州档案数字化事业历史性奠基的效果。</w:t>
            </w:r>
          </w:p>
        </w:tc>
      </w:tr>
      <w:tr w14:paraId="1A6CEE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E9B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55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48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AB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1A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4F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0E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9E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27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FE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82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AE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3395">
            <w:pPr>
              <w:jc w:val="center"/>
            </w:pPr>
            <w:r>
              <w:rPr>
                <w:rFonts w:ascii="宋体" w:hAnsi="宋体" w:eastAsia="宋体"/>
                <w:sz w:val="16"/>
              </w:rPr>
              <w:t>偏差原因分析及改进措施</w:t>
            </w:r>
          </w:p>
        </w:tc>
      </w:tr>
      <w:tr w14:paraId="39DED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686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F0E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EC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444E">
            <w:pPr>
              <w:jc w:val="center"/>
            </w:pPr>
            <w:r>
              <w:rPr>
                <w:rFonts w:ascii="宋体" w:hAnsi="宋体" w:eastAsia="宋体"/>
                <w:sz w:val="16"/>
              </w:rPr>
              <w:t>档案数据备份量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2B58">
            <w:pPr>
              <w:jc w:val="center"/>
            </w:pPr>
            <w:r>
              <w:rPr>
                <w:rFonts w:ascii="宋体" w:hAnsi="宋体" w:eastAsia="宋体"/>
                <w:sz w:val="16"/>
              </w:rPr>
              <w:t>=30万页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B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CCC2">
            <w:pPr>
              <w:jc w:val="center"/>
            </w:pPr>
            <w:r>
              <w:rPr>
                <w:rFonts w:ascii="宋体" w:hAnsi="宋体" w:eastAsia="宋体"/>
                <w:sz w:val="16"/>
              </w:rPr>
              <w:t>200万页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8F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1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F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C11E">
            <w:pPr>
              <w:jc w:val="center"/>
            </w:pPr>
            <w:r>
              <w:rPr>
                <w:rFonts w:ascii="宋体" w:hAnsi="宋体" w:eastAsia="宋体"/>
                <w:sz w:val="16"/>
              </w:rPr>
              <w:t>=200万页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96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7942">
            <w:pPr>
              <w:jc w:val="center"/>
            </w:pPr>
          </w:p>
        </w:tc>
      </w:tr>
      <w:tr w14:paraId="0AC0F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7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D28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FF1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580E">
            <w:pPr>
              <w:jc w:val="center"/>
            </w:pPr>
            <w:r>
              <w:rPr>
                <w:rFonts w:ascii="宋体" w:hAnsi="宋体" w:eastAsia="宋体"/>
                <w:sz w:val="16"/>
              </w:rPr>
              <w:t>上传数字化档案合格率（%）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4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C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D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0E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A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C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D1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A689F">
            <w:pPr>
              <w:jc w:val="center"/>
            </w:pPr>
          </w:p>
        </w:tc>
      </w:tr>
      <w:tr w14:paraId="77B5F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D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2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8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77DA">
            <w:pPr>
              <w:jc w:val="center"/>
            </w:pPr>
            <w:r>
              <w:rPr>
                <w:rFonts w:ascii="宋体" w:hAnsi="宋体" w:eastAsia="宋体"/>
                <w:sz w:val="16"/>
              </w:rPr>
              <w:t>藏档案数字化率（%）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9F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A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01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68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E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F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6BB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AF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7ADA8">
            <w:pPr>
              <w:jc w:val="center"/>
            </w:pPr>
          </w:p>
        </w:tc>
      </w:tr>
      <w:tr w14:paraId="385C1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D7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3AD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525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70A5">
            <w:pPr>
              <w:jc w:val="center"/>
            </w:pPr>
            <w:r>
              <w:rPr>
                <w:rFonts w:ascii="宋体" w:hAnsi="宋体" w:eastAsia="宋体"/>
                <w:sz w:val="16"/>
              </w:rPr>
              <w:t>项目实施时间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DD0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5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E0A7">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7D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B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A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A21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80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558B5">
            <w:pPr>
              <w:jc w:val="center"/>
            </w:pPr>
          </w:p>
        </w:tc>
      </w:tr>
      <w:tr w14:paraId="3F271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1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54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EB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1F21">
            <w:pPr>
              <w:jc w:val="center"/>
            </w:pPr>
            <w:r>
              <w:rPr>
                <w:rFonts w:ascii="宋体" w:hAnsi="宋体" w:eastAsia="宋体"/>
                <w:sz w:val="16"/>
              </w:rPr>
              <w:t>传统载体档案</w:t>
            </w:r>
            <w:r>
              <w:rPr>
                <w:rFonts w:hint="eastAsia" w:ascii="宋体" w:hAnsi="宋体"/>
                <w:sz w:val="16"/>
                <w:lang w:eastAsia="zh-CN"/>
              </w:rPr>
              <w:t>数字化</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F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2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1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DD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5E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9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4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92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72EE">
            <w:pPr>
              <w:jc w:val="center"/>
            </w:pPr>
          </w:p>
        </w:tc>
      </w:tr>
      <w:tr w14:paraId="04466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C56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D30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2C9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D9CF">
            <w:pPr>
              <w:jc w:val="center"/>
            </w:pPr>
            <w:r>
              <w:rPr>
                <w:rFonts w:ascii="宋体" w:hAnsi="宋体" w:eastAsia="宋体"/>
                <w:sz w:val="16"/>
              </w:rPr>
              <w:t>档案数字化财政款经费数（万元）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C5C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67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1865">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2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0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80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A16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0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56B8">
            <w:pPr>
              <w:jc w:val="center"/>
            </w:pPr>
          </w:p>
        </w:tc>
      </w:tr>
      <w:tr w14:paraId="490B5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D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C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D0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EA43">
            <w:pPr>
              <w:jc w:val="center"/>
            </w:pPr>
            <w:r>
              <w:rPr>
                <w:rFonts w:ascii="宋体" w:hAnsi="宋体" w:eastAsia="宋体"/>
                <w:sz w:val="16"/>
              </w:rPr>
              <w:t>档案数字化、交流交融援疆支持经费数（万元）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E854">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07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71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4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0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8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CC1C">
            <w:pPr>
              <w:jc w:val="center"/>
            </w:pPr>
            <w:r>
              <w:rPr>
                <w:rFonts w:ascii="宋体" w:hAnsi="宋体" w:eastAsia="宋体"/>
                <w:sz w:val="16"/>
              </w:rPr>
              <w:t>=23.6147万元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908F">
            <w:pPr>
              <w:jc w:val="center"/>
            </w:pPr>
            <w:r>
              <w:rPr>
                <w:rFonts w:ascii="宋体" w:hAnsi="宋体" w:eastAsia="宋体"/>
                <w:sz w:val="16"/>
              </w:rPr>
              <w:t>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D0007">
            <w:pPr>
              <w:jc w:val="center"/>
            </w:pPr>
            <w:r>
              <w:rPr>
                <w:rFonts w:ascii="宋体" w:hAnsi="宋体" w:eastAsia="宋体"/>
                <w:sz w:val="16"/>
              </w:rPr>
              <w:t>偏差原因：交流交融成本减少；改进措施：加强预算精准测算</w:t>
            </w:r>
          </w:p>
        </w:tc>
      </w:tr>
      <w:tr w14:paraId="4A976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D1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B3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D7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E8CC">
            <w:pPr>
              <w:jc w:val="center"/>
            </w:pPr>
            <w:r>
              <w:rPr>
                <w:rFonts w:ascii="宋体" w:hAnsi="宋体" w:eastAsia="宋体"/>
                <w:sz w:val="16"/>
              </w:rPr>
              <w:t>为服务群众提供便捷式检索服务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7CF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9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70C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B7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A2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94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FAF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4C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050A">
            <w:pPr>
              <w:jc w:val="center"/>
            </w:pPr>
          </w:p>
        </w:tc>
      </w:tr>
      <w:tr w14:paraId="08040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0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AE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95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CDCF">
            <w:pPr>
              <w:jc w:val="center"/>
            </w:pPr>
            <w:r>
              <w:rPr>
                <w:rFonts w:ascii="宋体" w:hAnsi="宋体" w:eastAsia="宋体"/>
                <w:sz w:val="16"/>
              </w:rPr>
              <w:t>受益预算单位满意度（%）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A8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A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57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ED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16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A3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6E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1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7395">
            <w:pPr>
              <w:jc w:val="center"/>
            </w:pPr>
          </w:p>
        </w:tc>
      </w:tr>
      <w:tr w14:paraId="5C594B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CA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1A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CBA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8D0FB">
            <w:pPr>
              <w:jc w:val="center"/>
            </w:pPr>
            <w:r>
              <w:rPr>
                <w:rFonts w:ascii="宋体" w:hAnsi="宋体" w:eastAsia="宋体"/>
                <w:sz w:val="16"/>
              </w:rPr>
              <w:t>97.74分</w:t>
            </w:r>
          </w:p>
        </w:tc>
      </w:tr>
    </w:tbl>
    <w:p w14:paraId="53B24214">
      <w:r>
        <w:br w:type="page"/>
      </w:r>
    </w:p>
    <w:p w14:paraId="5B969561">
      <w:pPr>
        <w:spacing w:line="640" w:lineRule="exact"/>
        <w:ind w:firstLine="640"/>
        <w:jc w:val="both"/>
        <w:outlineLvl w:val="2"/>
      </w:pPr>
      <w:r>
        <w:rPr>
          <w:rFonts w:ascii="黑体" w:hAnsi="黑体" w:eastAsia="黑体"/>
          <w:sz w:val="32"/>
        </w:rPr>
        <w:t>十二、其他需说明的事项</w:t>
      </w:r>
    </w:p>
    <w:p w14:paraId="330BE3FA">
      <w:pPr>
        <w:spacing w:line="580" w:lineRule="exact"/>
        <w:ind w:firstLine="640"/>
        <w:jc w:val="both"/>
      </w:pPr>
      <w:r>
        <w:rPr>
          <w:rFonts w:ascii="仿宋_GB2312" w:hAnsi="仿宋_GB2312" w:eastAsia="仿宋_GB2312"/>
          <w:b w:val="0"/>
          <w:sz w:val="32"/>
        </w:rPr>
        <w:t>本单位无其他需说明的事项。</w:t>
      </w:r>
    </w:p>
    <w:p w14:paraId="7E939418">
      <w:r>
        <w:br w:type="page"/>
      </w:r>
    </w:p>
    <w:p w14:paraId="57125632">
      <w:pPr>
        <w:spacing w:line="240" w:lineRule="auto"/>
        <w:jc w:val="center"/>
        <w:outlineLvl w:val="1"/>
      </w:pPr>
      <w:r>
        <w:rPr>
          <w:rFonts w:ascii="黑体" w:hAnsi="黑体" w:eastAsia="黑体"/>
          <w:sz w:val="32"/>
        </w:rPr>
        <w:t>第三部分 专业名词解释</w:t>
      </w:r>
    </w:p>
    <w:p w14:paraId="03156BE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D47AF7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F87EB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50475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0C0E5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2D365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CF745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3925E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BE793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0C597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79DD6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C77EA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35F50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4C106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40EA92E">
      <w:r>
        <w:br w:type="page"/>
      </w:r>
    </w:p>
    <w:p w14:paraId="60003755">
      <w:pPr>
        <w:spacing w:line="240" w:lineRule="auto"/>
        <w:jc w:val="center"/>
        <w:outlineLvl w:val="1"/>
      </w:pPr>
      <w:r>
        <w:rPr>
          <w:rFonts w:ascii="黑体" w:hAnsi="黑体" w:eastAsia="黑体"/>
          <w:sz w:val="32"/>
        </w:rPr>
        <w:t>第四部分 部门决算报表（见附表）</w:t>
      </w:r>
    </w:p>
    <w:p w14:paraId="41720EF8">
      <w:pPr>
        <w:spacing w:line="240" w:lineRule="auto"/>
        <w:ind w:firstLine="640"/>
        <w:jc w:val="both"/>
      </w:pPr>
      <w:r>
        <w:rPr>
          <w:rFonts w:ascii="仿宋_GB2312" w:hAnsi="仿宋_GB2312" w:eastAsia="仿宋_GB2312"/>
          <w:b w:val="0"/>
          <w:sz w:val="32"/>
        </w:rPr>
        <w:t>一、《收入支出决算总表》</w:t>
      </w:r>
    </w:p>
    <w:p w14:paraId="24A37150">
      <w:pPr>
        <w:spacing w:line="240" w:lineRule="auto"/>
        <w:ind w:firstLine="640"/>
        <w:jc w:val="both"/>
      </w:pPr>
      <w:r>
        <w:rPr>
          <w:rFonts w:ascii="仿宋_GB2312" w:hAnsi="仿宋_GB2312" w:eastAsia="仿宋_GB2312"/>
          <w:b w:val="0"/>
          <w:sz w:val="32"/>
        </w:rPr>
        <w:t>二、《收入决算表》</w:t>
      </w:r>
    </w:p>
    <w:p w14:paraId="6DAE122E">
      <w:pPr>
        <w:spacing w:line="240" w:lineRule="auto"/>
        <w:ind w:firstLine="640"/>
        <w:jc w:val="both"/>
      </w:pPr>
      <w:r>
        <w:rPr>
          <w:rFonts w:ascii="仿宋_GB2312" w:hAnsi="仿宋_GB2312" w:eastAsia="仿宋_GB2312"/>
          <w:b w:val="0"/>
          <w:sz w:val="32"/>
        </w:rPr>
        <w:t>三、《支出决算表》</w:t>
      </w:r>
    </w:p>
    <w:p w14:paraId="0B19D844">
      <w:pPr>
        <w:spacing w:line="240" w:lineRule="auto"/>
        <w:ind w:firstLine="640"/>
        <w:jc w:val="both"/>
      </w:pPr>
      <w:r>
        <w:rPr>
          <w:rFonts w:ascii="仿宋_GB2312" w:hAnsi="仿宋_GB2312" w:eastAsia="仿宋_GB2312"/>
          <w:b w:val="0"/>
          <w:sz w:val="32"/>
        </w:rPr>
        <w:t>四、《财政拨款收入支出决算总表》</w:t>
      </w:r>
    </w:p>
    <w:p w14:paraId="6C8346B7">
      <w:pPr>
        <w:spacing w:line="240" w:lineRule="auto"/>
        <w:ind w:firstLine="640"/>
        <w:jc w:val="both"/>
      </w:pPr>
      <w:r>
        <w:rPr>
          <w:rFonts w:ascii="仿宋_GB2312" w:hAnsi="仿宋_GB2312" w:eastAsia="仿宋_GB2312"/>
          <w:b w:val="0"/>
          <w:sz w:val="32"/>
        </w:rPr>
        <w:t>五、《一般公共预算财政拨款支出决算表》</w:t>
      </w:r>
    </w:p>
    <w:p w14:paraId="379154CB">
      <w:pPr>
        <w:spacing w:line="240" w:lineRule="auto"/>
        <w:ind w:firstLine="640"/>
        <w:jc w:val="both"/>
      </w:pPr>
      <w:r>
        <w:rPr>
          <w:rFonts w:ascii="仿宋_GB2312" w:hAnsi="仿宋_GB2312" w:eastAsia="仿宋_GB2312"/>
          <w:b w:val="0"/>
          <w:sz w:val="32"/>
        </w:rPr>
        <w:t>六、《一般公共预算财政拨款基本支出决算表》</w:t>
      </w:r>
    </w:p>
    <w:p w14:paraId="3DC97C04">
      <w:pPr>
        <w:spacing w:line="240" w:lineRule="auto"/>
        <w:ind w:firstLine="640"/>
        <w:jc w:val="both"/>
      </w:pPr>
      <w:r>
        <w:rPr>
          <w:rFonts w:ascii="仿宋_GB2312" w:hAnsi="仿宋_GB2312" w:eastAsia="仿宋_GB2312"/>
          <w:b w:val="0"/>
          <w:sz w:val="32"/>
        </w:rPr>
        <w:t>七、《政府性基金预算财政拨款收入支出决算表》</w:t>
      </w:r>
    </w:p>
    <w:p w14:paraId="060CB1EB">
      <w:pPr>
        <w:spacing w:line="240" w:lineRule="auto"/>
        <w:ind w:firstLine="640"/>
        <w:jc w:val="both"/>
      </w:pPr>
      <w:r>
        <w:rPr>
          <w:rFonts w:ascii="仿宋_GB2312" w:hAnsi="仿宋_GB2312" w:eastAsia="仿宋_GB2312"/>
          <w:b w:val="0"/>
          <w:sz w:val="32"/>
        </w:rPr>
        <w:t>八、《国有资本经营预算财政拨款收入支出决算表》</w:t>
      </w:r>
    </w:p>
    <w:p w14:paraId="2EE98286">
      <w:pPr>
        <w:spacing w:line="240" w:lineRule="auto"/>
        <w:ind w:firstLine="640"/>
        <w:jc w:val="both"/>
      </w:pPr>
      <w:r>
        <w:rPr>
          <w:rFonts w:ascii="仿宋_GB2312" w:hAnsi="仿宋_GB2312" w:eastAsia="仿宋_GB2312"/>
          <w:b w:val="0"/>
          <w:sz w:val="32"/>
        </w:rPr>
        <w:t>九、《财政拨款“三公”经费支出决算表》</w:t>
      </w:r>
    </w:p>
    <w:p w14:paraId="35A663A2">
      <w:pPr>
        <w:spacing w:line="240" w:lineRule="auto"/>
        <w:ind w:firstLine="640"/>
        <w:jc w:val="both"/>
      </w:pPr>
    </w:p>
    <w:p w14:paraId="2DBA531A">
      <w:pPr>
        <w:spacing w:line="240" w:lineRule="auto"/>
        <w:ind w:firstLine="640"/>
        <w:jc w:val="both"/>
      </w:pPr>
    </w:p>
    <w:p w14:paraId="3DBAEE4B">
      <w:pPr>
        <w:spacing w:line="240" w:lineRule="auto"/>
        <w:ind w:firstLine="640"/>
        <w:jc w:val="both"/>
      </w:pPr>
    </w:p>
    <w:p w14:paraId="48B7C6C5">
      <w:pPr>
        <w:spacing w:line="240" w:lineRule="auto"/>
        <w:ind w:firstLine="640"/>
        <w:jc w:val="both"/>
      </w:pPr>
    </w:p>
    <w:p w14:paraId="7FFD492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28E573-D4BE-4F8E-83E6-41B5C8EDFD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3AA800F2-5DBA-479F-ACF2-08D74A173718}"/>
  </w:font>
  <w:font w:name="楷体_GB2312">
    <w:panose1 w:val="02010609030101010101"/>
    <w:charset w:val="86"/>
    <w:family w:val="auto"/>
    <w:pitch w:val="default"/>
    <w:sig w:usb0="00000001" w:usb1="080E0000" w:usb2="00000000" w:usb3="00000000" w:csb0="00040000" w:csb1="00000000"/>
    <w:embedRegular r:id="rId3" w:fontKey="{F67E0175-C56C-430C-B245-D6E0BECC7019}"/>
  </w:font>
  <w:font w:name="方正小标宋_GBK">
    <w:panose1 w:val="02000000000000000000"/>
    <w:charset w:val="86"/>
    <w:family w:val="script"/>
    <w:pitch w:val="default"/>
    <w:sig w:usb0="A00002BF" w:usb1="38CF7CFA" w:usb2="00082016" w:usb3="00000000" w:csb0="00040001" w:csb1="00000000"/>
    <w:embedRegular r:id="rId4" w:fontKey="{99FBE8F6-8043-4B6A-8D20-988B61DE6C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0457D8"/>
    <w:rsid w:val="09A729D8"/>
    <w:rsid w:val="0A3C58E8"/>
    <w:rsid w:val="0A7B4867"/>
    <w:rsid w:val="0B8C3ECC"/>
    <w:rsid w:val="0C3613A3"/>
    <w:rsid w:val="0C7227A7"/>
    <w:rsid w:val="0DCA6EF7"/>
    <w:rsid w:val="0E4B1576"/>
    <w:rsid w:val="0EA04331"/>
    <w:rsid w:val="0F9811B3"/>
    <w:rsid w:val="11E15093"/>
    <w:rsid w:val="120E0809"/>
    <w:rsid w:val="156E64F9"/>
    <w:rsid w:val="19071D6C"/>
    <w:rsid w:val="19B5554D"/>
    <w:rsid w:val="1B8F2D19"/>
    <w:rsid w:val="1C317E4F"/>
    <w:rsid w:val="1C472464"/>
    <w:rsid w:val="1D3544E5"/>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8C5A6B"/>
    <w:rsid w:val="2FD27414"/>
    <w:rsid w:val="313F1D52"/>
    <w:rsid w:val="318029AB"/>
    <w:rsid w:val="31C63837"/>
    <w:rsid w:val="326F0A17"/>
    <w:rsid w:val="3277581B"/>
    <w:rsid w:val="38006E2C"/>
    <w:rsid w:val="3914510A"/>
    <w:rsid w:val="3B1220C9"/>
    <w:rsid w:val="3D5275AC"/>
    <w:rsid w:val="3EA7725F"/>
    <w:rsid w:val="3EC014A1"/>
    <w:rsid w:val="40834692"/>
    <w:rsid w:val="420A677A"/>
    <w:rsid w:val="423A32B2"/>
    <w:rsid w:val="423C0CB4"/>
    <w:rsid w:val="427B5743"/>
    <w:rsid w:val="42E64542"/>
    <w:rsid w:val="464B7E04"/>
    <w:rsid w:val="464F7E64"/>
    <w:rsid w:val="46901EEE"/>
    <w:rsid w:val="469C74D2"/>
    <w:rsid w:val="47445515"/>
    <w:rsid w:val="4B4C0111"/>
    <w:rsid w:val="4BB23021"/>
    <w:rsid w:val="4F3F074E"/>
    <w:rsid w:val="50DB5F45"/>
    <w:rsid w:val="526D7CA2"/>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071BA7"/>
    <w:rsid w:val="68DB0208"/>
    <w:rsid w:val="68DF36D5"/>
    <w:rsid w:val="69846A0E"/>
    <w:rsid w:val="69AD798C"/>
    <w:rsid w:val="6B68175F"/>
    <w:rsid w:val="6B8B5C99"/>
    <w:rsid w:val="6CA7198F"/>
    <w:rsid w:val="6D8919A8"/>
    <w:rsid w:val="6E0F7A08"/>
    <w:rsid w:val="6E801ABC"/>
    <w:rsid w:val="71473612"/>
    <w:rsid w:val="718F7F65"/>
    <w:rsid w:val="73423603"/>
    <w:rsid w:val="737A5923"/>
    <w:rsid w:val="739421F9"/>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5499</Words>
  <Characters>6192</Characters>
  <Lines>0</Lines>
  <Paragraphs>0</Paragraphs>
  <TotalTime>0</TotalTime>
  <ScaleCrop>false</ScaleCrop>
  <LinksUpToDate>false</LinksUpToDate>
  <CharactersWithSpaces>6204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