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克孜勒苏柯尔克孜自治州社会主义学院2024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ECDD75">
      <w:r>
        <w:br w:type="page"/>
      </w:r>
    </w:p>
    <w:p w14:paraId="190750F6">
      <w:pPr>
        <w:spacing w:line="640" w:lineRule="exact"/>
        <w:jc w:val="center"/>
        <w:outlineLvl w:val="1"/>
      </w:pPr>
      <w:r>
        <w:rPr>
          <w:rFonts w:ascii="黑体" w:hAnsi="黑体" w:eastAsia="黑体"/>
          <w:sz w:val="32"/>
        </w:rPr>
        <w:t>第一部分 单位概况</w:t>
      </w:r>
    </w:p>
    <w:p w14:paraId="212E1B46">
      <w:pPr>
        <w:spacing w:line="640" w:lineRule="exact"/>
        <w:ind w:firstLine="640"/>
        <w:jc w:val="both"/>
        <w:outlineLvl w:val="2"/>
      </w:pPr>
      <w:r>
        <w:rPr>
          <w:rFonts w:ascii="黑体" w:hAnsi="黑体" w:eastAsia="黑体"/>
          <w:sz w:val="32"/>
        </w:rPr>
        <w:t>一、主要职能</w:t>
      </w:r>
    </w:p>
    <w:p w14:paraId="7497FD10">
      <w:pPr>
        <w:spacing w:line="580" w:lineRule="exact"/>
        <w:ind w:firstLine="640"/>
        <w:jc w:val="both"/>
      </w:pPr>
      <w:r>
        <w:rPr>
          <w:rFonts w:ascii="仿宋_GB2312" w:hAnsi="仿宋_GB2312" w:eastAsia="仿宋_GB2312"/>
          <w:sz w:val="32"/>
        </w:rPr>
        <w:t>克州社会主义学院组织民主党派领导干部和无党派代表人士学习研究党的基本理论及统一战线理论和党的路线、方针、政策，提高政治素质、理论政策水平和参政议政、民主监督的能力；对统一战线系统干部进行岗位培训，提高干部的理论政策水平；培训地方社会主义学院教学科研和行政管理骨干；进行统战理论研究工作；协助有关部门对学员在学习期间的表现进行考核，为民主党派和统战工作部门选拔培养干部提供参考意见。</w:t>
      </w:r>
    </w:p>
    <w:p w14:paraId="4DAA52FB">
      <w:pPr>
        <w:spacing w:line="640" w:lineRule="exact"/>
        <w:ind w:firstLine="640"/>
        <w:jc w:val="both"/>
        <w:outlineLvl w:val="2"/>
      </w:pPr>
      <w:r>
        <w:rPr>
          <w:rFonts w:ascii="黑体" w:hAnsi="黑体" w:eastAsia="黑体"/>
          <w:sz w:val="32"/>
        </w:rPr>
        <w:t>二、机构设置及人员情况</w:t>
      </w:r>
    </w:p>
    <w:p w14:paraId="3E7C7F55">
      <w:pPr>
        <w:spacing w:line="580" w:lineRule="exact"/>
        <w:ind w:firstLine="640"/>
        <w:jc w:val="both"/>
      </w:pPr>
      <w:r>
        <w:rPr>
          <w:rFonts w:ascii="仿宋_GB2312" w:hAnsi="仿宋_GB2312" w:eastAsia="仿宋_GB2312"/>
          <w:sz w:val="32"/>
        </w:rPr>
        <w:t>克孜勒苏柯尔克孜自治州社会主义学院2024年度，实有人数17人，其中：在职人员13人，增加1人；离休人员0人，增加0人；退休人员4人,增加0人。</w:t>
      </w:r>
    </w:p>
    <w:p w14:paraId="10DD20CB">
      <w:pPr>
        <w:spacing w:line="580" w:lineRule="exact"/>
        <w:ind w:firstLine="640"/>
        <w:jc w:val="both"/>
      </w:pPr>
      <w:r>
        <w:rPr>
          <w:rFonts w:ascii="仿宋_GB2312" w:hAnsi="仿宋_GB2312" w:eastAsia="仿宋_GB2312"/>
          <w:sz w:val="32"/>
        </w:rPr>
        <w:t>克孜勒苏柯尔克孜自治州社会主义学院无下属预算单位，下设3个科室，分别是：办公室、总务科、教务研究室。</w:t>
      </w:r>
    </w:p>
    <w:p w14:paraId="0F9209C4">
      <w:r>
        <w:br w:type="page"/>
      </w:r>
    </w:p>
    <w:p w14:paraId="1FB1AECE">
      <w:pPr>
        <w:spacing w:line="240" w:lineRule="auto"/>
        <w:jc w:val="center"/>
        <w:outlineLvl w:val="1"/>
      </w:pPr>
      <w:r>
        <w:rPr>
          <w:rFonts w:ascii="黑体" w:hAnsi="黑体" w:eastAsia="黑体"/>
          <w:sz w:val="32"/>
        </w:rPr>
        <w:t>第二部分 部门决算情况说明</w:t>
      </w:r>
    </w:p>
    <w:p w14:paraId="5AABFA0C">
      <w:pPr>
        <w:spacing w:line="640" w:lineRule="exact"/>
        <w:ind w:firstLine="640"/>
        <w:jc w:val="both"/>
        <w:outlineLvl w:val="2"/>
      </w:pPr>
      <w:r>
        <w:rPr>
          <w:rFonts w:ascii="黑体" w:hAnsi="黑体" w:eastAsia="黑体"/>
          <w:sz w:val="32"/>
        </w:rPr>
        <w:t>一、收入支出决算总体情况说明</w:t>
      </w:r>
    </w:p>
    <w:p w14:paraId="4CCB13FF">
      <w:pPr>
        <w:spacing w:line="580" w:lineRule="exact"/>
        <w:ind w:firstLine="640"/>
        <w:jc w:val="both"/>
      </w:pPr>
      <w:r>
        <w:rPr>
          <w:rFonts w:ascii="仿宋_GB2312" w:hAnsi="仿宋_GB2312" w:eastAsia="仿宋_GB2312"/>
          <w:b/>
          <w:sz w:val="32"/>
        </w:rPr>
        <w:t>2024年度收入总计441.12万元，</w:t>
      </w:r>
      <w:r>
        <w:rPr>
          <w:rFonts w:ascii="仿宋_GB2312" w:hAnsi="仿宋_GB2312" w:eastAsia="仿宋_GB2312"/>
          <w:b w:val="0"/>
          <w:sz w:val="32"/>
        </w:rPr>
        <w:t>其中：本年收入合计436.78万元，使用非财政拨款结余（含专用结余）0.00万元，年初结转和结余4.34万元。</w:t>
      </w:r>
    </w:p>
    <w:p w14:paraId="40DF7444">
      <w:pPr>
        <w:spacing w:line="580" w:lineRule="exact"/>
        <w:ind w:firstLine="640"/>
        <w:jc w:val="both"/>
      </w:pPr>
      <w:r>
        <w:rPr>
          <w:rFonts w:ascii="仿宋_GB2312" w:hAnsi="仿宋_GB2312" w:eastAsia="仿宋_GB2312"/>
          <w:b/>
          <w:sz w:val="32"/>
        </w:rPr>
        <w:t>2024年度支出总计441.12万元，</w:t>
      </w:r>
      <w:r>
        <w:rPr>
          <w:rFonts w:ascii="仿宋_GB2312" w:hAnsi="仿宋_GB2312" w:eastAsia="仿宋_GB2312"/>
          <w:b w:val="0"/>
          <w:sz w:val="32"/>
        </w:rPr>
        <w:t>其中：本年支出合计412.27万元，结余分配0.00万元，年末结转和结余28.85万元。</w:t>
      </w:r>
    </w:p>
    <w:p w14:paraId="323F0663">
      <w:pPr>
        <w:spacing w:line="580" w:lineRule="exact"/>
        <w:ind w:firstLine="640"/>
        <w:jc w:val="both"/>
      </w:pPr>
      <w:r>
        <w:rPr>
          <w:rFonts w:ascii="仿宋_GB2312" w:hAnsi="仿宋_GB2312" w:eastAsia="仿宋_GB2312"/>
          <w:b w:val="0"/>
          <w:sz w:val="32"/>
        </w:rPr>
        <w:t>收入支出总体与上年相比，减少15.44万元，下降3.38%，主要原因是：本年培训项目资金较上年减少。</w:t>
      </w:r>
    </w:p>
    <w:p w14:paraId="265E0050">
      <w:pPr>
        <w:spacing w:line="640" w:lineRule="exact"/>
        <w:ind w:firstLine="640"/>
        <w:jc w:val="both"/>
        <w:outlineLvl w:val="2"/>
      </w:pPr>
      <w:r>
        <w:rPr>
          <w:rFonts w:ascii="黑体" w:hAnsi="黑体" w:eastAsia="黑体"/>
          <w:sz w:val="32"/>
        </w:rPr>
        <w:t>二、收入决算情况说明</w:t>
      </w:r>
    </w:p>
    <w:p w14:paraId="6245BBE4">
      <w:pPr>
        <w:spacing w:line="580" w:lineRule="exact"/>
        <w:ind w:firstLine="640"/>
        <w:jc w:val="both"/>
      </w:pPr>
      <w:r>
        <w:rPr>
          <w:rFonts w:ascii="仿宋_GB2312" w:hAnsi="仿宋_GB2312" w:eastAsia="仿宋_GB2312"/>
          <w:b/>
          <w:sz w:val="32"/>
        </w:rPr>
        <w:t>本年收入436.78万元，</w:t>
      </w:r>
      <w:r>
        <w:rPr>
          <w:rFonts w:ascii="仿宋_GB2312" w:hAnsi="仿宋_GB2312" w:eastAsia="仿宋_GB2312"/>
          <w:b w:val="0"/>
          <w:sz w:val="32"/>
        </w:rPr>
        <w:t>其中：财政拨款收入395.10万元，占90.46%；上级补助收入0.00万元，占0.00%；事业收入0.00万元，占0.00%；经营收入0.00万元，占0.00%；附属单位上缴收入0.00万元，占0.00%；其他收入41.67万元，占9.54%。</w:t>
      </w:r>
    </w:p>
    <w:p w14:paraId="503F69E0">
      <w:pPr>
        <w:spacing w:line="640" w:lineRule="exact"/>
        <w:ind w:firstLine="640"/>
        <w:jc w:val="both"/>
        <w:outlineLvl w:val="2"/>
      </w:pPr>
      <w:r>
        <w:rPr>
          <w:rFonts w:ascii="黑体" w:hAnsi="黑体" w:eastAsia="黑体"/>
          <w:sz w:val="32"/>
        </w:rPr>
        <w:t>三、支出决算情况说明</w:t>
      </w:r>
    </w:p>
    <w:p w14:paraId="6377D3B9">
      <w:pPr>
        <w:spacing w:line="580" w:lineRule="exact"/>
        <w:ind w:firstLine="640"/>
        <w:jc w:val="both"/>
      </w:pPr>
      <w:r>
        <w:rPr>
          <w:rFonts w:ascii="仿宋_GB2312" w:hAnsi="仿宋_GB2312" w:eastAsia="仿宋_GB2312"/>
          <w:b/>
          <w:sz w:val="32"/>
        </w:rPr>
        <w:t>本年支出412.27万元，</w:t>
      </w:r>
      <w:r>
        <w:rPr>
          <w:rFonts w:ascii="仿宋_GB2312" w:hAnsi="仿宋_GB2312" w:eastAsia="仿宋_GB2312"/>
          <w:b w:val="0"/>
          <w:sz w:val="32"/>
        </w:rPr>
        <w:t>其中：基本支出299.33万元，占72.61%；项目支出112.94万元，占27.39%；上缴上级支出0.00万元，占0.00%；经营支出0.00万元，占0.00%；对附属单位补助支出0.00万元，占0.00%。</w:t>
      </w:r>
    </w:p>
    <w:p w14:paraId="26C829A4">
      <w:pPr>
        <w:spacing w:line="640" w:lineRule="exact"/>
        <w:ind w:firstLine="640"/>
        <w:jc w:val="both"/>
        <w:outlineLvl w:val="2"/>
      </w:pPr>
      <w:r>
        <w:rPr>
          <w:rFonts w:ascii="黑体" w:hAnsi="黑体" w:eastAsia="黑体"/>
          <w:sz w:val="32"/>
        </w:rPr>
        <w:t>四、财政拨款收入支出决算总体情况说明</w:t>
      </w:r>
    </w:p>
    <w:p w14:paraId="1051D9A3">
      <w:pPr>
        <w:spacing w:line="580" w:lineRule="exact"/>
        <w:ind w:firstLine="640"/>
        <w:jc w:val="both"/>
      </w:pPr>
      <w:r>
        <w:rPr>
          <w:rFonts w:ascii="仿宋_GB2312" w:hAnsi="仿宋_GB2312" w:eastAsia="仿宋_GB2312"/>
          <w:b/>
          <w:sz w:val="32"/>
        </w:rPr>
        <w:t>2024年度财政拨款收入总计395.10万元，</w:t>
      </w:r>
      <w:r>
        <w:rPr>
          <w:rFonts w:ascii="仿宋_GB2312" w:hAnsi="仿宋_GB2312" w:eastAsia="仿宋_GB2312"/>
          <w:b w:val="0"/>
          <w:sz w:val="32"/>
        </w:rPr>
        <w:t>其中：年初财政拨款结转和结余0.00万元，本年财政拨款收入395.10万元。</w:t>
      </w:r>
      <w:r>
        <w:rPr>
          <w:rFonts w:ascii="仿宋_GB2312" w:hAnsi="仿宋_GB2312" w:eastAsia="仿宋_GB2312"/>
          <w:b/>
          <w:sz w:val="32"/>
        </w:rPr>
        <w:t>财政拨款支出总计395.10万元，</w:t>
      </w:r>
      <w:r>
        <w:rPr>
          <w:rFonts w:ascii="仿宋_GB2312" w:hAnsi="仿宋_GB2312" w:eastAsia="仿宋_GB2312"/>
          <w:b w:val="0"/>
          <w:sz w:val="32"/>
        </w:rPr>
        <w:t>其中：年末财政拨款结转和结余0.00万元，本年财政拨款支出395.10万元。</w:t>
      </w:r>
    </w:p>
    <w:p w14:paraId="777EC3C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增加32.52万元，增长8.97%，主要原因是：本年在职人员增加，在职人员工资调增、社保、公积金基数调增，人员经费增加。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年初预算数340.44万元，决算数395.10万元，预决算差异率16.06%，主要原因是：本年在职人员增加，年中追加人员经费及人员工资、社保、公积金基数调增部分资金，导致预决算存在差异。</w:t>
      </w:r>
    </w:p>
    <w:p w14:paraId="2D3EE648">
      <w:pPr>
        <w:spacing w:line="640" w:lineRule="exact"/>
        <w:ind w:firstLine="640"/>
        <w:jc w:val="both"/>
        <w:outlineLvl w:val="2"/>
      </w:pPr>
      <w:r>
        <w:rPr>
          <w:rFonts w:ascii="黑体" w:hAnsi="黑体" w:eastAsia="黑体"/>
          <w:sz w:val="32"/>
        </w:rPr>
        <w:t>五、一般公共预算财政拨款支出决算情况说明</w:t>
      </w:r>
    </w:p>
    <w:p w14:paraId="1F695C41">
      <w:pPr>
        <w:spacing w:line="640" w:lineRule="exact"/>
        <w:ind w:firstLine="640"/>
        <w:jc w:val="both"/>
        <w:outlineLvl w:val="3"/>
      </w:pPr>
      <w:r>
        <w:rPr>
          <w:rFonts w:ascii="楷体_GB2312" w:hAnsi="楷体_GB2312" w:eastAsia="楷体_GB2312"/>
          <w:b/>
          <w:sz w:val="32"/>
        </w:rPr>
        <w:t>（一）一般公共预算财政拨款支出决算总体情况</w:t>
      </w:r>
    </w:p>
    <w:p w14:paraId="56DD99A4">
      <w:pPr>
        <w:spacing w:line="580" w:lineRule="exact"/>
        <w:ind w:firstLine="640"/>
        <w:jc w:val="both"/>
      </w:pPr>
      <w:r>
        <w:rPr>
          <w:rFonts w:ascii="仿宋_GB2312" w:hAnsi="仿宋_GB2312" w:eastAsia="仿宋_GB2312"/>
          <w:b/>
          <w:sz w:val="32"/>
        </w:rPr>
        <w:t>2024年度一般公共预算财政拨款支出395.10万元，</w:t>
      </w:r>
      <w:r>
        <w:rPr>
          <w:rFonts w:ascii="仿宋_GB2312" w:hAnsi="仿宋_GB2312" w:eastAsia="仿宋_GB2312"/>
          <w:b w:val="0"/>
          <w:sz w:val="32"/>
        </w:rPr>
        <w:t>占本年支出合计的95.84%。</w:t>
      </w:r>
      <w:r>
        <w:rPr>
          <w:rFonts w:ascii="仿宋_GB2312" w:hAnsi="仿宋_GB2312" w:eastAsia="仿宋_GB2312"/>
          <w:b/>
          <w:sz w:val="32"/>
        </w:rPr>
        <w:t>与上年相比，</w:t>
      </w:r>
      <w:r>
        <w:rPr>
          <w:rFonts w:ascii="仿宋_GB2312" w:hAnsi="仿宋_GB2312" w:eastAsia="仿宋_GB2312"/>
          <w:b w:val="0"/>
          <w:sz w:val="32"/>
        </w:rPr>
        <w:t>增加32.52万元，增长8.97%，主要原因是：本年在职人员增加，在职人员工资调增、社保、公积金基数调增，人员经费增加。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年初预算数340.44万元，决算数395.10万元，预决算差异率16.06%，主要原因是：本年在职人员增加，年中追加人员经费及人员工资、社保、公积金基数调增部分资金，导致预决算存在差异。</w:t>
      </w:r>
    </w:p>
    <w:p w14:paraId="054A89F6">
      <w:pPr>
        <w:spacing w:line="640" w:lineRule="exact"/>
        <w:ind w:firstLine="640"/>
        <w:jc w:val="both"/>
        <w:outlineLvl w:val="3"/>
      </w:pPr>
      <w:r>
        <w:rPr>
          <w:rFonts w:ascii="楷体_GB2312" w:hAnsi="楷体_GB2312" w:eastAsia="楷体_GB2312"/>
          <w:b/>
          <w:sz w:val="32"/>
        </w:rPr>
        <w:t>（二）一般公共预算财政拨款支出决算结构情况</w:t>
      </w:r>
    </w:p>
    <w:p w14:paraId="267D368B">
      <w:pPr>
        <w:spacing w:line="580" w:lineRule="exact"/>
        <w:ind w:firstLine="640"/>
        <w:jc w:val="both"/>
      </w:pPr>
      <w:r>
        <w:rPr>
          <w:rFonts w:ascii="仿宋_GB2312" w:hAnsi="仿宋_GB2312" w:eastAsia="仿宋_GB2312"/>
          <w:b w:val="0"/>
          <w:sz w:val="32"/>
        </w:rPr>
        <w:t>1.一般公共服务支出(类)364.89万元,占92.35%。</w:t>
      </w:r>
    </w:p>
    <w:p w14:paraId="0D0A9951">
      <w:pPr>
        <w:spacing w:line="580" w:lineRule="exact"/>
        <w:ind w:firstLine="640"/>
        <w:jc w:val="both"/>
      </w:pPr>
      <w:r>
        <w:rPr>
          <w:rFonts w:ascii="仿宋_GB2312" w:hAnsi="仿宋_GB2312" w:eastAsia="仿宋_GB2312"/>
          <w:b w:val="0"/>
          <w:sz w:val="32"/>
        </w:rPr>
        <w:t>2.社会保障和就业支出(类)30.21万元,占7.65%。</w:t>
      </w:r>
    </w:p>
    <w:p w14:paraId="4070390E">
      <w:pPr>
        <w:spacing w:line="640" w:lineRule="exact"/>
        <w:ind w:firstLine="640"/>
        <w:jc w:val="both"/>
        <w:outlineLvl w:val="3"/>
      </w:pPr>
      <w:r>
        <w:rPr>
          <w:rFonts w:ascii="楷体_GB2312" w:hAnsi="楷体_GB2312" w:eastAsia="楷体_GB2312"/>
          <w:b/>
          <w:sz w:val="32"/>
        </w:rPr>
        <w:t>（三）一般公共预算财政拨款支出决算具体情况</w:t>
      </w:r>
    </w:p>
    <w:p w14:paraId="750AE362">
      <w:pPr>
        <w:spacing w:line="580" w:lineRule="exact"/>
        <w:ind w:firstLine="640"/>
        <w:jc w:val="both"/>
      </w:pPr>
      <w:r>
        <w:rPr>
          <w:rFonts w:ascii="仿宋_GB2312" w:hAnsi="仿宋_GB2312" w:eastAsia="仿宋_GB2312"/>
          <w:b w:val="0"/>
          <w:sz w:val="32"/>
        </w:rPr>
        <w:t>1.一般公共服务支出(类)统战事务(款)行政运行(项):支出决算数为135.29万元，比上年决算减少7.72万元，下降5.40%,主要原因是：本年</w:t>
      </w:r>
      <w:r>
        <w:rPr>
          <w:rFonts w:hint="eastAsia" w:ascii="仿宋_GB2312" w:hAnsi="仿宋_GB2312" w:eastAsia="仿宋_GB2312"/>
          <w:b w:val="0"/>
          <w:sz w:val="32"/>
          <w:lang w:val="en-US" w:eastAsia="zh-CN"/>
        </w:rPr>
        <w:t>行政</w:t>
      </w:r>
      <w:r>
        <w:rPr>
          <w:rFonts w:ascii="仿宋_GB2312" w:hAnsi="仿宋_GB2312" w:eastAsia="仿宋_GB2312"/>
          <w:b w:val="0"/>
          <w:sz w:val="32"/>
        </w:rPr>
        <w:t>在职人员调入调出，人员职级不同，工资基数不同，导致人员经费较上年减少。</w:t>
      </w:r>
    </w:p>
    <w:p w14:paraId="57CE1FDB">
      <w:pPr>
        <w:spacing w:line="580" w:lineRule="exact"/>
        <w:ind w:firstLine="640"/>
        <w:jc w:val="both"/>
      </w:pPr>
      <w:r>
        <w:rPr>
          <w:rFonts w:ascii="仿宋_GB2312" w:hAnsi="仿宋_GB2312" w:eastAsia="仿宋_GB2312"/>
          <w:b w:val="0"/>
          <w:sz w:val="32"/>
        </w:rPr>
        <w:t>2.一般公共服务支出(类)统战事务(款)</w:t>
      </w:r>
      <w:r>
        <w:rPr>
          <w:rFonts w:hint="eastAsia" w:ascii="仿宋_GB2312" w:hAnsi="仿宋_GB2312" w:eastAsia="仿宋_GB2312"/>
          <w:b w:val="0"/>
          <w:sz w:val="32"/>
          <w:lang w:val="en-US" w:eastAsia="zh-CN"/>
        </w:rPr>
        <w:t>宗教</w:t>
      </w:r>
      <w:r>
        <w:rPr>
          <w:rFonts w:ascii="仿宋_GB2312" w:hAnsi="仿宋_GB2312" w:eastAsia="仿宋_GB2312"/>
          <w:b w:val="0"/>
          <w:sz w:val="32"/>
        </w:rPr>
        <w:t>事务(项):支出决算数为47.77万元，比上年决算增加47.77万元，增长100.00%,主要原因是：本年度新增集中培训项目经费。</w:t>
      </w:r>
    </w:p>
    <w:p w14:paraId="10CD85F2">
      <w:pPr>
        <w:spacing w:line="580" w:lineRule="exact"/>
        <w:ind w:firstLine="640"/>
        <w:jc w:val="both"/>
      </w:pPr>
      <w:r>
        <w:rPr>
          <w:rFonts w:ascii="仿宋_GB2312" w:hAnsi="仿宋_GB2312" w:eastAsia="仿宋_GB2312"/>
          <w:b w:val="0"/>
          <w:sz w:val="32"/>
        </w:rPr>
        <w:t>3.一般公共服务支出(类)统战事务(款)事业运行(项):支出决算数为133.98万元，比上年决算增加20.08万元，增长17.63%,主要原因是：本年新增</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在职人员，人员经费增加，导致经费较上年有所增加。</w:t>
      </w:r>
    </w:p>
    <w:p w14:paraId="2E17B11C">
      <w:pPr>
        <w:spacing w:line="580" w:lineRule="exact"/>
        <w:ind w:firstLine="640"/>
        <w:jc w:val="both"/>
      </w:pPr>
      <w:r>
        <w:rPr>
          <w:rFonts w:ascii="仿宋_GB2312" w:hAnsi="仿宋_GB2312" w:eastAsia="仿宋_GB2312"/>
          <w:b w:val="0"/>
          <w:sz w:val="32"/>
        </w:rPr>
        <w:t>4.一般公共服务支出(类)统战事务(款)其他统战事务支出(项):支出决算数为47.85万元，比上年决算减少19.51万元，下降28.96%,主要原因是：本年学院运行经费项目资金减少。</w:t>
      </w:r>
    </w:p>
    <w:p w14:paraId="41FB3313">
      <w:pPr>
        <w:spacing w:line="580" w:lineRule="exact"/>
        <w:ind w:firstLine="640"/>
        <w:jc w:val="both"/>
      </w:pPr>
      <w:r>
        <w:rPr>
          <w:rFonts w:ascii="仿宋_GB2312" w:hAnsi="仿宋_GB2312" w:eastAsia="仿宋_GB2312"/>
          <w:b w:val="0"/>
          <w:sz w:val="32"/>
        </w:rPr>
        <w:t>5.教育支出(类)普通教育(款)学前教育(项):支出决算数为0.00万元，比上年决算减少0.26万元，下降100.00%,主要原因是：本年无支教</w:t>
      </w:r>
      <w:r>
        <w:rPr>
          <w:rFonts w:hint="eastAsia" w:ascii="仿宋_GB2312" w:hAnsi="仿宋_GB2312" w:eastAsia="仿宋_GB2312"/>
          <w:b w:val="0"/>
          <w:sz w:val="32"/>
          <w:lang w:val="en-US" w:eastAsia="zh-CN"/>
        </w:rPr>
        <w:t>人员</w:t>
      </w:r>
      <w:r>
        <w:rPr>
          <w:rFonts w:ascii="仿宋_GB2312" w:hAnsi="仿宋_GB2312" w:eastAsia="仿宋_GB2312"/>
          <w:b w:val="0"/>
          <w:sz w:val="32"/>
        </w:rPr>
        <w:t>，学前教育支教补助经费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66FA290F">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6.社会保障和就业支出(类)行政事业单位养老支出(款)行政单位离退休(项):支出决算数为4.65万元，比上年决算增加0.93万元，增长25.00%,主要原因是：本年退休人员补发上年绩效奖，导致退休费较上年增加。</w:t>
      </w:r>
    </w:p>
    <w:p w14:paraId="2286A0FD">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7.社会保障和就业支出(类)行政事业单位养老支出(款)事业单位离退休(项):支出决算数为1.63万元，比上年决算增加0.26万元，增长18.98%,主要原因是：本年退休人员补发上年绩效奖，导致退休费较上年增加。</w:t>
      </w:r>
    </w:p>
    <w:p w14:paraId="1F6F0CE2">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23.60万元，比上年决算增加0.83万元，增长3.65%,主要原因是：人员工资基数调增，养老缴费基数上涨，相应支出增加。</w:t>
      </w:r>
    </w:p>
    <w:p w14:paraId="1A133EA7">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9.社会保障和就业支出(类)行政事业单位养老支出(款)机关事业单位职业年金缴费支出(项):支出决算数为0.00万元，比上年决算减少7.09万元，下降100.00%,主要原因是：本年无</w:t>
      </w:r>
      <w:r>
        <w:rPr>
          <w:rFonts w:hint="eastAsia" w:ascii="仿宋_GB2312" w:hAnsi="仿宋_GB2312" w:eastAsia="仿宋_GB2312"/>
          <w:b w:val="0"/>
          <w:sz w:val="32"/>
          <w:lang w:val="en-US" w:eastAsia="zh-CN"/>
        </w:rPr>
        <w:t>新增离世</w:t>
      </w:r>
      <w:r>
        <w:rPr>
          <w:rFonts w:ascii="仿宋_GB2312" w:hAnsi="仿宋_GB2312" w:eastAsia="仿宋_GB2312"/>
          <w:b w:val="0"/>
          <w:sz w:val="32"/>
        </w:rPr>
        <w:t>人员，职业年金缴费支出</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168A219F">
      <w:pPr>
        <w:spacing w:line="580" w:lineRule="exact"/>
        <w:ind w:firstLine="640"/>
        <w:jc w:val="both"/>
      </w:pPr>
      <w:r>
        <w:rPr>
          <w:rFonts w:ascii="仿宋_GB2312" w:hAnsi="仿宋_GB2312" w:eastAsia="仿宋_GB2312"/>
          <w:b w:val="0"/>
          <w:sz w:val="32"/>
        </w:rPr>
        <w:t>10.社会保障和就业支出(类)就业补助(款)就业见习补贴(项):支出决算数为0.33万元，比上年决算减少2.77万元，下降89.35%,主要原因是：本年就业见习人员减少，见习生补助项目经费补贴下降。</w:t>
      </w:r>
    </w:p>
    <w:p w14:paraId="1AC1F102">
      <w:pPr>
        <w:spacing w:line="640" w:lineRule="exact"/>
        <w:ind w:firstLine="640"/>
        <w:jc w:val="both"/>
        <w:outlineLvl w:val="2"/>
      </w:pPr>
      <w:r>
        <w:rPr>
          <w:rFonts w:ascii="黑体" w:hAnsi="黑体" w:eastAsia="黑体"/>
          <w:sz w:val="32"/>
        </w:rPr>
        <w:t>六、一般公共预算财政拨款基本支出决算情况说明</w:t>
      </w:r>
    </w:p>
    <w:p w14:paraId="747948D6">
      <w:pPr>
        <w:spacing w:line="580" w:lineRule="exact"/>
        <w:ind w:firstLine="640"/>
        <w:jc w:val="both"/>
      </w:pPr>
      <w:r>
        <w:rPr>
          <w:rFonts w:ascii="仿宋_GB2312" w:hAnsi="仿宋_GB2312" w:eastAsia="仿宋_GB2312"/>
          <w:b w:val="0"/>
          <w:sz w:val="32"/>
        </w:rPr>
        <w:t>2024年度一般公共预算财政拨款基本支出299.16万元，其中：</w:t>
      </w:r>
      <w:r>
        <w:rPr>
          <w:rFonts w:ascii="仿宋_GB2312" w:hAnsi="仿宋_GB2312" w:eastAsia="仿宋_GB2312"/>
          <w:b/>
          <w:sz w:val="32"/>
        </w:rPr>
        <w:t>人员经费269.52万元，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包括：基本工资、津贴补贴、奖金、机关事业单位基本养老保险缴费、职工基本医疗保险缴费、其他社会保障缴费、住房公积金、其他工资福利支出、退休费、生活补助、奖励金。</w:t>
      </w:r>
    </w:p>
    <w:p w14:paraId="150FBB8C">
      <w:pPr>
        <w:spacing w:line="580" w:lineRule="exact"/>
        <w:ind w:firstLine="640"/>
        <w:jc w:val="both"/>
      </w:pPr>
      <w:r>
        <w:rPr>
          <w:rFonts w:ascii="仿宋_GB2312" w:hAnsi="仿宋_GB2312" w:eastAsia="仿宋_GB2312"/>
          <w:b/>
          <w:sz w:val="32"/>
        </w:rPr>
        <w:t>公用经费29.64万元，</w:t>
      </w:r>
      <w:r>
        <w:rPr>
          <w:rFonts w:ascii="仿宋_GB2312" w:hAnsi="仿宋_GB2312" w:eastAsia="仿宋_GB2312"/>
          <w:b w:val="0"/>
          <w:sz w:val="32"/>
        </w:rPr>
        <w:t>包括：办公费、印刷费、取暖费、差旅费、工会经费、福利费、其他商品和服务支出。</w:t>
      </w:r>
    </w:p>
    <w:p w14:paraId="5D0EABF5">
      <w:pPr>
        <w:spacing w:line="640" w:lineRule="exact"/>
        <w:ind w:firstLine="640"/>
        <w:jc w:val="both"/>
        <w:outlineLvl w:val="2"/>
      </w:pPr>
      <w:r>
        <w:rPr>
          <w:rFonts w:ascii="黑体" w:hAnsi="黑体" w:eastAsia="黑体"/>
          <w:sz w:val="32"/>
        </w:rPr>
        <w:t>七、政府性基金预算财政拨款收入支出决算情况说明</w:t>
      </w:r>
    </w:p>
    <w:p w14:paraId="1ED3809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29D4622">
      <w:pPr>
        <w:spacing w:line="640" w:lineRule="exact"/>
        <w:ind w:firstLine="640"/>
        <w:jc w:val="both"/>
        <w:outlineLvl w:val="2"/>
      </w:pPr>
      <w:r>
        <w:rPr>
          <w:rFonts w:ascii="黑体" w:hAnsi="黑体" w:eastAsia="黑体"/>
          <w:sz w:val="32"/>
        </w:rPr>
        <w:t>八、国有资本经营预算财政拨款收入支出决算情况说明</w:t>
      </w:r>
    </w:p>
    <w:p w14:paraId="15A26C0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31CE68">
      <w:pPr>
        <w:spacing w:line="640" w:lineRule="exact"/>
        <w:ind w:firstLine="640"/>
        <w:jc w:val="both"/>
        <w:outlineLvl w:val="2"/>
      </w:pPr>
      <w:r>
        <w:rPr>
          <w:rFonts w:ascii="黑体" w:hAnsi="黑体" w:eastAsia="黑体"/>
          <w:sz w:val="32"/>
        </w:rPr>
        <w:t>九、财政拨款“三公”经费支出决算情况说明</w:t>
      </w:r>
    </w:p>
    <w:p w14:paraId="5B976E82">
      <w:pPr>
        <w:spacing w:line="580" w:lineRule="exact"/>
        <w:ind w:firstLine="640"/>
        <w:jc w:val="both"/>
      </w:pPr>
      <w:r>
        <w:rPr>
          <w:rFonts w:ascii="仿宋_GB2312" w:hAnsi="仿宋_GB2312" w:eastAsia="仿宋_GB2312"/>
          <w:b/>
          <w:sz w:val="32"/>
        </w:rPr>
        <w:t>2024年度财政拨款“三公”经费支出1.79万元，</w:t>
      </w:r>
      <w:r>
        <w:rPr>
          <w:rFonts w:ascii="仿宋_GB2312" w:hAnsi="仿宋_GB2312" w:eastAsia="仿宋_GB2312"/>
          <w:b w:val="0"/>
          <w:sz w:val="32"/>
        </w:rPr>
        <w:t>比上年减少1.20万元，下降40.13%，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1.79万元，占100.00%，比上年减少1.20万元，下降40.13%，主要原因是：严格落实中央八项规定精神，厉行节约，减少公务用车运行维护费。公务接待费支出0.00万元，占0.00%，比上年增加0.00万元，增长0.00%，主要原因是：2023年与2024年均未安排公务接待费支出。</w:t>
      </w:r>
    </w:p>
    <w:p w14:paraId="579C0F28">
      <w:pPr>
        <w:spacing w:line="580" w:lineRule="exact"/>
        <w:ind w:firstLine="640"/>
        <w:jc w:val="both"/>
      </w:pPr>
      <w:r>
        <w:rPr>
          <w:rFonts w:ascii="仿宋_GB2312" w:hAnsi="仿宋_GB2312" w:eastAsia="仿宋_GB2312"/>
          <w:b/>
          <w:sz w:val="32"/>
        </w:rPr>
        <w:t>具体情况如下：</w:t>
      </w:r>
    </w:p>
    <w:p w14:paraId="3E81490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D43AF6">
      <w:pPr>
        <w:spacing w:line="580" w:lineRule="exact"/>
        <w:ind w:firstLine="640"/>
        <w:jc w:val="both"/>
      </w:pPr>
      <w:r>
        <w:rPr>
          <w:rFonts w:ascii="仿宋_GB2312" w:hAnsi="仿宋_GB2312" w:eastAsia="仿宋_GB2312"/>
          <w:b w:val="0"/>
          <w:sz w:val="32"/>
        </w:rPr>
        <w:t>公务用车购置及运行维护费1.79万元，其中：公务用车购置费0.00万元，公务用车运行维护费1.79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158AA5C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FADEF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1.79万元，决算数1.79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1.79万元，决算数1.79万元，预决算差异率0.00%，主要原因是：严格按照预算执行，预决算无差异。公务接待费全年预算数0.00万元，决算数0.00万元，预决算差异率0.00%，主要原因是：本单位无公务接待费。</w:t>
      </w:r>
    </w:p>
    <w:p w14:paraId="14305F71">
      <w:pPr>
        <w:spacing w:line="640" w:lineRule="exact"/>
        <w:ind w:firstLine="640"/>
        <w:jc w:val="both"/>
        <w:outlineLvl w:val="2"/>
      </w:pPr>
      <w:r>
        <w:rPr>
          <w:rFonts w:ascii="黑体" w:hAnsi="黑体" w:eastAsia="黑体"/>
          <w:sz w:val="32"/>
        </w:rPr>
        <w:t>十、其他重要事项的情况说明</w:t>
      </w:r>
    </w:p>
    <w:p w14:paraId="5181E2F2">
      <w:pPr>
        <w:spacing w:line="640" w:lineRule="exact"/>
        <w:ind w:firstLine="640"/>
        <w:jc w:val="both"/>
        <w:outlineLvl w:val="3"/>
      </w:pPr>
      <w:r>
        <w:rPr>
          <w:rFonts w:ascii="楷体_GB2312" w:hAnsi="楷体_GB2312" w:eastAsia="楷体_GB2312"/>
          <w:b/>
          <w:sz w:val="32"/>
        </w:rPr>
        <w:t>（一）机关运行经费及公用经费支出情况</w:t>
      </w:r>
    </w:p>
    <w:p w14:paraId="58C2A9DC">
      <w:pPr>
        <w:spacing w:line="580" w:lineRule="exact"/>
        <w:ind w:firstLine="640"/>
        <w:jc w:val="both"/>
      </w:pPr>
      <w:r>
        <w:rPr>
          <w:rFonts w:ascii="仿宋_GB2312" w:hAnsi="仿宋_GB2312" w:eastAsia="仿宋_GB2312"/>
          <w:b w:val="0"/>
          <w:sz w:val="32"/>
        </w:rPr>
        <w:t>2024年度克孜勒苏柯尔克孜自治州社会主义学院（行政单位和参照公务员法管理事业单位）机关运行经费支出29.64万元，比上年增加0.15万元，增长0.51%，主要原因是：更新、维护补充办公用品，办公经费增加。</w:t>
      </w:r>
    </w:p>
    <w:p w14:paraId="61443C35">
      <w:pPr>
        <w:spacing w:line="640" w:lineRule="exact"/>
        <w:ind w:firstLine="640"/>
        <w:jc w:val="both"/>
        <w:outlineLvl w:val="3"/>
      </w:pPr>
      <w:r>
        <w:rPr>
          <w:rFonts w:ascii="楷体_GB2312" w:hAnsi="楷体_GB2312" w:eastAsia="楷体_GB2312"/>
          <w:b/>
          <w:sz w:val="32"/>
        </w:rPr>
        <w:t>（二）政府采购情况</w:t>
      </w:r>
    </w:p>
    <w:p w14:paraId="1672E072">
      <w:pPr>
        <w:spacing w:line="580" w:lineRule="exact"/>
        <w:ind w:firstLine="640"/>
        <w:jc w:val="both"/>
      </w:pPr>
      <w:r>
        <w:rPr>
          <w:rFonts w:ascii="仿宋_GB2312" w:hAnsi="仿宋_GB2312" w:eastAsia="仿宋_GB2312"/>
          <w:b w:val="0"/>
          <w:sz w:val="32"/>
        </w:rPr>
        <w:t>2024年度政府采购支出总额88.20万元，其中：政府采购货物支出63.65万元、政府采购工程支出6.30万元、政府采购服务支出18.25万元。</w:t>
      </w:r>
    </w:p>
    <w:p w14:paraId="672C4DCF">
      <w:pPr>
        <w:spacing w:line="580" w:lineRule="exact"/>
        <w:ind w:firstLine="640"/>
        <w:jc w:val="both"/>
      </w:pPr>
      <w:r>
        <w:rPr>
          <w:rFonts w:ascii="仿宋_GB2312" w:hAnsi="仿宋_GB2312" w:eastAsia="仿宋_GB2312"/>
          <w:b w:val="0"/>
          <w:sz w:val="32"/>
        </w:rPr>
        <w:t>授予中小企业合同金额87.24万元，占政府采购支出总额的98.91%，其中：授予小微企业合同金额87.24万元，占政府采购支出总额的98.91%。</w:t>
      </w:r>
    </w:p>
    <w:p w14:paraId="2D47356F">
      <w:pPr>
        <w:spacing w:line="640" w:lineRule="exact"/>
        <w:ind w:firstLine="640"/>
        <w:jc w:val="both"/>
        <w:outlineLvl w:val="3"/>
      </w:pPr>
      <w:r>
        <w:rPr>
          <w:rFonts w:ascii="楷体_GB2312" w:hAnsi="楷体_GB2312" w:eastAsia="楷体_GB2312"/>
          <w:b/>
          <w:sz w:val="32"/>
        </w:rPr>
        <w:t>（三）国有资产占用情况说明</w:t>
      </w:r>
    </w:p>
    <w:p w14:paraId="6264B903">
      <w:pPr>
        <w:spacing w:line="580" w:lineRule="exact"/>
        <w:ind w:firstLine="640"/>
        <w:jc w:val="both"/>
      </w:pPr>
      <w:r>
        <w:rPr>
          <w:rFonts w:ascii="仿宋_GB2312" w:hAnsi="仿宋_GB2312" w:eastAsia="仿宋_GB2312"/>
          <w:b w:val="0"/>
          <w:sz w:val="32"/>
        </w:rPr>
        <w:t>截至2024年12月31日，房屋14,950.00平方米，价值4,283.66万元。车辆2辆，价值67.41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3EC2AD52">
      <w:pPr>
        <w:spacing w:line="640" w:lineRule="exact"/>
        <w:ind w:firstLine="640"/>
        <w:jc w:val="both"/>
        <w:outlineLvl w:val="2"/>
      </w:pPr>
      <w:r>
        <w:rPr>
          <w:rFonts w:ascii="黑体" w:hAnsi="黑体" w:eastAsia="黑体"/>
          <w:sz w:val="32"/>
        </w:rPr>
        <w:t>十一、预算绩效的情况说明</w:t>
      </w:r>
    </w:p>
    <w:p w14:paraId="0EA6724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441.13万元，实际执行总额412.27万元；预算绩效评价项目4个，全年预算数92.38万元，全年执行数73.40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49A2C432">
      <w:r>
        <w:br w:type="page"/>
      </w:r>
      <w:bookmarkStart w:id="0" w:name="_GoBack"/>
      <w:bookmarkEnd w:id="0"/>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014ED8D">
        <w:tblPrEx>
          <w:tblCellMar>
            <w:top w:w="0" w:type="dxa"/>
            <w:left w:w="108" w:type="dxa"/>
            <w:bottom w:w="0" w:type="dxa"/>
            <w:right w:w="108" w:type="dxa"/>
          </w:tblCellMar>
        </w:tblPrEx>
        <w:tc>
          <w:tcPr>
            <w:tcW w:w="8840" w:type="dxa"/>
            <w:gridSpan w:val="8"/>
            <w:vAlign w:val="center"/>
          </w:tcPr>
          <w:p w14:paraId="45BD4947">
            <w:pPr>
              <w:jc w:val="center"/>
            </w:pPr>
            <w:r>
              <w:rPr>
                <w:rFonts w:ascii="宋体" w:hAnsi="宋体" w:eastAsia="宋体"/>
                <w:sz w:val="24"/>
              </w:rPr>
              <w:t>单位整体支出绩效自评表</w:t>
            </w:r>
          </w:p>
        </w:tc>
      </w:tr>
      <w:tr w14:paraId="60B3A211">
        <w:tblPrEx>
          <w:tblCellMar>
            <w:top w:w="0" w:type="dxa"/>
            <w:left w:w="108" w:type="dxa"/>
            <w:bottom w:w="0" w:type="dxa"/>
            <w:right w:w="108" w:type="dxa"/>
          </w:tblCellMar>
        </w:tblPrEx>
        <w:tc>
          <w:tcPr>
            <w:tcW w:w="8840" w:type="dxa"/>
            <w:gridSpan w:val="8"/>
            <w:vAlign w:val="center"/>
          </w:tcPr>
          <w:p w14:paraId="54DAD480">
            <w:pPr>
              <w:jc w:val="center"/>
            </w:pPr>
            <w:r>
              <w:rPr>
                <w:rFonts w:ascii="宋体" w:hAnsi="宋体" w:eastAsia="宋体"/>
                <w:sz w:val="24"/>
              </w:rPr>
              <w:t>（2024年度）</w:t>
            </w:r>
          </w:p>
        </w:tc>
      </w:tr>
      <w:tr w14:paraId="18012AF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26FC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F774F">
            <w:pPr>
              <w:jc w:val="center"/>
            </w:pPr>
            <w:r>
              <w:rPr>
                <w:rFonts w:ascii="宋体" w:hAnsi="宋体" w:eastAsia="宋体"/>
                <w:sz w:val="16"/>
              </w:rPr>
              <w:t>克孜勒苏柯尔克孜自治州社会主义学院</w:t>
            </w:r>
          </w:p>
        </w:tc>
      </w:tr>
      <w:tr w14:paraId="3D14971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695D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E9C1E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1A7A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B4A6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A838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A3CF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27E1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34FAE">
            <w:pPr>
              <w:jc w:val="center"/>
            </w:pPr>
            <w:r>
              <w:rPr>
                <w:rFonts w:ascii="宋体" w:hAnsi="宋体" w:eastAsia="宋体"/>
                <w:sz w:val="16"/>
              </w:rPr>
              <w:t>得分</w:t>
            </w:r>
          </w:p>
        </w:tc>
      </w:tr>
      <w:tr w14:paraId="3861D7A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852A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9239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F8D83">
            <w:pPr>
              <w:jc w:val="center"/>
            </w:pPr>
            <w:r>
              <w:rPr>
                <w:rFonts w:ascii="宋体" w:hAnsi="宋体" w:eastAsia="宋体"/>
                <w:sz w:val="16"/>
              </w:rPr>
              <w:t>438.99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415EF">
            <w:pPr>
              <w:jc w:val="center"/>
            </w:pPr>
            <w:r>
              <w:rPr>
                <w:rFonts w:ascii="宋体" w:hAnsi="宋体" w:eastAsia="宋体"/>
                <w:sz w:val="16"/>
              </w:rPr>
              <w:t>441.13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7E6E5">
            <w:pPr>
              <w:jc w:val="center"/>
            </w:pPr>
            <w:r>
              <w:rPr>
                <w:rFonts w:ascii="宋体" w:hAnsi="宋体" w:eastAsia="宋体"/>
                <w:sz w:val="16"/>
              </w:rPr>
              <w:t>412.27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7F37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897AC">
            <w:pPr>
              <w:jc w:val="center"/>
            </w:pPr>
            <w:r>
              <w:rPr>
                <w:rFonts w:ascii="宋体" w:hAnsi="宋体" w:eastAsia="宋体"/>
                <w:sz w:val="16"/>
              </w:rPr>
              <w:t>93.46%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806D6">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3</w:t>
            </w:r>
            <w:r>
              <w:rPr>
                <w:rFonts w:hint="eastAsia" w:ascii="宋体" w:hAnsi="宋体"/>
                <w:sz w:val="16"/>
                <w:lang w:val="en-US" w:eastAsia="zh-CN"/>
              </w:rPr>
              <w:t>5分</w:t>
            </w:r>
          </w:p>
        </w:tc>
      </w:tr>
      <w:tr w14:paraId="10A5A9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79FAE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D3C0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A611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3BC2D">
            <w:pPr>
              <w:jc w:val="center"/>
            </w:pPr>
            <w:r>
              <w:rPr>
                <w:rFonts w:ascii="宋体" w:hAnsi="宋体" w:eastAsia="宋体"/>
                <w:sz w:val="16"/>
              </w:rPr>
              <w:t>56.20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5DFEC7">
            <w:pPr>
              <w:jc w:val="center"/>
            </w:pPr>
            <w:r>
              <w:rPr>
                <w:rFonts w:ascii="宋体" w:hAnsi="宋体" w:eastAsia="宋体"/>
                <w:sz w:val="16"/>
              </w:rPr>
              <w:t>47.77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470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1BB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5B59F">
            <w:pPr>
              <w:jc w:val="center"/>
            </w:pPr>
            <w:r>
              <w:rPr>
                <w:rFonts w:ascii="宋体" w:hAnsi="宋体" w:eastAsia="宋体"/>
                <w:sz w:val="16"/>
              </w:rPr>
              <w:t>—</w:t>
            </w:r>
          </w:p>
        </w:tc>
      </w:tr>
      <w:tr w14:paraId="193537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DDDD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9653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BCF1B">
            <w:pPr>
              <w:jc w:val="center"/>
            </w:pPr>
            <w:r>
              <w:rPr>
                <w:rFonts w:ascii="宋体" w:hAnsi="宋体" w:eastAsia="宋体"/>
                <w:sz w:val="16"/>
              </w:rPr>
              <w:t>340.43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54924">
            <w:pPr>
              <w:jc w:val="center"/>
            </w:pPr>
            <w:r>
              <w:rPr>
                <w:rFonts w:ascii="宋体" w:hAnsi="宋体" w:eastAsia="宋体"/>
                <w:sz w:val="16"/>
              </w:rPr>
              <w:t>356.48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5DD11">
            <w:pPr>
              <w:jc w:val="center"/>
            </w:pPr>
            <w:r>
              <w:rPr>
                <w:rFonts w:ascii="宋体" w:hAnsi="宋体" w:eastAsia="宋体"/>
                <w:sz w:val="16"/>
              </w:rPr>
              <w:t>350.11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62B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7938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59C5D">
            <w:pPr>
              <w:jc w:val="center"/>
            </w:pPr>
            <w:r>
              <w:rPr>
                <w:rFonts w:ascii="宋体" w:hAnsi="宋体" w:eastAsia="宋体"/>
                <w:sz w:val="16"/>
              </w:rPr>
              <w:t>—</w:t>
            </w:r>
          </w:p>
        </w:tc>
      </w:tr>
      <w:tr w14:paraId="38C86D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395C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1B8BF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9816D">
            <w:pPr>
              <w:jc w:val="center"/>
            </w:pPr>
            <w:r>
              <w:rPr>
                <w:rFonts w:ascii="宋体" w:hAnsi="宋体" w:eastAsia="宋体"/>
                <w:sz w:val="16"/>
              </w:rPr>
              <w:t>98.56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65853">
            <w:pPr>
              <w:jc w:val="center"/>
            </w:pPr>
            <w:r>
              <w:rPr>
                <w:rFonts w:ascii="宋体" w:hAnsi="宋体" w:eastAsia="宋体"/>
                <w:sz w:val="16"/>
              </w:rPr>
              <w:t>28.45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9CEB1">
            <w:pPr>
              <w:jc w:val="center"/>
            </w:pPr>
            <w:r>
              <w:rPr>
                <w:rFonts w:ascii="宋体" w:hAnsi="宋体" w:eastAsia="宋体"/>
                <w:sz w:val="16"/>
              </w:rPr>
              <w:t>14.39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8757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226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E4604">
            <w:pPr>
              <w:jc w:val="center"/>
            </w:pPr>
            <w:r>
              <w:rPr>
                <w:rFonts w:ascii="宋体" w:hAnsi="宋体" w:eastAsia="宋体"/>
                <w:sz w:val="16"/>
              </w:rPr>
              <w:t>—</w:t>
            </w:r>
          </w:p>
        </w:tc>
      </w:tr>
      <w:tr w14:paraId="72FA560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C3E9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2569F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6E6F3F">
            <w:pPr>
              <w:jc w:val="center"/>
            </w:pPr>
            <w:r>
              <w:rPr>
                <w:rFonts w:ascii="宋体" w:hAnsi="宋体" w:eastAsia="宋体"/>
                <w:sz w:val="16"/>
              </w:rPr>
              <w:t>实际完成情况</w:t>
            </w:r>
          </w:p>
        </w:tc>
      </w:tr>
      <w:tr w14:paraId="3D7D7E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13935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CF09BF">
            <w:pPr>
              <w:jc w:val="both"/>
            </w:pPr>
            <w:r>
              <w:rPr>
                <w:rFonts w:ascii="宋体" w:hAnsi="宋体" w:eastAsia="宋体"/>
                <w:sz w:val="16"/>
              </w:rPr>
              <w:t>根据自治州</w:t>
            </w:r>
            <w:r>
              <w:rPr>
                <w:rFonts w:hint="eastAsia" w:ascii="宋体" w:hAnsi="宋体"/>
                <w:sz w:val="16"/>
                <w:lang w:eastAsia="zh-CN"/>
              </w:rPr>
              <w:t>党委、政府</w:t>
            </w:r>
            <w:r>
              <w:rPr>
                <w:rFonts w:ascii="宋体" w:hAnsi="宋体" w:eastAsia="宋体"/>
                <w:sz w:val="16"/>
              </w:rPr>
              <w:t>统一战线人才，民主党派和无党派人士培养培训工作任务，为了进一步提高优化的服务质量，营造学院的美好环境，更大限度</w:t>
            </w:r>
            <w:r>
              <w:rPr>
                <w:rFonts w:hint="eastAsia" w:ascii="宋体" w:hAnsi="宋体"/>
                <w:sz w:val="16"/>
                <w:lang w:eastAsia="zh-CN"/>
              </w:rPr>
              <w:t>地</w:t>
            </w:r>
            <w:r>
              <w:rPr>
                <w:rFonts w:ascii="宋体" w:hAnsi="宋体" w:eastAsia="宋体"/>
                <w:sz w:val="16"/>
              </w:rPr>
              <w:t>调动学员们的</w:t>
            </w:r>
            <w:r>
              <w:rPr>
                <w:rFonts w:hint="eastAsia" w:ascii="宋体" w:hAnsi="宋体"/>
                <w:sz w:val="16"/>
                <w:lang w:eastAsia="zh-CN"/>
              </w:rPr>
              <w:t>积极性、主动性、创造性</w:t>
            </w:r>
            <w:r>
              <w:rPr>
                <w:rFonts w:ascii="宋体" w:hAnsi="宋体" w:eastAsia="宋体"/>
                <w:sz w:val="16"/>
              </w:rPr>
              <w:t>，结合学院的实际情况，制定了本方案，全力保障教职人员后勤服务工作。 按照“六统一”“四属地”原则，更出色</w:t>
            </w:r>
            <w:r>
              <w:rPr>
                <w:rFonts w:hint="eastAsia" w:ascii="宋体" w:hAnsi="宋体"/>
                <w:sz w:val="16"/>
                <w:lang w:eastAsia="zh-CN"/>
              </w:rPr>
              <w:t>地</w:t>
            </w:r>
            <w:r>
              <w:rPr>
                <w:rFonts w:ascii="宋体" w:hAnsi="宋体" w:eastAsia="宋体"/>
                <w:sz w:val="16"/>
              </w:rPr>
              <w:t>完成培养培训任务。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276E50">
            <w:pPr>
              <w:jc w:val="both"/>
            </w:pPr>
            <w:r>
              <w:rPr>
                <w:rFonts w:ascii="宋体" w:hAnsi="宋体" w:eastAsia="宋体"/>
                <w:sz w:val="16"/>
              </w:rPr>
              <w:t>截至2024年12月31日，已完成：1、2024年先后我院开展了4期短期培训班，各县市送教4次、交流访问学习3次、专干培训班2次为进一步提高学员和教职工的政治素养，将党史</w:t>
            </w:r>
            <w:r>
              <w:rPr>
                <w:rFonts w:hint="eastAsia" w:ascii="宋体" w:hAnsi="宋体"/>
                <w:sz w:val="16"/>
                <w:lang w:eastAsia="zh-CN"/>
              </w:rPr>
              <w:t>主题</w:t>
            </w:r>
            <w:r>
              <w:rPr>
                <w:rFonts w:ascii="宋体" w:hAnsi="宋体" w:eastAsia="宋体"/>
                <w:sz w:val="16"/>
              </w:rPr>
              <w:t>教育融入学院培养培训工作全过程，深入开展学员以“永远跟党走”为题的教学实际活动。同时我院以“学党史、庆百年”为契机，立足实际、守正创新，推出先进教学方法，让党史</w:t>
            </w:r>
            <w:r>
              <w:rPr>
                <w:rFonts w:hint="eastAsia" w:ascii="宋体" w:hAnsi="宋体"/>
                <w:sz w:val="16"/>
                <w:lang w:eastAsia="zh-CN"/>
              </w:rPr>
              <w:t>主题</w:t>
            </w:r>
            <w:r>
              <w:rPr>
                <w:rFonts w:ascii="宋体" w:hAnsi="宋体" w:eastAsia="宋体"/>
                <w:sz w:val="16"/>
              </w:rPr>
              <w:t>教育在全体学员当中“活”起来“火”起来。</w:t>
            </w:r>
            <w:r>
              <w:rPr>
                <w:rFonts w:ascii="宋体" w:hAnsi="宋体" w:eastAsia="宋体"/>
                <w:sz w:val="16"/>
              </w:rPr>
              <w:br w:type="textWrapping"/>
            </w:r>
            <w:r>
              <w:rPr>
                <w:rFonts w:ascii="宋体" w:hAnsi="宋体" w:eastAsia="宋体"/>
                <w:sz w:val="16"/>
              </w:rPr>
              <w:t>2、2024年度开展为期1个月的短期集中培训班4期共80人。共授课2793个课时，其中国家通用语言文字1181课时，专业课655课时，思想政治法律法规课828课时，文化活动129学时，早读、晚自习992学时。业务骨干培训6期共550人；制作各类电子演示课件15种，形成专题调研报告2篇，发表学术论文累计3篇。为自治州纪委监委1期、自治州妇联1期、自治州文旅局2期等单位提供食宿服务305人，我院总参训人员已达645人。</w:t>
            </w:r>
            <w:r>
              <w:rPr>
                <w:rFonts w:ascii="宋体" w:hAnsi="宋体" w:eastAsia="宋体"/>
                <w:sz w:val="16"/>
              </w:rPr>
              <w:br w:type="textWrapping"/>
            </w:r>
            <w:r>
              <w:rPr>
                <w:rFonts w:ascii="宋体" w:hAnsi="宋体" w:eastAsia="宋体"/>
                <w:sz w:val="16"/>
              </w:rPr>
              <w:t>3、开展为期2个月的短期集中培训班4期共100人，中专学历班1期20人。共授课2793个课时，其中国家通用语言文字1181课时，专业课655课时，思想政治法律法规课828课时，文化活动129学时，早读、晚自习992学时。业务骨干培训2期共220人；制作各类电子演示课件15种，形成专题调研报告2篇，发表学术论文累计3篇。为自治州纪委监委1期、自治州妇联1期、自治州文旅局2期等单位提供食宿服务305人，我院总参训人员已达935人,每期培训按时完成，因有些学员请假和基础偏低培训完成率达到了95%。</w:t>
            </w:r>
          </w:p>
        </w:tc>
      </w:tr>
      <w:tr w14:paraId="29CE0EF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831C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5E0C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151E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6AAEA">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CFA7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435B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365D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57FF6">
            <w:pPr>
              <w:jc w:val="center"/>
            </w:pPr>
            <w:r>
              <w:rPr>
                <w:rFonts w:ascii="宋体" w:hAnsi="宋体" w:eastAsia="宋体"/>
                <w:sz w:val="16"/>
              </w:rPr>
              <w:t>得分</w:t>
            </w:r>
          </w:p>
        </w:tc>
      </w:tr>
      <w:tr w14:paraId="36BE7EF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522E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2056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24009">
            <w:pPr>
              <w:jc w:val="center"/>
            </w:pPr>
            <w:r>
              <w:rPr>
                <w:rFonts w:ascii="宋体" w:hAnsi="宋体" w:eastAsia="宋体"/>
                <w:sz w:val="16"/>
              </w:rPr>
              <w:t>开展短期培训班期数（期）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46CB4">
            <w:pPr>
              <w:jc w:val="center"/>
            </w:pPr>
            <w:r>
              <w:rPr>
                <w:rFonts w:ascii="宋体" w:hAnsi="宋体" w:eastAsia="宋体"/>
                <w:sz w:val="16"/>
              </w:rPr>
              <w:t>&gt;=4期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A307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0ED4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EEA61">
            <w:pPr>
              <w:jc w:val="center"/>
            </w:pPr>
            <w:r>
              <w:rPr>
                <w:rFonts w:ascii="宋体" w:hAnsi="宋体" w:eastAsia="宋体"/>
                <w:sz w:val="16"/>
              </w:rPr>
              <w:t>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FBB2A">
            <w:pPr>
              <w:jc w:val="center"/>
            </w:pPr>
            <w:r>
              <w:rPr>
                <w:rFonts w:ascii="宋体" w:hAnsi="宋体" w:eastAsia="宋体"/>
                <w:sz w:val="16"/>
              </w:rPr>
              <w:t>30</w:t>
            </w:r>
          </w:p>
        </w:tc>
      </w:tr>
      <w:tr w14:paraId="686FDA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D1D9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C9F4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DE7F8">
            <w:pPr>
              <w:jc w:val="center"/>
            </w:pPr>
            <w:r>
              <w:rPr>
                <w:rFonts w:ascii="宋体" w:hAnsi="宋体" w:eastAsia="宋体"/>
                <w:sz w:val="16"/>
              </w:rPr>
              <w:t>各县市送教次数（次）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92C4B">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35A9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1873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34C74">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26629">
            <w:pPr>
              <w:jc w:val="center"/>
            </w:pPr>
            <w:r>
              <w:rPr>
                <w:rFonts w:ascii="宋体" w:hAnsi="宋体" w:eastAsia="宋体"/>
                <w:sz w:val="16"/>
              </w:rPr>
              <w:t>20</w:t>
            </w:r>
          </w:p>
        </w:tc>
      </w:tr>
      <w:tr w14:paraId="451D55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52A69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CF4E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DB6FF">
            <w:pPr>
              <w:jc w:val="center"/>
            </w:pPr>
            <w:r>
              <w:rPr>
                <w:rFonts w:ascii="宋体" w:hAnsi="宋体" w:eastAsia="宋体"/>
                <w:sz w:val="16"/>
              </w:rPr>
              <w:t>交流访问学习次数（次）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9F020">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F12A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B17C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DDC94">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41B9B">
            <w:pPr>
              <w:jc w:val="center"/>
            </w:pPr>
            <w:r>
              <w:rPr>
                <w:rFonts w:ascii="宋体" w:hAnsi="宋体" w:eastAsia="宋体"/>
                <w:sz w:val="16"/>
              </w:rPr>
              <w:t>20</w:t>
            </w:r>
          </w:p>
        </w:tc>
      </w:tr>
      <w:tr w14:paraId="41DFCD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0DB6A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664F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07C42">
            <w:pPr>
              <w:jc w:val="center"/>
            </w:pPr>
            <w:r>
              <w:rPr>
                <w:rFonts w:ascii="宋体" w:hAnsi="宋体" w:eastAsia="宋体"/>
                <w:sz w:val="16"/>
              </w:rPr>
              <w:t>开展专干培训次数（次）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72AD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A661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9347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43FF7">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5D569">
            <w:pPr>
              <w:jc w:val="center"/>
            </w:pPr>
            <w:r>
              <w:rPr>
                <w:rFonts w:ascii="宋体" w:hAnsi="宋体" w:eastAsia="宋体"/>
                <w:sz w:val="16"/>
              </w:rPr>
              <w:t>20</w:t>
            </w:r>
          </w:p>
        </w:tc>
      </w:tr>
    </w:tbl>
    <w:p w14:paraId="3133F02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7"/>
        <w:gridCol w:w="618"/>
        <w:gridCol w:w="618"/>
        <w:gridCol w:w="618"/>
        <w:gridCol w:w="776"/>
        <w:gridCol w:w="627"/>
        <w:gridCol w:w="600"/>
        <w:gridCol w:w="627"/>
      </w:tblGrid>
      <w:tr w14:paraId="7141335E">
        <w:tc>
          <w:tcPr>
            <w:tcW w:w="8848" w:type="dxa"/>
            <w:gridSpan w:val="14"/>
            <w:vAlign w:val="center"/>
          </w:tcPr>
          <w:p w14:paraId="11F6F6BF">
            <w:pPr>
              <w:jc w:val="center"/>
            </w:pPr>
            <w:r>
              <w:rPr>
                <w:rFonts w:ascii="宋体" w:hAnsi="宋体" w:eastAsia="宋体"/>
                <w:sz w:val="24"/>
              </w:rPr>
              <w:t>项目支出绩效自评表</w:t>
            </w:r>
          </w:p>
        </w:tc>
      </w:tr>
      <w:tr w14:paraId="70FFCDD0">
        <w:tblPrEx>
          <w:tblCellMar>
            <w:top w:w="0" w:type="dxa"/>
            <w:left w:w="108" w:type="dxa"/>
            <w:bottom w:w="0" w:type="dxa"/>
            <w:right w:w="108" w:type="dxa"/>
          </w:tblCellMar>
        </w:tblPrEx>
        <w:tc>
          <w:tcPr>
            <w:tcW w:w="8848" w:type="dxa"/>
            <w:gridSpan w:val="14"/>
            <w:vAlign w:val="center"/>
          </w:tcPr>
          <w:p w14:paraId="5E524167">
            <w:pPr>
              <w:jc w:val="center"/>
            </w:pPr>
            <w:r>
              <w:rPr>
                <w:rFonts w:ascii="宋体" w:hAnsi="宋体" w:eastAsia="宋体"/>
                <w:sz w:val="24"/>
              </w:rPr>
              <w:t>(2024年度)</w:t>
            </w:r>
          </w:p>
        </w:tc>
      </w:tr>
      <w:tr w14:paraId="605FB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61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EE6935">
            <w:pPr>
              <w:jc w:val="center"/>
            </w:pPr>
            <w:r>
              <w:rPr>
                <w:rFonts w:ascii="宋体" w:hAnsi="宋体" w:eastAsia="宋体"/>
                <w:sz w:val="16"/>
              </w:rPr>
              <w:t>2024年培训费</w:t>
            </w:r>
          </w:p>
        </w:tc>
      </w:tr>
      <w:tr w14:paraId="4B5DE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3B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F2FA3">
            <w:pPr>
              <w:jc w:val="center"/>
            </w:pPr>
            <w:r>
              <w:rPr>
                <w:rFonts w:ascii="宋体" w:hAnsi="宋体" w:eastAsia="宋体"/>
                <w:sz w:val="16"/>
              </w:rPr>
              <w:t>克孜勒苏柯尔克孜自治州统一战线工作部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4D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22F1B">
            <w:pPr>
              <w:jc w:val="center"/>
            </w:pPr>
            <w:r>
              <w:rPr>
                <w:rFonts w:ascii="宋体" w:hAnsi="宋体" w:eastAsia="宋体"/>
                <w:sz w:val="16"/>
              </w:rPr>
              <w:t>克孜勒苏柯尔克孜自治州社会主义学院</w:t>
            </w:r>
          </w:p>
        </w:tc>
      </w:tr>
      <w:tr w14:paraId="71084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444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75C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11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53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0E9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0FE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F82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C76E">
            <w:pPr>
              <w:jc w:val="center"/>
            </w:pPr>
            <w:r>
              <w:rPr>
                <w:rFonts w:ascii="宋体" w:hAnsi="宋体" w:eastAsia="宋体"/>
                <w:sz w:val="16"/>
              </w:rPr>
              <w:t>得分</w:t>
            </w:r>
          </w:p>
        </w:tc>
      </w:tr>
      <w:tr w14:paraId="53FE22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3B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20F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4D7D5">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85193">
            <w:pPr>
              <w:jc w:val="center"/>
            </w:pPr>
            <w:r>
              <w:rPr>
                <w:rFonts w:ascii="宋体" w:hAnsi="宋体" w:eastAsia="宋体"/>
                <w:sz w:val="16"/>
              </w:rPr>
              <w:t>31.22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5167">
            <w:pPr>
              <w:jc w:val="center"/>
            </w:pPr>
            <w:r>
              <w:rPr>
                <w:rFonts w:ascii="宋体" w:hAnsi="宋体" w:eastAsia="宋体"/>
                <w:sz w:val="16"/>
              </w:rPr>
              <w:t>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6C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C17CB">
            <w:pPr>
              <w:jc w:val="center"/>
            </w:pPr>
            <w:r>
              <w:rPr>
                <w:rFonts w:ascii="宋体" w:hAnsi="宋体" w:eastAsia="宋体"/>
                <w:sz w:val="16"/>
              </w:rPr>
              <w:t>46.1%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A5B1">
            <w:pPr>
              <w:jc w:val="center"/>
            </w:pPr>
            <w:r>
              <w:rPr>
                <w:rFonts w:ascii="宋体" w:hAnsi="宋体" w:eastAsia="宋体"/>
                <w:sz w:val="16"/>
              </w:rPr>
              <w:t>0.00分</w:t>
            </w:r>
          </w:p>
        </w:tc>
      </w:tr>
      <w:tr w14:paraId="40FB1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78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44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A2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B1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93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71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3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FDDA">
            <w:pPr>
              <w:jc w:val="center"/>
            </w:pPr>
            <w:r>
              <w:rPr>
                <w:rFonts w:ascii="宋体" w:hAnsi="宋体" w:eastAsia="宋体"/>
                <w:sz w:val="16"/>
              </w:rPr>
              <w:t>—</w:t>
            </w:r>
          </w:p>
        </w:tc>
      </w:tr>
      <w:tr w14:paraId="6A4F8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304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D3C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B8F3">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38E7F">
            <w:pPr>
              <w:jc w:val="center"/>
            </w:pPr>
            <w:r>
              <w:rPr>
                <w:rFonts w:ascii="宋体" w:hAnsi="宋体" w:eastAsia="宋体"/>
                <w:sz w:val="16"/>
              </w:rPr>
              <w:t>31.22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6AA6">
            <w:pPr>
              <w:jc w:val="center"/>
            </w:pPr>
            <w:r>
              <w:rPr>
                <w:rFonts w:ascii="宋体" w:hAnsi="宋体" w:eastAsia="宋体"/>
                <w:sz w:val="16"/>
              </w:rPr>
              <w:t>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43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8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1534">
            <w:pPr>
              <w:jc w:val="center"/>
            </w:pPr>
            <w:r>
              <w:rPr>
                <w:rFonts w:ascii="宋体" w:hAnsi="宋体" w:eastAsia="宋体"/>
                <w:sz w:val="16"/>
              </w:rPr>
              <w:t>—</w:t>
            </w:r>
          </w:p>
        </w:tc>
      </w:tr>
      <w:tr w14:paraId="6F9C86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EB7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9F7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31907F">
            <w:pPr>
              <w:jc w:val="center"/>
            </w:pPr>
            <w:r>
              <w:rPr>
                <w:rFonts w:ascii="宋体" w:hAnsi="宋体" w:eastAsia="宋体"/>
                <w:sz w:val="16"/>
              </w:rPr>
              <w:t>实际完成情况</w:t>
            </w:r>
          </w:p>
        </w:tc>
      </w:tr>
      <w:tr w14:paraId="66C0D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EC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7F36A">
            <w:pPr>
              <w:jc w:val="both"/>
            </w:pPr>
            <w:r>
              <w:rPr>
                <w:rFonts w:ascii="宋体" w:hAnsi="宋体" w:eastAsia="宋体"/>
                <w:sz w:val="16"/>
              </w:rPr>
              <w:t>该项目总投资31.22万元，其中：财政资金0万元，其他资金31.22万元，该项目资金根据各级部门培训需求保障培训后勤保障工作。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3A390">
            <w:pPr>
              <w:jc w:val="both"/>
            </w:pPr>
            <w:r>
              <w:rPr>
                <w:rFonts w:ascii="宋体" w:hAnsi="宋体" w:eastAsia="宋体"/>
                <w:sz w:val="16"/>
              </w:rPr>
              <w:t>截至2024年12月31日，该项目执行数为14.39万元，已完成：开展培训次数4次，参加培训人员236人。通过该项目的实施，做好各级培训需求保障，培训后勤保障工作。</w:t>
            </w:r>
          </w:p>
        </w:tc>
      </w:tr>
      <w:tr w14:paraId="2005A1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AB2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6D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76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DC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1A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BE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2C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58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B3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B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94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DD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D6F1">
            <w:pPr>
              <w:jc w:val="center"/>
            </w:pPr>
            <w:r>
              <w:rPr>
                <w:rFonts w:ascii="宋体" w:hAnsi="宋体" w:eastAsia="宋体"/>
                <w:sz w:val="16"/>
              </w:rPr>
              <w:t>偏差原因分析及改进措施</w:t>
            </w:r>
          </w:p>
        </w:tc>
      </w:tr>
      <w:tr w14:paraId="30223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452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F0C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6CA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2ADB">
            <w:pPr>
              <w:jc w:val="center"/>
            </w:pPr>
            <w:r>
              <w:rPr>
                <w:rFonts w:ascii="宋体" w:hAnsi="宋体" w:eastAsia="宋体"/>
                <w:sz w:val="16"/>
              </w:rPr>
              <w:t>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9B18">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4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3915">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C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D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8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38F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C5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F2678">
            <w:pPr>
              <w:jc w:val="center"/>
            </w:pPr>
          </w:p>
        </w:tc>
      </w:tr>
      <w:tr w14:paraId="1468A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9D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8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4A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FEFD">
            <w:pPr>
              <w:jc w:val="center"/>
            </w:pPr>
            <w:r>
              <w:rPr>
                <w:rFonts w:ascii="宋体" w:hAnsi="宋体" w:eastAsia="宋体"/>
                <w:sz w:val="16"/>
              </w:rPr>
              <w:t>培训人员数量（人）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F02D">
            <w:pPr>
              <w:jc w:val="center"/>
            </w:pPr>
            <w:r>
              <w:rPr>
                <w:rFonts w:ascii="宋体" w:hAnsi="宋体" w:eastAsia="宋体"/>
                <w:sz w:val="16"/>
              </w:rPr>
              <w:t>&gt;=236人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F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CC80">
            <w:pPr>
              <w:jc w:val="center"/>
            </w:pPr>
            <w:r>
              <w:rPr>
                <w:rFonts w:ascii="宋体" w:hAnsi="宋体" w:eastAsia="宋体"/>
                <w:sz w:val="16"/>
              </w:rPr>
              <w:t>720人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86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A0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76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F563">
            <w:pPr>
              <w:jc w:val="center"/>
            </w:pPr>
            <w:r>
              <w:rPr>
                <w:rFonts w:ascii="宋体" w:hAnsi="宋体" w:eastAsia="宋体"/>
                <w:sz w:val="16"/>
              </w:rPr>
              <w:t>=236人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3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2662">
            <w:pPr>
              <w:jc w:val="center"/>
            </w:pPr>
          </w:p>
        </w:tc>
      </w:tr>
      <w:tr w14:paraId="4C422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1D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1F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8D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3C99">
            <w:pPr>
              <w:jc w:val="center"/>
            </w:pPr>
            <w:r>
              <w:rPr>
                <w:rFonts w:ascii="宋体" w:hAnsi="宋体" w:eastAsia="宋体"/>
                <w:sz w:val="16"/>
              </w:rPr>
              <w:t>培训对象能力提升率（%）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F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B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8FB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C8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04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9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3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60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AF18">
            <w:pPr>
              <w:jc w:val="center"/>
            </w:pPr>
          </w:p>
        </w:tc>
      </w:tr>
      <w:tr w14:paraId="4701C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9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DD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D4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3A2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7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5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B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5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E3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F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22DC">
            <w:pPr>
              <w:jc w:val="center"/>
            </w:pPr>
            <w:r>
              <w:rPr>
                <w:rFonts w:ascii="宋体" w:hAnsi="宋体" w:eastAsia="宋体"/>
                <w:sz w:val="16"/>
              </w:rPr>
              <w:t>=46.09%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B5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B51A">
            <w:pPr>
              <w:jc w:val="center"/>
            </w:pPr>
            <w:r>
              <w:rPr>
                <w:rFonts w:ascii="宋体" w:hAnsi="宋体" w:eastAsia="宋体"/>
                <w:sz w:val="16"/>
              </w:rPr>
              <w:t>偏差原因：未能按照预算执行。改进措施：加强预算管理制度，严格按照年初预算执行。</w:t>
            </w:r>
          </w:p>
        </w:tc>
      </w:tr>
      <w:tr w14:paraId="61D86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47C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BD5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A95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86AC">
            <w:pPr>
              <w:jc w:val="center"/>
            </w:pPr>
            <w:r>
              <w:rPr>
                <w:rFonts w:ascii="宋体" w:hAnsi="宋体" w:eastAsia="宋体"/>
                <w:sz w:val="16"/>
              </w:rPr>
              <w:t>参加培训学员食宿费（万元）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F672">
            <w:pPr>
              <w:jc w:val="center"/>
            </w:pPr>
            <w:r>
              <w:rPr>
                <w:rFonts w:ascii="宋体" w:hAnsi="宋体" w:eastAsia="宋体"/>
                <w:sz w:val="16"/>
              </w:rPr>
              <w:t>&lt;=31.22万元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37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EA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1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0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A6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6B2E">
            <w:pPr>
              <w:jc w:val="center"/>
            </w:pPr>
            <w:r>
              <w:rPr>
                <w:rFonts w:ascii="宋体" w:hAnsi="宋体" w:eastAsia="宋体"/>
                <w:sz w:val="16"/>
              </w:rPr>
              <w:t>=14.39万元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FC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2BAE1">
            <w:pPr>
              <w:jc w:val="center"/>
            </w:pPr>
            <w:r>
              <w:rPr>
                <w:rFonts w:ascii="宋体" w:hAnsi="宋体" w:eastAsia="宋体"/>
                <w:sz w:val="16"/>
              </w:rPr>
              <w:t>偏差原因：未能按照预算执行。改进措施：加强预算管理制度，严格按照年初预算执行。</w:t>
            </w:r>
          </w:p>
        </w:tc>
      </w:tr>
      <w:tr w14:paraId="040D9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F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8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41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AF6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0DA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13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6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55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4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88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415F">
            <w:pPr>
              <w:jc w:val="center"/>
            </w:pPr>
            <w:r>
              <w:rPr>
                <w:rFonts w:ascii="宋体" w:hAnsi="宋体" w:eastAsia="宋体"/>
                <w:sz w:val="16"/>
              </w:rPr>
              <w:t>=46.09%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218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3B6F3">
            <w:pPr>
              <w:jc w:val="center"/>
            </w:pPr>
            <w:r>
              <w:rPr>
                <w:rFonts w:ascii="宋体" w:hAnsi="宋体" w:eastAsia="宋体"/>
                <w:sz w:val="16"/>
              </w:rPr>
              <w:t>偏差原因：未能按照预算执行。改进措施：加强预算管理制度，严格按照年初预算执行。</w:t>
            </w:r>
          </w:p>
        </w:tc>
      </w:tr>
      <w:tr w14:paraId="03C1D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D9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E9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D4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E6DC">
            <w:pPr>
              <w:jc w:val="center"/>
            </w:pPr>
            <w:r>
              <w:rPr>
                <w:rFonts w:ascii="宋体" w:hAnsi="宋体" w:eastAsia="宋体"/>
                <w:sz w:val="16"/>
              </w:rPr>
              <w:t>提升学员业务水平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90E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3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C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AD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8C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06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80C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66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46910">
            <w:pPr>
              <w:jc w:val="center"/>
            </w:pPr>
          </w:p>
        </w:tc>
      </w:tr>
      <w:tr w14:paraId="02BF6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2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71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2A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D10A">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24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F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2A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D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00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F9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3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0F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CB754">
            <w:pPr>
              <w:jc w:val="center"/>
            </w:pPr>
          </w:p>
        </w:tc>
      </w:tr>
      <w:tr w14:paraId="7D4313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C6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F3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27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A81B1">
            <w:pPr>
              <w:jc w:val="center"/>
            </w:pPr>
            <w:r>
              <w:rPr>
                <w:rFonts w:ascii="宋体" w:hAnsi="宋体" w:eastAsia="宋体"/>
                <w:sz w:val="16"/>
              </w:rPr>
              <w:t>60分</w:t>
            </w:r>
          </w:p>
        </w:tc>
      </w:tr>
    </w:tbl>
    <w:p w14:paraId="285CD6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2DCCE6C">
        <w:tblPrEx>
          <w:tblCellMar>
            <w:top w:w="0" w:type="dxa"/>
            <w:left w:w="108" w:type="dxa"/>
            <w:bottom w:w="0" w:type="dxa"/>
            <w:right w:w="108" w:type="dxa"/>
          </w:tblCellMar>
        </w:tblPrEx>
        <w:tc>
          <w:tcPr>
            <w:tcW w:w="8848" w:type="dxa"/>
            <w:gridSpan w:val="14"/>
            <w:vAlign w:val="center"/>
          </w:tcPr>
          <w:p w14:paraId="69AE487A">
            <w:pPr>
              <w:jc w:val="center"/>
            </w:pPr>
            <w:r>
              <w:rPr>
                <w:rFonts w:ascii="宋体" w:hAnsi="宋体" w:eastAsia="宋体"/>
                <w:sz w:val="24"/>
              </w:rPr>
              <w:t>项目支出绩效自评表</w:t>
            </w:r>
          </w:p>
        </w:tc>
      </w:tr>
      <w:tr w14:paraId="792F9839">
        <w:tblPrEx>
          <w:tblCellMar>
            <w:top w:w="0" w:type="dxa"/>
            <w:left w:w="108" w:type="dxa"/>
            <w:bottom w:w="0" w:type="dxa"/>
            <w:right w:w="108" w:type="dxa"/>
          </w:tblCellMar>
        </w:tblPrEx>
        <w:tc>
          <w:tcPr>
            <w:tcW w:w="8848" w:type="dxa"/>
            <w:gridSpan w:val="14"/>
            <w:vAlign w:val="center"/>
          </w:tcPr>
          <w:p w14:paraId="4B037392">
            <w:pPr>
              <w:jc w:val="center"/>
            </w:pPr>
            <w:r>
              <w:rPr>
                <w:rFonts w:ascii="宋体" w:hAnsi="宋体" w:eastAsia="宋体"/>
                <w:sz w:val="24"/>
              </w:rPr>
              <w:t>(2024年度)</w:t>
            </w:r>
          </w:p>
        </w:tc>
      </w:tr>
      <w:tr w14:paraId="6F630A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0A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632DC">
            <w:pPr>
              <w:jc w:val="center"/>
            </w:pPr>
            <w:r>
              <w:rPr>
                <w:rFonts w:ascii="宋体" w:hAnsi="宋体" w:eastAsia="宋体"/>
                <w:sz w:val="16"/>
              </w:rPr>
              <w:t>人才引进生活补助</w:t>
            </w:r>
          </w:p>
        </w:tc>
      </w:tr>
      <w:tr w14:paraId="46D7ED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70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75FF9">
            <w:pPr>
              <w:jc w:val="center"/>
            </w:pPr>
            <w:r>
              <w:rPr>
                <w:rFonts w:ascii="宋体" w:hAnsi="宋体" w:eastAsia="宋体"/>
                <w:sz w:val="16"/>
              </w:rPr>
              <w:t>克孜勒苏柯尔克孜自治州统一战线工作部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64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FFC53F">
            <w:pPr>
              <w:jc w:val="center"/>
            </w:pPr>
            <w:r>
              <w:rPr>
                <w:rFonts w:ascii="宋体" w:hAnsi="宋体" w:eastAsia="宋体"/>
                <w:sz w:val="16"/>
              </w:rPr>
              <w:t>克孜勒苏柯尔克孜自治州社会主义学院</w:t>
            </w:r>
          </w:p>
        </w:tc>
      </w:tr>
      <w:tr w14:paraId="519C4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5BE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0E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39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B3F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8AC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960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EE8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35EA">
            <w:pPr>
              <w:jc w:val="center"/>
            </w:pPr>
            <w:r>
              <w:rPr>
                <w:rFonts w:ascii="宋体" w:hAnsi="宋体" w:eastAsia="宋体"/>
                <w:sz w:val="16"/>
              </w:rPr>
              <w:t>得分</w:t>
            </w:r>
          </w:p>
        </w:tc>
      </w:tr>
      <w:tr w14:paraId="291DD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43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588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FBF5">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AE06">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0EAC0">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3DA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2C3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C466">
            <w:pPr>
              <w:jc w:val="center"/>
            </w:pPr>
            <w:r>
              <w:rPr>
                <w:rFonts w:ascii="宋体" w:hAnsi="宋体" w:eastAsia="宋体"/>
                <w:sz w:val="16"/>
              </w:rPr>
              <w:t>10.00分</w:t>
            </w:r>
          </w:p>
        </w:tc>
      </w:tr>
      <w:tr w14:paraId="7DEB0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CB7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F4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2832">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60DC">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36BA7">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DE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3EE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7F4D">
            <w:pPr>
              <w:jc w:val="center"/>
            </w:pPr>
            <w:r>
              <w:rPr>
                <w:rFonts w:ascii="宋体" w:hAnsi="宋体" w:eastAsia="宋体"/>
                <w:sz w:val="16"/>
              </w:rPr>
              <w:t>—</w:t>
            </w:r>
          </w:p>
        </w:tc>
      </w:tr>
      <w:tr w14:paraId="5F9A6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AA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9A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36B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C56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6B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04B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63AB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D115">
            <w:pPr>
              <w:jc w:val="center"/>
            </w:pPr>
            <w:r>
              <w:rPr>
                <w:rFonts w:ascii="宋体" w:hAnsi="宋体" w:eastAsia="宋体"/>
                <w:sz w:val="16"/>
              </w:rPr>
              <w:t>—</w:t>
            </w:r>
          </w:p>
        </w:tc>
      </w:tr>
      <w:tr w14:paraId="57505B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6E9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6D2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201661">
            <w:pPr>
              <w:jc w:val="center"/>
            </w:pPr>
            <w:r>
              <w:rPr>
                <w:rFonts w:ascii="宋体" w:hAnsi="宋体" w:eastAsia="宋体"/>
                <w:sz w:val="16"/>
              </w:rPr>
              <w:t>实际完成情况</w:t>
            </w:r>
          </w:p>
        </w:tc>
      </w:tr>
      <w:tr w14:paraId="5B2F3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91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72C16">
            <w:pPr>
              <w:jc w:val="both"/>
            </w:pPr>
            <w:r>
              <w:rPr>
                <w:rFonts w:ascii="宋体" w:hAnsi="宋体" w:eastAsia="宋体"/>
                <w:sz w:val="16"/>
              </w:rPr>
              <w:t>该项目总投资2.6万元，其中：财政资金2.6万元，其他资金0万元，主要用于新引进人才的生活补助，通过该项目的实施实现引进人才，留住人才，充实人才队伍，逐步提高工作队伍建设。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7D026">
            <w:pPr>
              <w:jc w:val="both"/>
            </w:pPr>
            <w:r>
              <w:rPr>
                <w:rFonts w:ascii="宋体" w:hAnsi="宋体" w:eastAsia="宋体"/>
                <w:sz w:val="16"/>
              </w:rPr>
              <w:t>截至2024年12月31日，该项目执行数为2.6万元，已完成：保障人数1人，补助标准执行率100%，补助发放及时率100%。通过该项目的实施，新引进人才的生活补助，通过该项目的实施实现引进人才，留住人才，充实人才队伍，逐步提高工作队伍建设。</w:t>
            </w:r>
          </w:p>
        </w:tc>
      </w:tr>
      <w:tr w14:paraId="70858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2A5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50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97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5B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BD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82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F9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C7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7C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B4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7F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EE0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3375">
            <w:pPr>
              <w:jc w:val="center"/>
            </w:pPr>
            <w:r>
              <w:rPr>
                <w:rFonts w:ascii="宋体" w:hAnsi="宋体" w:eastAsia="宋体"/>
                <w:sz w:val="16"/>
              </w:rPr>
              <w:t>偏差原因分析及改进措施</w:t>
            </w:r>
          </w:p>
        </w:tc>
      </w:tr>
      <w:tr w14:paraId="59807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983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BC3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F1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95CD">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C866">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8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2B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271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F9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12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0F5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012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D688E">
            <w:pPr>
              <w:jc w:val="center"/>
            </w:pPr>
          </w:p>
        </w:tc>
      </w:tr>
      <w:tr w14:paraId="151B3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20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A1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44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4CB8">
            <w:pPr>
              <w:jc w:val="center"/>
            </w:pPr>
            <w:r>
              <w:rPr>
                <w:rFonts w:ascii="宋体" w:hAnsi="宋体" w:eastAsia="宋体"/>
                <w:sz w:val="16"/>
              </w:rPr>
              <w:t>补助标准执行率（%）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8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0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DA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AC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0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1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2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98F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5F52E">
            <w:pPr>
              <w:jc w:val="center"/>
            </w:pPr>
          </w:p>
        </w:tc>
      </w:tr>
      <w:tr w14:paraId="075D8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6E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1E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B2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34A9">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E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B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2C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0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9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8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9F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A7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0752B">
            <w:pPr>
              <w:jc w:val="center"/>
            </w:pPr>
          </w:p>
        </w:tc>
      </w:tr>
      <w:tr w14:paraId="4CE26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72A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FA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7A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321D">
            <w:pPr>
              <w:jc w:val="center"/>
            </w:pPr>
            <w:r>
              <w:rPr>
                <w:rFonts w:ascii="宋体" w:hAnsi="宋体" w:eastAsia="宋体"/>
                <w:sz w:val="16"/>
              </w:rPr>
              <w:t>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8634">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73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EE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35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C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93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E048">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85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8DFE">
            <w:pPr>
              <w:jc w:val="center"/>
            </w:pPr>
          </w:p>
        </w:tc>
      </w:tr>
      <w:tr w14:paraId="0FA4B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3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5B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37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70B1">
            <w:pPr>
              <w:jc w:val="center"/>
            </w:pPr>
            <w:r>
              <w:rPr>
                <w:rFonts w:ascii="宋体" w:hAnsi="宋体" w:eastAsia="宋体"/>
                <w:sz w:val="16"/>
              </w:rPr>
              <w:t>有效充实人才队伍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92C0">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6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8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45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1A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9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F4D8">
            <w:pPr>
              <w:jc w:val="center"/>
            </w:pPr>
            <w:r>
              <w:rPr>
                <w:rFonts w:ascii="宋体" w:hAnsi="宋体" w:eastAsia="宋体"/>
                <w:sz w:val="16"/>
              </w:rPr>
              <w:t>有效充实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C7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3E34">
            <w:pPr>
              <w:jc w:val="center"/>
            </w:pPr>
          </w:p>
        </w:tc>
      </w:tr>
      <w:tr w14:paraId="6CDA6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FB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28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2D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B9F1">
            <w:pPr>
              <w:jc w:val="center"/>
            </w:pPr>
            <w:r>
              <w:rPr>
                <w:rFonts w:ascii="宋体" w:hAnsi="宋体" w:eastAsia="宋体"/>
                <w:sz w:val="16"/>
              </w:rPr>
              <w:t>服务人才满意度（%）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1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0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0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C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74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D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A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6D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0CD2">
            <w:pPr>
              <w:jc w:val="center"/>
            </w:pPr>
          </w:p>
        </w:tc>
      </w:tr>
      <w:tr w14:paraId="24251D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B9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C6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49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CDC34">
            <w:pPr>
              <w:jc w:val="center"/>
            </w:pPr>
            <w:r>
              <w:rPr>
                <w:rFonts w:ascii="宋体" w:hAnsi="宋体" w:eastAsia="宋体"/>
                <w:sz w:val="16"/>
              </w:rPr>
              <w:t>100分</w:t>
            </w:r>
          </w:p>
        </w:tc>
      </w:tr>
    </w:tbl>
    <w:p w14:paraId="3D8DA5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B98658">
        <w:tblPrEx>
          <w:tblCellMar>
            <w:top w:w="0" w:type="dxa"/>
            <w:left w:w="108" w:type="dxa"/>
            <w:bottom w:w="0" w:type="dxa"/>
            <w:right w:w="108" w:type="dxa"/>
          </w:tblCellMar>
        </w:tblPrEx>
        <w:tc>
          <w:tcPr>
            <w:tcW w:w="8848" w:type="dxa"/>
            <w:gridSpan w:val="14"/>
            <w:vAlign w:val="center"/>
          </w:tcPr>
          <w:p w14:paraId="665AFF97">
            <w:pPr>
              <w:jc w:val="center"/>
            </w:pPr>
            <w:r>
              <w:rPr>
                <w:rFonts w:ascii="宋体" w:hAnsi="宋体" w:eastAsia="宋体"/>
                <w:sz w:val="24"/>
              </w:rPr>
              <w:t>项目支出绩效自评表</w:t>
            </w:r>
          </w:p>
        </w:tc>
      </w:tr>
      <w:tr w14:paraId="3F5D9932">
        <w:tblPrEx>
          <w:tblCellMar>
            <w:top w:w="0" w:type="dxa"/>
            <w:left w:w="108" w:type="dxa"/>
            <w:bottom w:w="0" w:type="dxa"/>
            <w:right w:w="108" w:type="dxa"/>
          </w:tblCellMar>
        </w:tblPrEx>
        <w:tc>
          <w:tcPr>
            <w:tcW w:w="8848" w:type="dxa"/>
            <w:gridSpan w:val="14"/>
            <w:vAlign w:val="center"/>
          </w:tcPr>
          <w:p w14:paraId="1552C34E">
            <w:pPr>
              <w:jc w:val="center"/>
            </w:pPr>
            <w:r>
              <w:rPr>
                <w:rFonts w:ascii="宋体" w:hAnsi="宋体" w:eastAsia="宋体"/>
                <w:sz w:val="24"/>
              </w:rPr>
              <w:t>(2024年度)</w:t>
            </w:r>
          </w:p>
        </w:tc>
      </w:tr>
      <w:tr w14:paraId="76E6C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71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676F3E">
            <w:pPr>
              <w:jc w:val="center"/>
            </w:pPr>
            <w:r>
              <w:rPr>
                <w:rFonts w:ascii="宋体" w:hAnsi="宋体" w:eastAsia="宋体"/>
                <w:sz w:val="16"/>
              </w:rPr>
              <w:t>其他资金结余</w:t>
            </w:r>
          </w:p>
        </w:tc>
      </w:tr>
      <w:tr w14:paraId="0C4452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75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74C1E">
            <w:pPr>
              <w:jc w:val="center"/>
            </w:pPr>
            <w:r>
              <w:rPr>
                <w:rFonts w:ascii="宋体" w:hAnsi="宋体" w:eastAsia="宋体"/>
                <w:sz w:val="16"/>
              </w:rPr>
              <w:t>克孜勒苏柯尔克孜自治州统一战线工作部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3F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C06904">
            <w:pPr>
              <w:jc w:val="center"/>
            </w:pPr>
            <w:r>
              <w:rPr>
                <w:rFonts w:ascii="宋体" w:hAnsi="宋体" w:eastAsia="宋体"/>
                <w:sz w:val="16"/>
              </w:rPr>
              <w:t>克孜勒苏柯尔克孜自治州社会主义学院</w:t>
            </w:r>
          </w:p>
        </w:tc>
      </w:tr>
      <w:tr w14:paraId="0D8E4C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98A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694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07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DE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C60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829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8C4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2675">
            <w:pPr>
              <w:jc w:val="center"/>
            </w:pPr>
            <w:r>
              <w:rPr>
                <w:rFonts w:ascii="宋体" w:hAnsi="宋体" w:eastAsia="宋体"/>
                <w:sz w:val="16"/>
              </w:rPr>
              <w:t>得分</w:t>
            </w:r>
          </w:p>
        </w:tc>
      </w:tr>
      <w:tr w14:paraId="09CED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939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F6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34656">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D4E0">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C65F2">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0C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BA89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3196">
            <w:pPr>
              <w:jc w:val="center"/>
            </w:pPr>
            <w:r>
              <w:rPr>
                <w:rFonts w:ascii="宋体" w:hAnsi="宋体" w:eastAsia="宋体"/>
                <w:sz w:val="16"/>
              </w:rPr>
              <w:t>10.00分</w:t>
            </w:r>
          </w:p>
        </w:tc>
      </w:tr>
      <w:tr w14:paraId="135D1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C7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6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A4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04D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CB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F0B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A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0335">
            <w:pPr>
              <w:jc w:val="center"/>
            </w:pPr>
            <w:r>
              <w:rPr>
                <w:rFonts w:ascii="宋体" w:hAnsi="宋体" w:eastAsia="宋体"/>
                <w:sz w:val="16"/>
              </w:rPr>
              <w:t>—</w:t>
            </w:r>
          </w:p>
        </w:tc>
      </w:tr>
      <w:tr w14:paraId="284DF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811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90B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8859">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4B91">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F898">
            <w:pPr>
              <w:jc w:val="center"/>
            </w:pPr>
            <w:r>
              <w:rPr>
                <w:rFonts w:ascii="宋体" w:hAnsi="宋体" w:eastAsia="宋体"/>
                <w:sz w:val="16"/>
              </w:rPr>
              <w:t>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8D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D8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F569">
            <w:pPr>
              <w:jc w:val="center"/>
            </w:pPr>
            <w:r>
              <w:rPr>
                <w:rFonts w:ascii="宋体" w:hAnsi="宋体" w:eastAsia="宋体"/>
                <w:sz w:val="16"/>
              </w:rPr>
              <w:t>—</w:t>
            </w:r>
          </w:p>
        </w:tc>
      </w:tr>
      <w:tr w14:paraId="344E11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783F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091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680BC">
            <w:pPr>
              <w:jc w:val="center"/>
            </w:pPr>
            <w:r>
              <w:rPr>
                <w:rFonts w:ascii="宋体" w:hAnsi="宋体" w:eastAsia="宋体"/>
                <w:sz w:val="16"/>
              </w:rPr>
              <w:t>实际完成情况</w:t>
            </w:r>
          </w:p>
        </w:tc>
      </w:tr>
      <w:tr w14:paraId="02D9B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B23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7D0F8">
            <w:pPr>
              <w:jc w:val="both"/>
            </w:pPr>
            <w:r>
              <w:rPr>
                <w:rFonts w:ascii="宋体" w:hAnsi="宋体" w:eastAsia="宋体"/>
                <w:sz w:val="16"/>
              </w:rPr>
              <w:t>该项目总投资8.56万元，其中：财政资金0万元，其他资金8.56万元，根据自治州</w:t>
            </w:r>
            <w:r>
              <w:rPr>
                <w:rFonts w:hint="eastAsia" w:ascii="宋体" w:hAnsi="宋体"/>
                <w:sz w:val="16"/>
                <w:lang w:eastAsia="zh-CN"/>
              </w:rPr>
              <w:t>党委、政府</w:t>
            </w:r>
            <w:r>
              <w:rPr>
                <w:rFonts w:ascii="宋体" w:hAnsi="宋体" w:eastAsia="宋体"/>
                <w:sz w:val="16"/>
              </w:rPr>
              <w:t>统一战线人才，民主党派和无党派人士培养培训工作任务，为了进一步提高优化的服务质量，营造学院的美好环境，更大限度的调动学员们的</w:t>
            </w:r>
            <w:r>
              <w:rPr>
                <w:rFonts w:hint="eastAsia" w:ascii="宋体" w:hAnsi="宋体"/>
                <w:sz w:val="16"/>
                <w:lang w:eastAsia="zh-CN"/>
              </w:rPr>
              <w:t>积极性、主动性、创造性</w:t>
            </w:r>
            <w:r>
              <w:rPr>
                <w:rFonts w:ascii="宋体" w:hAnsi="宋体" w:eastAsia="宋体"/>
                <w:sz w:val="16"/>
              </w:rPr>
              <w:t>，结合学院的实际情况，制定了本方案，全力保障教职人员后勤服务工作。 该项目资金主要用于做好教职人员后勤保障，培训学员伙食费，教育教学，误工补贴，外聘教师授课费，跟学员开展的各类活动费用，奖学金及学员其他日常用品等。过该项目的实施，解决后勤保障学院的各类培训正常运转问题，实现培训学员更好</w:t>
            </w:r>
            <w:r>
              <w:rPr>
                <w:rFonts w:hint="eastAsia" w:ascii="宋体" w:hAnsi="宋体"/>
                <w:sz w:val="16"/>
                <w:lang w:eastAsia="zh-CN"/>
              </w:rPr>
              <w:t>地</w:t>
            </w:r>
            <w:r>
              <w:rPr>
                <w:rFonts w:ascii="宋体" w:hAnsi="宋体" w:eastAsia="宋体"/>
                <w:sz w:val="16"/>
              </w:rPr>
              <w:t>学到更多的知识。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DF5F94">
            <w:pPr>
              <w:jc w:val="both"/>
            </w:pPr>
            <w:r>
              <w:rPr>
                <w:rFonts w:ascii="宋体" w:hAnsi="宋体" w:eastAsia="宋体"/>
                <w:sz w:val="16"/>
              </w:rPr>
              <w:t>截至2024年12月31日，该项目执行数为8.56万元，已完成：开展培训人数20人，开展培训次数2次，缴纳</w:t>
            </w:r>
            <w:r>
              <w:rPr>
                <w:rFonts w:hint="eastAsia" w:ascii="宋体" w:hAnsi="宋体"/>
                <w:sz w:val="16"/>
                <w:lang w:eastAsia="zh-CN"/>
              </w:rPr>
              <w:t>社保</w:t>
            </w:r>
            <w:r>
              <w:rPr>
                <w:rFonts w:ascii="宋体" w:hAnsi="宋体" w:eastAsia="宋体"/>
                <w:sz w:val="16"/>
              </w:rPr>
              <w:t>1次。通过该项目的实施，解决好教职人员后勤保障，培训学员伙食费，教育教学，误工补贴，外聘教师授课费，跟学员开展的各类活动费用，奖学金及学员其他日常用品等。</w:t>
            </w:r>
          </w:p>
        </w:tc>
      </w:tr>
      <w:tr w14:paraId="2AAE12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594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77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BD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97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27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3A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B8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58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0C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8E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D7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1C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E7CF">
            <w:pPr>
              <w:jc w:val="center"/>
            </w:pPr>
            <w:r>
              <w:rPr>
                <w:rFonts w:ascii="宋体" w:hAnsi="宋体" w:eastAsia="宋体"/>
                <w:sz w:val="16"/>
              </w:rPr>
              <w:t>偏差原因分析及改进措施</w:t>
            </w:r>
          </w:p>
        </w:tc>
      </w:tr>
      <w:tr w14:paraId="22B6C3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A32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5E1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B97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DA13">
            <w:pPr>
              <w:jc w:val="center"/>
            </w:pPr>
            <w:r>
              <w:rPr>
                <w:rFonts w:ascii="宋体" w:hAnsi="宋体" w:eastAsia="宋体"/>
                <w:sz w:val="16"/>
              </w:rPr>
              <w:t>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398F">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8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FF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A6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7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CC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FDA3">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D54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7991E">
            <w:pPr>
              <w:jc w:val="center"/>
            </w:pPr>
          </w:p>
        </w:tc>
      </w:tr>
      <w:tr w14:paraId="0F143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629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4A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71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F3EB">
            <w:pPr>
              <w:jc w:val="center"/>
            </w:pPr>
            <w:r>
              <w:rPr>
                <w:rFonts w:ascii="宋体" w:hAnsi="宋体" w:eastAsia="宋体"/>
                <w:sz w:val="16"/>
              </w:rPr>
              <w:t>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6EA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1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6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E7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E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A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A2E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456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44561">
            <w:pPr>
              <w:jc w:val="center"/>
            </w:pPr>
          </w:p>
        </w:tc>
      </w:tr>
      <w:tr w14:paraId="39343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E1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89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F3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B418">
            <w:pPr>
              <w:jc w:val="center"/>
            </w:pPr>
            <w:r>
              <w:rPr>
                <w:rFonts w:ascii="宋体" w:hAnsi="宋体" w:eastAsia="宋体"/>
                <w:sz w:val="16"/>
              </w:rPr>
              <w:t>缴纳社保费（次）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76D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6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CA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DC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C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9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606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265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D709">
            <w:pPr>
              <w:jc w:val="center"/>
            </w:pPr>
          </w:p>
        </w:tc>
      </w:tr>
      <w:tr w14:paraId="299E0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B6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04A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5B6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5BFC">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4C88">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4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4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FA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1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31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E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1A5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BC043">
            <w:pPr>
              <w:jc w:val="center"/>
            </w:pPr>
          </w:p>
        </w:tc>
      </w:tr>
      <w:tr w14:paraId="2FB67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1B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6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2B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60A0">
            <w:pPr>
              <w:jc w:val="center"/>
            </w:pPr>
            <w:r>
              <w:rPr>
                <w:rFonts w:ascii="宋体" w:hAnsi="宋体" w:eastAsia="宋体"/>
                <w:sz w:val="16"/>
              </w:rPr>
              <w:t>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C84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B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7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51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67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F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2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5C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371D6">
            <w:pPr>
              <w:jc w:val="center"/>
            </w:pPr>
          </w:p>
        </w:tc>
      </w:tr>
      <w:tr w14:paraId="1C26C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E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1F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0B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6738">
            <w:pPr>
              <w:jc w:val="center"/>
            </w:pPr>
            <w:r>
              <w:rPr>
                <w:rFonts w:ascii="宋体" w:hAnsi="宋体" w:eastAsia="宋体"/>
                <w:sz w:val="16"/>
              </w:rPr>
              <w:t>各项培训完成率（%）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6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D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56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2D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20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C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3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F73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B8057">
            <w:pPr>
              <w:jc w:val="center"/>
            </w:pPr>
          </w:p>
        </w:tc>
      </w:tr>
      <w:tr w14:paraId="55912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37C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7F5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84A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8B08">
            <w:pPr>
              <w:jc w:val="center"/>
            </w:pPr>
            <w:r>
              <w:rPr>
                <w:rFonts w:ascii="宋体" w:hAnsi="宋体" w:eastAsia="宋体"/>
                <w:sz w:val="16"/>
              </w:rPr>
              <w:t>2023年12月伙食费（万元）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5F06">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11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61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C8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A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72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5911">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1B3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26F76">
            <w:pPr>
              <w:jc w:val="center"/>
            </w:pPr>
          </w:p>
        </w:tc>
      </w:tr>
      <w:tr w14:paraId="05EA1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31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AE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E8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47BA">
            <w:pPr>
              <w:jc w:val="center"/>
            </w:pPr>
            <w:r>
              <w:rPr>
                <w:rFonts w:ascii="宋体" w:hAnsi="宋体" w:eastAsia="宋体"/>
                <w:sz w:val="16"/>
              </w:rPr>
              <w:t>2023年12月社保费（万元）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F273">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69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5C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2E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3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CB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7E3E">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7D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A6DE">
            <w:pPr>
              <w:jc w:val="center"/>
            </w:pPr>
          </w:p>
        </w:tc>
      </w:tr>
      <w:tr w14:paraId="6B529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2E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5E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39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64D6">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4895">
            <w:pPr>
              <w:jc w:val="center"/>
            </w:pPr>
            <w:r>
              <w:rPr>
                <w:rFonts w:ascii="宋体" w:hAnsi="宋体" w:eastAsia="宋体"/>
                <w:sz w:val="16"/>
              </w:rPr>
              <w:t>&lt;=2.46万元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A8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F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C0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59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28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FFA2">
            <w:pPr>
              <w:jc w:val="center"/>
            </w:pPr>
            <w:r>
              <w:rPr>
                <w:rFonts w:ascii="宋体" w:hAnsi="宋体" w:eastAsia="宋体"/>
                <w:sz w:val="16"/>
              </w:rPr>
              <w:t>=2.46万元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87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F3FF0">
            <w:pPr>
              <w:jc w:val="center"/>
            </w:pPr>
          </w:p>
        </w:tc>
      </w:tr>
      <w:tr w14:paraId="656F0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5B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CE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49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9F47">
            <w:pPr>
              <w:jc w:val="center"/>
            </w:pPr>
            <w:r>
              <w:rPr>
                <w:rFonts w:ascii="宋体" w:hAnsi="宋体" w:eastAsia="宋体"/>
                <w:sz w:val="16"/>
              </w:rPr>
              <w:t>工作效率提升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E7B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9C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A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9B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58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D3A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181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F0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B2181">
            <w:pPr>
              <w:jc w:val="center"/>
            </w:pPr>
          </w:p>
        </w:tc>
      </w:tr>
      <w:tr w14:paraId="217BF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C7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BF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4C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B0AB">
            <w:pPr>
              <w:jc w:val="center"/>
            </w:pPr>
            <w:r>
              <w:rPr>
                <w:rFonts w:ascii="宋体" w:hAnsi="宋体" w:eastAsia="宋体"/>
                <w:sz w:val="16"/>
              </w:rPr>
              <w:t>教职人员满意度（%）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5A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7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0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CE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74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A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84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8B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72883">
            <w:pPr>
              <w:jc w:val="center"/>
            </w:pPr>
          </w:p>
        </w:tc>
      </w:tr>
      <w:tr w14:paraId="766A14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A1A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A2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5E9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86C82B">
            <w:pPr>
              <w:jc w:val="center"/>
            </w:pPr>
            <w:r>
              <w:rPr>
                <w:rFonts w:ascii="宋体" w:hAnsi="宋体" w:eastAsia="宋体"/>
                <w:sz w:val="16"/>
              </w:rPr>
              <w:t>100分</w:t>
            </w:r>
          </w:p>
        </w:tc>
      </w:tr>
    </w:tbl>
    <w:p w14:paraId="70F5BF5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0C900722">
        <w:tblPrEx>
          <w:tblCellMar>
            <w:top w:w="0" w:type="dxa"/>
            <w:left w:w="108" w:type="dxa"/>
            <w:bottom w:w="0" w:type="dxa"/>
            <w:right w:w="108" w:type="dxa"/>
          </w:tblCellMar>
        </w:tblPrEx>
        <w:tc>
          <w:tcPr>
            <w:tcW w:w="8848" w:type="dxa"/>
            <w:gridSpan w:val="14"/>
            <w:vAlign w:val="center"/>
          </w:tcPr>
          <w:p w14:paraId="2C03B220">
            <w:pPr>
              <w:jc w:val="center"/>
            </w:pPr>
            <w:r>
              <w:rPr>
                <w:rFonts w:ascii="宋体" w:hAnsi="宋体" w:eastAsia="宋体"/>
                <w:sz w:val="24"/>
              </w:rPr>
              <w:t>项目支出绩效自评表</w:t>
            </w:r>
          </w:p>
        </w:tc>
      </w:tr>
      <w:tr w14:paraId="345BBA93">
        <w:tblPrEx>
          <w:tblCellMar>
            <w:top w:w="0" w:type="dxa"/>
            <w:left w:w="108" w:type="dxa"/>
            <w:bottom w:w="0" w:type="dxa"/>
            <w:right w:w="108" w:type="dxa"/>
          </w:tblCellMar>
        </w:tblPrEx>
        <w:tc>
          <w:tcPr>
            <w:tcW w:w="8848" w:type="dxa"/>
            <w:gridSpan w:val="14"/>
            <w:vAlign w:val="center"/>
          </w:tcPr>
          <w:p w14:paraId="4A6268A6">
            <w:pPr>
              <w:jc w:val="center"/>
            </w:pPr>
            <w:r>
              <w:rPr>
                <w:rFonts w:ascii="宋体" w:hAnsi="宋体" w:eastAsia="宋体"/>
                <w:sz w:val="24"/>
              </w:rPr>
              <w:t>(2024年度)</w:t>
            </w:r>
          </w:p>
        </w:tc>
      </w:tr>
      <w:tr w14:paraId="5246C1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B2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14046D">
            <w:pPr>
              <w:jc w:val="center"/>
            </w:pPr>
            <w:r>
              <w:rPr>
                <w:rFonts w:ascii="宋体" w:hAnsi="宋体" w:eastAsia="宋体"/>
                <w:sz w:val="16"/>
              </w:rPr>
              <w:t>学院运行经费</w:t>
            </w:r>
          </w:p>
        </w:tc>
      </w:tr>
      <w:tr w14:paraId="5E1437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92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ACD66">
            <w:pPr>
              <w:jc w:val="center"/>
            </w:pPr>
            <w:r>
              <w:rPr>
                <w:rFonts w:ascii="宋体" w:hAnsi="宋体" w:eastAsia="宋体"/>
                <w:sz w:val="16"/>
              </w:rPr>
              <w:t>克孜勒苏柯尔克孜自治州统一战线工作部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81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B7BE70">
            <w:pPr>
              <w:jc w:val="center"/>
            </w:pPr>
            <w:r>
              <w:rPr>
                <w:rFonts w:ascii="宋体" w:hAnsi="宋体" w:eastAsia="宋体"/>
                <w:sz w:val="16"/>
              </w:rPr>
              <w:t>克孜勒苏柯尔克孜自治州社会主义学院</w:t>
            </w:r>
          </w:p>
        </w:tc>
      </w:tr>
      <w:tr w14:paraId="2CFC2A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DF8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6DF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90B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B4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337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C28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6C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9112">
            <w:pPr>
              <w:jc w:val="center"/>
            </w:pPr>
            <w:r>
              <w:rPr>
                <w:rFonts w:ascii="宋体" w:hAnsi="宋体" w:eastAsia="宋体"/>
                <w:sz w:val="16"/>
              </w:rPr>
              <w:t>得分</w:t>
            </w:r>
          </w:p>
        </w:tc>
      </w:tr>
      <w:tr w14:paraId="68222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0D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808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F32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D49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5928F">
            <w:pPr>
              <w:jc w:val="center"/>
            </w:pPr>
            <w:r>
              <w:rPr>
                <w:rFonts w:ascii="宋体" w:hAnsi="宋体" w:eastAsia="宋体"/>
                <w:sz w:val="16"/>
              </w:rPr>
              <w:t>47.85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F3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BF58">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8FA6">
            <w:pPr>
              <w:jc w:val="center"/>
            </w:pPr>
            <w:r>
              <w:rPr>
                <w:rFonts w:ascii="宋体" w:hAnsi="宋体" w:eastAsia="宋体"/>
                <w:sz w:val="16"/>
              </w:rPr>
              <w:t>8.93分</w:t>
            </w:r>
          </w:p>
        </w:tc>
      </w:tr>
      <w:tr w14:paraId="1765D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A07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479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F26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37DE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8844D">
            <w:pPr>
              <w:jc w:val="center"/>
            </w:pPr>
            <w:r>
              <w:rPr>
                <w:rFonts w:ascii="宋体" w:hAnsi="宋体" w:eastAsia="宋体"/>
                <w:sz w:val="16"/>
              </w:rPr>
              <w:t>47.85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0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60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7CB9">
            <w:pPr>
              <w:jc w:val="center"/>
            </w:pPr>
            <w:r>
              <w:rPr>
                <w:rFonts w:ascii="宋体" w:hAnsi="宋体" w:eastAsia="宋体"/>
                <w:sz w:val="16"/>
              </w:rPr>
              <w:t>—</w:t>
            </w:r>
          </w:p>
        </w:tc>
      </w:tr>
      <w:tr w14:paraId="23165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63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AA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7D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72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F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92F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4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514E">
            <w:pPr>
              <w:jc w:val="center"/>
            </w:pPr>
            <w:r>
              <w:rPr>
                <w:rFonts w:ascii="宋体" w:hAnsi="宋体" w:eastAsia="宋体"/>
                <w:sz w:val="16"/>
              </w:rPr>
              <w:t>—</w:t>
            </w:r>
          </w:p>
        </w:tc>
      </w:tr>
      <w:tr w14:paraId="612ED8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B08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9E29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6E3C33">
            <w:pPr>
              <w:jc w:val="center"/>
            </w:pPr>
            <w:r>
              <w:rPr>
                <w:rFonts w:ascii="宋体" w:hAnsi="宋体" w:eastAsia="宋体"/>
                <w:sz w:val="16"/>
              </w:rPr>
              <w:t>实际完成情况</w:t>
            </w:r>
          </w:p>
        </w:tc>
      </w:tr>
      <w:tr w14:paraId="5596A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165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32BA1">
            <w:pPr>
              <w:jc w:val="both"/>
            </w:pPr>
            <w:r>
              <w:rPr>
                <w:rFonts w:ascii="宋体" w:hAnsi="宋体" w:eastAsia="宋体"/>
                <w:sz w:val="16"/>
              </w:rPr>
              <w:t>该项目总投资50万元，其中：财政资金50万元，其他资金0万元，该项目资金主要用于做好教职人员后勤保障，学院的宿舍楼，教学楼的各类维修，绿化，水电费，工勤人员工资等正常运转经费。通过该项目的实施，解决后勤保障学院的正常运转问题，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4FAE9">
            <w:pPr>
              <w:jc w:val="both"/>
            </w:pPr>
            <w:r>
              <w:rPr>
                <w:rFonts w:ascii="宋体" w:hAnsi="宋体" w:eastAsia="宋体"/>
                <w:sz w:val="16"/>
              </w:rPr>
              <w:t>截至2024年12月31日，该项目执行数为47.85万元，已完成：后勤保障配备人数3人，维修次数5次，公用车辆维修3次、缴电费3次、缴网络及电话费3次、缴水费12次、加油卡充值2次、购买车辆保险2辆、物业管理费2次、印刷次数2次、办公费2次。通过该项目的实施，解决好教职人员后勤保障，学院的宿舍楼，教学楼的各类维修，绿化，水电费，工勤人员工资等正常运转经费。通过该项目的实施，解决后勤保障学院的正常运转问题。</w:t>
            </w:r>
          </w:p>
        </w:tc>
      </w:tr>
      <w:tr w14:paraId="4007B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99F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90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0E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7C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F5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02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2B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1F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9F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8F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57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2C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0FFE7">
            <w:pPr>
              <w:jc w:val="center"/>
            </w:pPr>
            <w:r>
              <w:rPr>
                <w:rFonts w:ascii="宋体" w:hAnsi="宋体" w:eastAsia="宋体"/>
                <w:sz w:val="16"/>
              </w:rPr>
              <w:t>偏差原因分析及改进措施</w:t>
            </w:r>
          </w:p>
        </w:tc>
      </w:tr>
      <w:tr w14:paraId="42AE95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AE3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D7D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457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4529">
            <w:pPr>
              <w:jc w:val="center"/>
            </w:pPr>
            <w:r>
              <w:rPr>
                <w:rFonts w:ascii="宋体" w:hAnsi="宋体" w:eastAsia="宋体"/>
                <w:sz w:val="16"/>
              </w:rPr>
              <w:t>后勤保障人员配备数（人）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3636">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5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D05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13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5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B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4127">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E64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66864">
            <w:pPr>
              <w:jc w:val="center"/>
            </w:pPr>
          </w:p>
        </w:tc>
      </w:tr>
      <w:tr w14:paraId="4C756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7A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65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45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7548">
            <w:pPr>
              <w:jc w:val="center"/>
            </w:pPr>
            <w:r>
              <w:rPr>
                <w:rFonts w:ascii="宋体" w:hAnsi="宋体" w:eastAsia="宋体"/>
                <w:sz w:val="16"/>
              </w:rPr>
              <w:t>“两院”维修次数（次）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E3BD">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57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DDF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D1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0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1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D46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D5C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16E65">
            <w:pPr>
              <w:jc w:val="center"/>
            </w:pPr>
          </w:p>
        </w:tc>
      </w:tr>
      <w:tr w14:paraId="6821A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CF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E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1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8E48">
            <w:pPr>
              <w:jc w:val="center"/>
            </w:pPr>
            <w:r>
              <w:rPr>
                <w:rFonts w:ascii="宋体" w:hAnsi="宋体" w:eastAsia="宋体"/>
                <w:sz w:val="16"/>
              </w:rPr>
              <w:t>公用车辆维修（次）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BA2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8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5B2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D4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4D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A1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3B5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459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11D0">
            <w:pPr>
              <w:jc w:val="center"/>
            </w:pPr>
          </w:p>
        </w:tc>
      </w:tr>
      <w:tr w14:paraId="532F3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3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FB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F5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7F1E">
            <w:pPr>
              <w:jc w:val="center"/>
            </w:pPr>
            <w:r>
              <w:rPr>
                <w:rFonts w:ascii="宋体" w:hAnsi="宋体" w:eastAsia="宋体"/>
                <w:sz w:val="16"/>
              </w:rPr>
              <w:t>缴电费（次数）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8BB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6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682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E4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6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5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827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A2E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CA9C">
            <w:pPr>
              <w:jc w:val="center"/>
            </w:pPr>
          </w:p>
        </w:tc>
      </w:tr>
      <w:tr w14:paraId="79A8E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5D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17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B2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9FCE">
            <w:pPr>
              <w:jc w:val="center"/>
            </w:pPr>
            <w:r>
              <w:rPr>
                <w:rFonts w:ascii="宋体" w:hAnsi="宋体" w:eastAsia="宋体"/>
                <w:sz w:val="16"/>
              </w:rPr>
              <w:t>缴网络及电话费（次）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547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C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B0B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4A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F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8B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1AF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076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4A355">
            <w:pPr>
              <w:jc w:val="center"/>
            </w:pPr>
          </w:p>
        </w:tc>
      </w:tr>
      <w:tr w14:paraId="74D94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2E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FD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E9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F94C">
            <w:pPr>
              <w:jc w:val="center"/>
            </w:pPr>
            <w:r>
              <w:rPr>
                <w:rFonts w:ascii="宋体" w:hAnsi="宋体" w:eastAsia="宋体"/>
                <w:sz w:val="16"/>
              </w:rPr>
              <w:t>缴水费（次）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CC6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79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E94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E6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6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739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271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665A">
            <w:pPr>
              <w:jc w:val="center"/>
            </w:pPr>
          </w:p>
        </w:tc>
      </w:tr>
      <w:tr w14:paraId="54EF3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2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F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F4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0B68">
            <w:pPr>
              <w:jc w:val="center"/>
            </w:pPr>
            <w:r>
              <w:rPr>
                <w:rFonts w:ascii="宋体" w:hAnsi="宋体" w:eastAsia="宋体"/>
                <w:sz w:val="16"/>
              </w:rPr>
              <w:t>加油卡充值（次）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840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5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138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00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3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43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B30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576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1529">
            <w:pPr>
              <w:jc w:val="center"/>
            </w:pPr>
          </w:p>
        </w:tc>
      </w:tr>
      <w:tr w14:paraId="6C5A8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B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F9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C1D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EBC8">
            <w:pPr>
              <w:jc w:val="center"/>
            </w:pPr>
            <w:r>
              <w:rPr>
                <w:rFonts w:ascii="宋体" w:hAnsi="宋体" w:eastAsia="宋体"/>
                <w:sz w:val="16"/>
              </w:rPr>
              <w:t>购买保险车辆（辆）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58F2">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1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90AC">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20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E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8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D5EE">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5FA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EF88">
            <w:pPr>
              <w:jc w:val="center"/>
            </w:pPr>
          </w:p>
        </w:tc>
      </w:tr>
      <w:tr w14:paraId="61EB2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CF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CE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0C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C59E">
            <w:pPr>
              <w:jc w:val="center"/>
            </w:pPr>
            <w:r>
              <w:rPr>
                <w:rFonts w:ascii="宋体" w:hAnsi="宋体" w:eastAsia="宋体"/>
                <w:sz w:val="16"/>
              </w:rPr>
              <w:t>物业管理费（次）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3F1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6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C73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25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2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1B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DA3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E78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D3C4">
            <w:pPr>
              <w:jc w:val="center"/>
            </w:pPr>
          </w:p>
        </w:tc>
      </w:tr>
      <w:tr w14:paraId="2A85A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8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0D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35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0AC6">
            <w:pPr>
              <w:jc w:val="center"/>
            </w:pPr>
            <w:r>
              <w:rPr>
                <w:rFonts w:ascii="宋体" w:hAnsi="宋体" w:eastAsia="宋体"/>
                <w:sz w:val="16"/>
              </w:rPr>
              <w:t>印刷次数（次）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31A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F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2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AD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3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B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7E1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23E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F912">
            <w:pPr>
              <w:jc w:val="center"/>
            </w:pPr>
          </w:p>
        </w:tc>
      </w:tr>
      <w:tr w14:paraId="5F68C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5C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DD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53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41D0">
            <w:pPr>
              <w:jc w:val="center"/>
            </w:pPr>
            <w:r>
              <w:rPr>
                <w:rFonts w:ascii="宋体" w:hAnsi="宋体" w:eastAsia="宋体"/>
                <w:sz w:val="16"/>
              </w:rPr>
              <w:t>办公费（批）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9D6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A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9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AC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7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2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2ADA">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C94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3E7CB">
            <w:pPr>
              <w:jc w:val="center"/>
            </w:pPr>
          </w:p>
        </w:tc>
      </w:tr>
      <w:tr w14:paraId="0D5BF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01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B8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D37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AF58">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B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5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A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10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8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E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A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6FE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908C1">
            <w:pPr>
              <w:jc w:val="center"/>
            </w:pPr>
          </w:p>
        </w:tc>
      </w:tr>
      <w:tr w14:paraId="3D56D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39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C9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5CB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43A6">
            <w:pPr>
              <w:jc w:val="center"/>
            </w:pPr>
            <w:r>
              <w:rPr>
                <w:rFonts w:ascii="宋体" w:hAnsi="宋体" w:eastAsia="宋体"/>
                <w:sz w:val="16"/>
              </w:rPr>
              <w:t>后勤人员保障率（%）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2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2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1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9A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7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2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F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FBD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7A8F">
            <w:pPr>
              <w:jc w:val="center"/>
            </w:pPr>
          </w:p>
        </w:tc>
      </w:tr>
      <w:tr w14:paraId="3EC4E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57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0E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FE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8253">
            <w:pPr>
              <w:jc w:val="center"/>
            </w:pPr>
            <w:r>
              <w:rPr>
                <w:rFonts w:ascii="宋体" w:hAnsi="宋体" w:eastAsia="宋体"/>
                <w:sz w:val="16"/>
              </w:rPr>
              <w:t>车辆运行保障率（%）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7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9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3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26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5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8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A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3B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E0749">
            <w:pPr>
              <w:jc w:val="center"/>
            </w:pPr>
          </w:p>
        </w:tc>
      </w:tr>
      <w:tr w14:paraId="05EC8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68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D80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7F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2920">
            <w:pPr>
              <w:jc w:val="center"/>
            </w:pPr>
            <w:r>
              <w:rPr>
                <w:rFonts w:ascii="宋体" w:hAnsi="宋体" w:eastAsia="宋体"/>
                <w:sz w:val="16"/>
              </w:rPr>
              <w:t>水电保障率（%）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F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E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A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49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E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E2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7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16D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A90CD">
            <w:pPr>
              <w:jc w:val="center"/>
            </w:pPr>
          </w:p>
        </w:tc>
      </w:tr>
      <w:tr w14:paraId="0163C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16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31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9E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E26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26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F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61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C6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0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4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E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6D8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8C56C">
            <w:pPr>
              <w:jc w:val="center"/>
            </w:pPr>
          </w:p>
        </w:tc>
      </w:tr>
      <w:tr w14:paraId="1D6A8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9C6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094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8AB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32F2">
            <w:pPr>
              <w:jc w:val="center"/>
            </w:pPr>
            <w:r>
              <w:rPr>
                <w:rFonts w:ascii="宋体" w:hAnsi="宋体" w:eastAsia="宋体"/>
                <w:sz w:val="16"/>
              </w:rPr>
              <w:t>车辆维修（万元）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844A">
            <w:pPr>
              <w:jc w:val="center"/>
            </w:pPr>
            <w:r>
              <w:rPr>
                <w:rFonts w:ascii="宋体" w:hAnsi="宋体" w:eastAsia="宋体"/>
                <w:sz w:val="16"/>
              </w:rPr>
              <w:t>&lt;=1.93万元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53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C24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334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A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9A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1C72">
            <w:pPr>
              <w:jc w:val="center"/>
            </w:pPr>
            <w:r>
              <w:rPr>
                <w:rFonts w:ascii="宋体" w:hAnsi="宋体" w:eastAsia="宋体"/>
                <w:sz w:val="16"/>
              </w:rPr>
              <w: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439B">
            <w:pPr>
              <w:jc w:val="center"/>
            </w:pPr>
            <w:r>
              <w:rPr>
                <w:rFonts w:ascii="宋体" w:hAnsi="宋体" w:eastAsia="宋体"/>
                <w:sz w:val="16"/>
              </w:rPr>
              <w:t>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871A">
            <w:pPr>
              <w:jc w:val="center"/>
            </w:pPr>
            <w:r>
              <w:rPr>
                <w:rFonts w:ascii="宋体" w:hAnsi="宋体" w:eastAsia="宋体"/>
                <w:sz w:val="16"/>
              </w:rPr>
              <w:t>偏差原因：2024年9月州机关事务管理局收回1辆23座客车。改进措施：加强预算管理制度，严格按照年初预算执行。</w:t>
            </w:r>
          </w:p>
        </w:tc>
      </w:tr>
      <w:tr w14:paraId="3E6F0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F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DE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1A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6926">
            <w:pPr>
              <w:jc w:val="center"/>
            </w:pPr>
            <w:r>
              <w:rPr>
                <w:rFonts w:ascii="宋体" w:hAnsi="宋体" w:eastAsia="宋体"/>
                <w:sz w:val="16"/>
              </w:rPr>
              <w:t>车辆加油（万元）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DF35">
            <w:pPr>
              <w:jc w:val="center"/>
            </w:pPr>
            <w:r>
              <w:rPr>
                <w:rFonts w:ascii="宋体" w:hAnsi="宋体" w:eastAsia="宋体"/>
                <w:sz w:val="16"/>
              </w:rPr>
              <w:t>&lt;=1.93万元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86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7B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33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C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7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3A63">
            <w:pPr>
              <w:jc w:val="center"/>
            </w:pPr>
            <w:r>
              <w:rPr>
                <w:rFonts w:ascii="宋体" w:hAnsi="宋体" w:eastAsia="宋体"/>
                <w:sz w:val="16"/>
              </w:rPr>
              <w:t>=1.93万元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B93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02F58">
            <w:pPr>
              <w:jc w:val="center"/>
            </w:pPr>
          </w:p>
        </w:tc>
      </w:tr>
      <w:tr w14:paraId="4B323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A1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1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44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53EF">
            <w:pPr>
              <w:jc w:val="center"/>
            </w:pPr>
            <w:r>
              <w:rPr>
                <w:rFonts w:ascii="宋体" w:hAnsi="宋体" w:eastAsia="宋体"/>
                <w:sz w:val="16"/>
              </w:rPr>
              <w:t>车辆保险（万元）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FCD9">
            <w:pPr>
              <w:jc w:val="center"/>
            </w:pPr>
            <w:r>
              <w:rPr>
                <w:rFonts w:ascii="宋体" w:hAnsi="宋体" w:eastAsia="宋体"/>
                <w:sz w:val="16"/>
              </w:rPr>
              <w:t>&lt;=0.97万元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69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26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C2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F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F1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71D6">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DDD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E6E55">
            <w:pPr>
              <w:jc w:val="center"/>
            </w:pPr>
          </w:p>
        </w:tc>
      </w:tr>
      <w:tr w14:paraId="110A2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D1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22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10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467F">
            <w:pPr>
              <w:jc w:val="center"/>
            </w:pPr>
            <w:r>
              <w:rPr>
                <w:rFonts w:ascii="宋体" w:hAnsi="宋体" w:eastAsia="宋体"/>
                <w:sz w:val="16"/>
              </w:rPr>
              <w:t>公益性岗位管理费及垃圾清运费（万元）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EDA9">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D3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A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4C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9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C8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E770">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F34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E65D">
            <w:pPr>
              <w:jc w:val="center"/>
            </w:pPr>
          </w:p>
        </w:tc>
      </w:tr>
      <w:tr w14:paraId="775C3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01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70C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92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AEDA">
            <w:pPr>
              <w:jc w:val="center"/>
            </w:pPr>
            <w:r>
              <w:rPr>
                <w:rFonts w:ascii="宋体" w:hAnsi="宋体" w:eastAsia="宋体"/>
                <w:sz w:val="16"/>
              </w:rPr>
              <w:t>自聘后勤人员工资（万元）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C287">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98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F223">
            <w:pPr>
              <w:jc w:val="center"/>
            </w:pPr>
            <w:r>
              <w:rPr>
                <w:rFonts w:ascii="宋体" w:hAnsi="宋体" w:eastAsia="宋体"/>
                <w:sz w:val="16"/>
              </w:rPr>
              <w:t>13万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B3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C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12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1100">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403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E11E5">
            <w:pPr>
              <w:jc w:val="center"/>
            </w:pPr>
          </w:p>
        </w:tc>
      </w:tr>
      <w:tr w14:paraId="10C7C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64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C9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3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7D14">
            <w:pPr>
              <w:jc w:val="center"/>
            </w:pPr>
            <w:r>
              <w:rPr>
                <w:rFonts w:ascii="宋体" w:hAnsi="宋体" w:eastAsia="宋体"/>
                <w:sz w:val="16"/>
              </w:rPr>
              <w:t>水电气费（万元）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98EF">
            <w:pPr>
              <w:jc w:val="center"/>
            </w:pPr>
            <w:r>
              <w:rPr>
                <w:rFonts w:ascii="宋体" w:hAnsi="宋体" w:eastAsia="宋体"/>
                <w:sz w:val="16"/>
              </w:rPr>
              <w:t>&lt;=13.50万元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33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434A">
            <w:pPr>
              <w:jc w:val="center"/>
            </w:pPr>
            <w:r>
              <w:rPr>
                <w:rFonts w:ascii="宋体" w:hAnsi="宋体" w:eastAsia="宋体"/>
                <w:sz w:val="16"/>
              </w:rPr>
              <w:t>12万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8D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6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93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0B35">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CC05">
            <w:pPr>
              <w:jc w:val="center"/>
            </w:pPr>
            <w:r>
              <w:rPr>
                <w:rFonts w:ascii="宋体" w:hAnsi="宋体" w:eastAsia="宋体"/>
                <w:sz w:val="16"/>
              </w:rPr>
              <w:t>1.63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24111">
            <w:pPr>
              <w:jc w:val="center"/>
            </w:pPr>
            <w:r>
              <w:rPr>
                <w:rFonts w:ascii="宋体" w:hAnsi="宋体" w:eastAsia="宋体"/>
                <w:sz w:val="16"/>
              </w:rPr>
              <w:t>偏差原因：本年节约用水、用电，另外培训次数较少。改进措施：加强预算管理制度，严格按照年初预算执行。</w:t>
            </w:r>
          </w:p>
        </w:tc>
      </w:tr>
      <w:tr w14:paraId="1DA0A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6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D4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9E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450F">
            <w:pPr>
              <w:jc w:val="center"/>
            </w:pPr>
            <w:r>
              <w:rPr>
                <w:rFonts w:ascii="宋体" w:hAnsi="宋体" w:eastAsia="宋体"/>
                <w:sz w:val="16"/>
              </w:rPr>
              <w:t>网络</w:t>
            </w:r>
            <w:r>
              <w:rPr>
                <w:rFonts w:hint="eastAsia" w:ascii="宋体" w:hAnsi="宋体"/>
                <w:sz w:val="16"/>
                <w:lang w:eastAsia="zh-CN"/>
              </w:rPr>
              <w:t>计费</w:t>
            </w:r>
            <w:r>
              <w:rPr>
                <w:rFonts w:ascii="宋体" w:hAnsi="宋体" w:eastAsia="宋体"/>
                <w:sz w:val="16"/>
              </w:rPr>
              <w:t>电话费（万元）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394F">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5E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407B">
            <w:pPr>
              <w:jc w:val="center"/>
            </w:pPr>
            <w:r>
              <w:rPr>
                <w:rFonts w:ascii="宋体" w:hAnsi="宋体" w:eastAsia="宋体"/>
                <w:sz w:val="16"/>
              </w:rPr>
              <w:t>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81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4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63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C17D">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F32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B7BD">
            <w:pPr>
              <w:jc w:val="center"/>
            </w:pPr>
          </w:p>
        </w:tc>
      </w:tr>
      <w:tr w14:paraId="0B203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7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F2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D8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D53B">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A71C">
            <w:pPr>
              <w:jc w:val="center"/>
            </w:pPr>
            <w:r>
              <w:rPr>
                <w:rFonts w:ascii="宋体" w:hAnsi="宋体" w:eastAsia="宋体"/>
                <w:sz w:val="16"/>
              </w:rPr>
              <w:t>&lt;=13.99万元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75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8965">
            <w:pPr>
              <w:jc w:val="center"/>
            </w:pPr>
            <w:r>
              <w:rPr>
                <w:rFonts w:ascii="宋体" w:hAnsi="宋体" w:eastAsia="宋体"/>
                <w:sz w:val="16"/>
              </w:rPr>
              <w:t>20万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68F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E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4B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8404">
            <w:pPr>
              <w:jc w:val="center"/>
            </w:pPr>
            <w:r>
              <w:rPr>
                <w:rFonts w:ascii="宋体" w:hAnsi="宋体" w:eastAsia="宋体"/>
                <w:sz w:val="16"/>
              </w:rPr>
              <w:t>=13.27万元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50B1">
            <w:pPr>
              <w:jc w:val="center"/>
            </w:pPr>
            <w:r>
              <w:rPr>
                <w:rFonts w:ascii="宋体" w:hAnsi="宋体" w:eastAsia="宋体"/>
                <w:sz w:val="16"/>
              </w:rPr>
              <w:t>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3D7B7">
            <w:pPr>
              <w:jc w:val="center"/>
            </w:pPr>
            <w:r>
              <w:rPr>
                <w:rFonts w:ascii="宋体" w:hAnsi="宋体" w:eastAsia="宋体"/>
                <w:sz w:val="16"/>
              </w:rPr>
              <w:t>偏差原因：未能按照预算执行。改进措施：加强预算管理制度，严格按照年初预算执行。</w:t>
            </w:r>
          </w:p>
        </w:tc>
      </w:tr>
      <w:tr w14:paraId="6FD67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C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C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4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F783">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AB1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D6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57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40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1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7C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DEF8">
            <w:pPr>
              <w:jc w:val="center"/>
            </w:pPr>
            <w:r>
              <w:rPr>
                <w:rFonts w:ascii="宋体" w:hAnsi="宋体" w:eastAsia="宋体"/>
                <w:sz w:val="16"/>
              </w:rPr>
              <w:t>=2.99万元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237C">
            <w:pPr>
              <w:jc w:val="center"/>
            </w:pPr>
            <w:r>
              <w:rPr>
                <w:rFonts w:ascii="宋体" w:hAnsi="宋体" w:eastAsia="宋体"/>
                <w:sz w:val="16"/>
              </w:rPr>
              <w:t>1.98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71FC0">
            <w:pPr>
              <w:jc w:val="center"/>
            </w:pPr>
            <w:r>
              <w:rPr>
                <w:rFonts w:ascii="宋体" w:hAnsi="宋体" w:eastAsia="宋体"/>
                <w:sz w:val="16"/>
              </w:rPr>
              <w:t>偏差原因：未能按照预算执行。改进措施：加强预算管理制度，严格按照年初预算执行。</w:t>
            </w:r>
          </w:p>
        </w:tc>
      </w:tr>
      <w:tr w14:paraId="6164B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9A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D3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CE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F9F0">
            <w:pPr>
              <w:jc w:val="center"/>
            </w:pPr>
            <w:r>
              <w:rPr>
                <w:rFonts w:ascii="宋体" w:hAnsi="宋体" w:eastAsia="宋体"/>
                <w:sz w:val="16"/>
              </w:rPr>
              <w:t>办公费支出（万元）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7A66">
            <w:pPr>
              <w:jc w:val="center"/>
            </w:pPr>
            <w:r>
              <w:rPr>
                <w:rFonts w:ascii="宋体" w:hAnsi="宋体" w:eastAsia="宋体"/>
                <w:sz w:val="16"/>
              </w:rPr>
              <w:t>&lt;=0.98万元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2D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D6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09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B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F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47D2">
            <w:pPr>
              <w:jc w:val="center"/>
            </w:pPr>
            <w:r>
              <w:rPr>
                <w:rFonts w:ascii="宋体" w:hAnsi="宋体" w:eastAsia="宋体"/>
                <w:sz w:val="16"/>
              </w:rPr>
              <w: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2C25">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BFCBE">
            <w:pPr>
              <w:jc w:val="center"/>
            </w:pPr>
            <w:r>
              <w:rPr>
                <w:rFonts w:ascii="宋体" w:hAnsi="宋体" w:eastAsia="宋体"/>
                <w:sz w:val="16"/>
              </w:rPr>
              <w:t>偏差原因：未能按照预算执行。改进措施：加强预算管理制度，严格按照年初预算执行。</w:t>
            </w:r>
          </w:p>
        </w:tc>
      </w:tr>
      <w:tr w14:paraId="66D2D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E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18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45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C14C">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604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2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171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DC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4F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C9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290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19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8F2D9">
            <w:pPr>
              <w:jc w:val="center"/>
            </w:pPr>
          </w:p>
        </w:tc>
      </w:tr>
      <w:tr w14:paraId="07932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3D9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62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8F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9705">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81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8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1C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98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AE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C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4C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B1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0E418">
            <w:pPr>
              <w:jc w:val="center"/>
            </w:pPr>
          </w:p>
        </w:tc>
      </w:tr>
      <w:tr w14:paraId="3E74D5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B9A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F0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3D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C21DC">
            <w:pPr>
              <w:jc w:val="center"/>
            </w:pPr>
            <w:r>
              <w:rPr>
                <w:rFonts w:ascii="宋体" w:hAnsi="宋体" w:eastAsia="宋体"/>
                <w:sz w:val="16"/>
              </w:rPr>
              <w:t>96.29分</w:t>
            </w:r>
          </w:p>
        </w:tc>
      </w:tr>
    </w:tbl>
    <w:p w14:paraId="6126BA97">
      <w:r>
        <w:br w:type="page"/>
      </w:r>
    </w:p>
    <w:p w14:paraId="29223223">
      <w:pPr>
        <w:spacing w:line="640" w:lineRule="exact"/>
        <w:ind w:firstLine="640"/>
        <w:jc w:val="both"/>
        <w:outlineLvl w:val="2"/>
      </w:pPr>
      <w:r>
        <w:rPr>
          <w:rFonts w:ascii="黑体" w:hAnsi="黑体" w:eastAsia="黑体"/>
          <w:sz w:val="32"/>
        </w:rPr>
        <w:t>十二、其他需说明的事项</w:t>
      </w:r>
    </w:p>
    <w:p w14:paraId="46B3F516">
      <w:pPr>
        <w:spacing w:line="580" w:lineRule="exact"/>
        <w:ind w:firstLine="640"/>
        <w:jc w:val="both"/>
      </w:pPr>
      <w:r>
        <w:rPr>
          <w:rFonts w:ascii="仿宋_GB2312" w:hAnsi="仿宋_GB2312" w:eastAsia="仿宋_GB2312"/>
          <w:b w:val="0"/>
          <w:sz w:val="32"/>
        </w:rPr>
        <w:t>本单位无其他需说明的事项。</w:t>
      </w:r>
    </w:p>
    <w:p w14:paraId="0828D690">
      <w:r>
        <w:br w:type="page"/>
      </w:r>
    </w:p>
    <w:p w14:paraId="4D3707BE">
      <w:pPr>
        <w:spacing w:line="240" w:lineRule="auto"/>
        <w:jc w:val="center"/>
        <w:outlineLvl w:val="1"/>
      </w:pPr>
      <w:r>
        <w:rPr>
          <w:rFonts w:ascii="黑体" w:hAnsi="黑体" w:eastAsia="黑体"/>
          <w:sz w:val="32"/>
        </w:rPr>
        <w:t>第三部分 专业名词解释</w:t>
      </w:r>
    </w:p>
    <w:p w14:paraId="6B4845C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CB1C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BE6DC8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3B6652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21F78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C7D63B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4717AE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8C994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74D3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DD2CA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90167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AE1E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57DE7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10FAF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8BDB0F5">
      <w:r>
        <w:br w:type="page"/>
      </w:r>
    </w:p>
    <w:p w14:paraId="208BD951">
      <w:pPr>
        <w:spacing w:line="240" w:lineRule="auto"/>
        <w:jc w:val="center"/>
        <w:outlineLvl w:val="1"/>
      </w:pPr>
      <w:r>
        <w:rPr>
          <w:rFonts w:ascii="黑体" w:hAnsi="黑体" w:eastAsia="黑体"/>
          <w:sz w:val="32"/>
        </w:rPr>
        <w:t>第四部分 部门决算报表（见附表）</w:t>
      </w:r>
    </w:p>
    <w:p w14:paraId="523DF0A2">
      <w:pPr>
        <w:spacing w:line="240" w:lineRule="auto"/>
        <w:ind w:firstLine="640"/>
        <w:jc w:val="both"/>
      </w:pPr>
      <w:r>
        <w:rPr>
          <w:rFonts w:ascii="仿宋_GB2312" w:hAnsi="仿宋_GB2312" w:eastAsia="仿宋_GB2312"/>
          <w:b w:val="0"/>
          <w:sz w:val="32"/>
        </w:rPr>
        <w:t>一、《收入支出决算总表》</w:t>
      </w:r>
    </w:p>
    <w:p w14:paraId="5CE53531">
      <w:pPr>
        <w:spacing w:line="240" w:lineRule="auto"/>
        <w:ind w:firstLine="640"/>
        <w:jc w:val="both"/>
      </w:pPr>
      <w:r>
        <w:rPr>
          <w:rFonts w:ascii="仿宋_GB2312" w:hAnsi="仿宋_GB2312" w:eastAsia="仿宋_GB2312"/>
          <w:b w:val="0"/>
          <w:sz w:val="32"/>
        </w:rPr>
        <w:t>二、《收入决算表》</w:t>
      </w:r>
    </w:p>
    <w:p w14:paraId="1E2E94A0">
      <w:pPr>
        <w:spacing w:line="240" w:lineRule="auto"/>
        <w:ind w:firstLine="640"/>
        <w:jc w:val="both"/>
      </w:pPr>
      <w:r>
        <w:rPr>
          <w:rFonts w:ascii="仿宋_GB2312" w:hAnsi="仿宋_GB2312" w:eastAsia="仿宋_GB2312"/>
          <w:b w:val="0"/>
          <w:sz w:val="32"/>
        </w:rPr>
        <w:t>三、《支出决算表》</w:t>
      </w:r>
    </w:p>
    <w:p w14:paraId="6FF6CA72">
      <w:pPr>
        <w:spacing w:line="240" w:lineRule="auto"/>
        <w:ind w:firstLine="640"/>
        <w:jc w:val="both"/>
      </w:pPr>
      <w:r>
        <w:rPr>
          <w:rFonts w:ascii="仿宋_GB2312" w:hAnsi="仿宋_GB2312" w:eastAsia="仿宋_GB2312"/>
          <w:b w:val="0"/>
          <w:sz w:val="32"/>
        </w:rPr>
        <w:t>四、《财政拨款收入支出决算总表》</w:t>
      </w:r>
    </w:p>
    <w:p w14:paraId="0EE5A720">
      <w:pPr>
        <w:spacing w:line="240" w:lineRule="auto"/>
        <w:ind w:firstLine="640"/>
        <w:jc w:val="both"/>
      </w:pPr>
      <w:r>
        <w:rPr>
          <w:rFonts w:ascii="仿宋_GB2312" w:hAnsi="仿宋_GB2312" w:eastAsia="仿宋_GB2312"/>
          <w:b w:val="0"/>
          <w:sz w:val="32"/>
        </w:rPr>
        <w:t>五、《一般公共预算财政拨款支出决算表》</w:t>
      </w:r>
    </w:p>
    <w:p w14:paraId="19693DF5">
      <w:pPr>
        <w:spacing w:line="240" w:lineRule="auto"/>
        <w:ind w:firstLine="640"/>
        <w:jc w:val="both"/>
      </w:pPr>
      <w:r>
        <w:rPr>
          <w:rFonts w:ascii="仿宋_GB2312" w:hAnsi="仿宋_GB2312" w:eastAsia="仿宋_GB2312"/>
          <w:b w:val="0"/>
          <w:sz w:val="32"/>
        </w:rPr>
        <w:t>六、《一般公共预算财政拨款基本支出决算表》</w:t>
      </w:r>
    </w:p>
    <w:p w14:paraId="376E5E3F">
      <w:pPr>
        <w:spacing w:line="240" w:lineRule="auto"/>
        <w:ind w:firstLine="640"/>
        <w:jc w:val="both"/>
      </w:pPr>
      <w:r>
        <w:rPr>
          <w:rFonts w:ascii="仿宋_GB2312" w:hAnsi="仿宋_GB2312" w:eastAsia="仿宋_GB2312"/>
          <w:b w:val="0"/>
          <w:sz w:val="32"/>
        </w:rPr>
        <w:t>七、《政府性基金预算财政拨款收入支出决算表》</w:t>
      </w:r>
    </w:p>
    <w:p w14:paraId="11E1ED18">
      <w:pPr>
        <w:spacing w:line="240" w:lineRule="auto"/>
        <w:ind w:firstLine="640"/>
        <w:jc w:val="both"/>
      </w:pPr>
      <w:r>
        <w:rPr>
          <w:rFonts w:ascii="仿宋_GB2312" w:hAnsi="仿宋_GB2312" w:eastAsia="仿宋_GB2312"/>
          <w:b w:val="0"/>
          <w:sz w:val="32"/>
        </w:rPr>
        <w:t>八、《国有资本经营预算财政拨款收入支出决算表》</w:t>
      </w:r>
    </w:p>
    <w:p w14:paraId="7D960A90">
      <w:pPr>
        <w:spacing w:line="240" w:lineRule="auto"/>
        <w:ind w:firstLine="640"/>
        <w:jc w:val="both"/>
      </w:pPr>
      <w:r>
        <w:rPr>
          <w:rFonts w:ascii="仿宋_GB2312" w:hAnsi="仿宋_GB2312" w:eastAsia="仿宋_GB2312"/>
          <w:b w:val="0"/>
          <w:sz w:val="32"/>
        </w:rPr>
        <w:t>九、《财政拨款“三公”经费支出决算表》</w:t>
      </w:r>
    </w:p>
    <w:p w14:paraId="72E845ED">
      <w:pPr>
        <w:spacing w:line="240" w:lineRule="auto"/>
        <w:ind w:firstLine="640"/>
        <w:jc w:val="both"/>
      </w:pPr>
    </w:p>
    <w:p w14:paraId="60949208">
      <w:pPr>
        <w:spacing w:line="240" w:lineRule="auto"/>
        <w:ind w:firstLine="640"/>
        <w:jc w:val="both"/>
      </w:pPr>
    </w:p>
    <w:p w14:paraId="53487B67">
      <w:pPr>
        <w:spacing w:line="240" w:lineRule="auto"/>
        <w:ind w:firstLine="640"/>
        <w:jc w:val="both"/>
      </w:pPr>
    </w:p>
    <w:p w14:paraId="4F404393">
      <w:pPr>
        <w:spacing w:line="240" w:lineRule="auto"/>
        <w:ind w:firstLine="640"/>
        <w:jc w:val="both"/>
      </w:pPr>
    </w:p>
    <w:p w14:paraId="7F382CF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846FC0-2E40-482A-ACFD-8FCCC9B765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24679D-A021-41EB-8BF7-A19DF58E737A}"/>
  </w:font>
  <w:font w:name="仿宋_GB2312">
    <w:altName w:val="仿宋"/>
    <w:panose1 w:val="02010609030101010101"/>
    <w:charset w:val="86"/>
    <w:family w:val="modern"/>
    <w:pitch w:val="default"/>
    <w:sig w:usb0="00000000" w:usb1="00000000" w:usb2="00000000" w:usb3="00000000" w:csb0="00040000" w:csb1="00000000"/>
    <w:embedRegular r:id="rId3" w:fontKey="{622F3BCB-6534-4D5A-B36F-1367AEBD0058}"/>
  </w:font>
  <w:font w:name="楷体_GB2312">
    <w:altName w:val="楷体"/>
    <w:panose1 w:val="00000000000000000000"/>
    <w:charset w:val="00"/>
    <w:family w:val="auto"/>
    <w:pitch w:val="default"/>
    <w:sig w:usb0="00000000" w:usb1="00000000" w:usb2="00000000" w:usb3="00000000" w:csb0="00000000" w:csb1="00000000"/>
    <w:embedRegular r:id="rId4" w:fontKey="{732B13E0-CB56-4AA1-B505-D6399AB9B38B}"/>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47147A"/>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1936FD"/>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4763</Words>
  <Characters>5430</Characters>
  <Lines>0</Lines>
  <Paragraphs>0</Paragraphs>
  <TotalTime>7</TotalTime>
  <ScaleCrop>false</ScaleCrop>
  <LinksUpToDate>false</LinksUpToDate>
  <CharactersWithSpaces>5438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