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克孜勒苏柯尔克孜自治州科技发展研究所2024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AA3C69">
      <w:r>
        <w:br w:type="page"/>
      </w:r>
    </w:p>
    <w:p w14:paraId="457B8845">
      <w:pPr>
        <w:spacing w:line="640" w:lineRule="exact"/>
        <w:jc w:val="center"/>
        <w:outlineLvl w:val="1"/>
      </w:pPr>
      <w:r>
        <w:rPr>
          <w:rFonts w:ascii="黑体" w:hAnsi="黑体" w:eastAsia="黑体"/>
          <w:sz w:val="32"/>
        </w:rPr>
        <w:t>第一部分 单位概况</w:t>
      </w:r>
    </w:p>
    <w:p w14:paraId="42344CEF">
      <w:pPr>
        <w:spacing w:line="640" w:lineRule="exact"/>
        <w:ind w:firstLine="640"/>
        <w:jc w:val="both"/>
        <w:outlineLvl w:val="2"/>
      </w:pPr>
      <w:r>
        <w:rPr>
          <w:rFonts w:ascii="黑体" w:hAnsi="黑体" w:eastAsia="黑体"/>
          <w:sz w:val="32"/>
        </w:rPr>
        <w:t>一、主要职能</w:t>
      </w:r>
    </w:p>
    <w:p w14:paraId="2476A4F6">
      <w:pPr>
        <w:spacing w:line="580" w:lineRule="exact"/>
        <w:ind w:firstLine="640"/>
        <w:jc w:val="both"/>
      </w:pPr>
      <w:r>
        <w:rPr>
          <w:rFonts w:ascii="仿宋_GB2312" w:hAnsi="仿宋_GB2312" w:eastAsia="仿宋_GB2312"/>
          <w:sz w:val="32"/>
        </w:rPr>
        <w:t>开展科技发展战略的规划，提出指导科技发展战略研究的参考建议；加强理论创新、思想创新和方法创新的研究，对科技发展起到引导和示范作用；坚持政府导向、科技需求为主的选题原则，积极与自治区科技发展战略研究院进行合作，开展科技工作前期调研、选题、查新的工作；接受政府部门、企业和研究机构、社团组织的委托进行政策提供和咨询工作；培养和建设科技战略人才骨干队伍，为科技发展和科技局的中心工作提供决策咨询；建立开放式的科技合作交流平台，做好科技信息服务工作。</w:t>
      </w:r>
    </w:p>
    <w:p w14:paraId="2CF32857">
      <w:pPr>
        <w:spacing w:line="640" w:lineRule="exact"/>
        <w:ind w:firstLine="640"/>
        <w:jc w:val="both"/>
        <w:outlineLvl w:val="2"/>
      </w:pPr>
      <w:r>
        <w:rPr>
          <w:rFonts w:ascii="黑体" w:hAnsi="黑体" w:eastAsia="黑体"/>
          <w:sz w:val="32"/>
        </w:rPr>
        <w:t>二、机构设置及人员情况</w:t>
      </w:r>
    </w:p>
    <w:p w14:paraId="300027A5">
      <w:pPr>
        <w:spacing w:line="580" w:lineRule="exact"/>
        <w:ind w:firstLine="640"/>
        <w:jc w:val="both"/>
      </w:pPr>
      <w:r>
        <w:rPr>
          <w:rFonts w:ascii="仿宋_GB2312" w:hAnsi="仿宋_GB2312" w:eastAsia="仿宋_GB2312"/>
          <w:sz w:val="32"/>
        </w:rPr>
        <w:t>克孜勒苏柯尔克孜自治州科技发展研究所2024年度，实有人数9人，其中：在职人员5人，增加2人；离休人员0人，增加0人；退休人员4人,增加0人。</w:t>
      </w:r>
    </w:p>
    <w:p w14:paraId="7AA85C64">
      <w:pPr>
        <w:spacing w:line="580" w:lineRule="exact"/>
        <w:ind w:firstLine="640"/>
        <w:jc w:val="both"/>
      </w:pPr>
      <w:r>
        <w:rPr>
          <w:rFonts w:ascii="仿宋_GB2312" w:hAnsi="仿宋_GB2312" w:eastAsia="仿宋_GB2312"/>
          <w:sz w:val="32"/>
        </w:rPr>
        <w:t>克孜勒苏柯尔克孜自治州科技发展研究所无下属预算单位，下设1个科室，分别是：办公室。</w:t>
      </w:r>
    </w:p>
    <w:p w14:paraId="5E3CE500">
      <w:r>
        <w:br w:type="page"/>
      </w:r>
    </w:p>
    <w:p w14:paraId="3138D4A1">
      <w:pPr>
        <w:spacing w:line="240" w:lineRule="auto"/>
        <w:jc w:val="center"/>
        <w:outlineLvl w:val="1"/>
      </w:pPr>
      <w:r>
        <w:rPr>
          <w:rFonts w:ascii="黑体" w:hAnsi="黑体" w:eastAsia="黑体"/>
          <w:sz w:val="32"/>
        </w:rPr>
        <w:t>第二部分 部门决算情况说明</w:t>
      </w:r>
    </w:p>
    <w:p w14:paraId="67403659">
      <w:pPr>
        <w:spacing w:line="640" w:lineRule="exact"/>
        <w:ind w:firstLine="640"/>
        <w:jc w:val="both"/>
        <w:outlineLvl w:val="2"/>
      </w:pPr>
      <w:r>
        <w:rPr>
          <w:rFonts w:ascii="黑体" w:hAnsi="黑体" w:eastAsia="黑体"/>
          <w:sz w:val="32"/>
        </w:rPr>
        <w:t>一、收入支出决算总体情况说明</w:t>
      </w:r>
    </w:p>
    <w:p w14:paraId="78E19233">
      <w:pPr>
        <w:spacing w:line="580" w:lineRule="exact"/>
        <w:ind w:firstLine="640"/>
        <w:jc w:val="both"/>
      </w:pPr>
      <w:r>
        <w:rPr>
          <w:rFonts w:ascii="仿宋_GB2312" w:hAnsi="仿宋_GB2312" w:eastAsia="仿宋_GB2312"/>
          <w:b/>
          <w:sz w:val="32"/>
        </w:rPr>
        <w:t>2024年度收入总计72.75万元，</w:t>
      </w:r>
      <w:r>
        <w:rPr>
          <w:rFonts w:ascii="仿宋_GB2312" w:hAnsi="仿宋_GB2312" w:eastAsia="仿宋_GB2312"/>
          <w:b w:val="0"/>
          <w:sz w:val="32"/>
        </w:rPr>
        <w:t>其中：本年收入合计72.25万元，使用非财政拨款结余（含专用结余）0.00万元，年初结转和结余0.50万元。</w:t>
      </w:r>
    </w:p>
    <w:p w14:paraId="6F56E884">
      <w:pPr>
        <w:spacing w:line="580" w:lineRule="exact"/>
        <w:ind w:firstLine="640"/>
        <w:jc w:val="both"/>
      </w:pPr>
      <w:r>
        <w:rPr>
          <w:rFonts w:ascii="仿宋_GB2312" w:hAnsi="仿宋_GB2312" w:eastAsia="仿宋_GB2312"/>
          <w:b/>
          <w:sz w:val="32"/>
        </w:rPr>
        <w:t>2024年度支出总计72.75万元，</w:t>
      </w:r>
      <w:r>
        <w:rPr>
          <w:rFonts w:ascii="仿宋_GB2312" w:hAnsi="仿宋_GB2312" w:eastAsia="仿宋_GB2312"/>
          <w:b w:val="0"/>
          <w:sz w:val="32"/>
        </w:rPr>
        <w:t>其中：本年支出合计72.25万元，结余分配0.00万元，年末结转和结余0.50万元。</w:t>
      </w:r>
    </w:p>
    <w:p w14:paraId="028DB14F">
      <w:pPr>
        <w:spacing w:line="580" w:lineRule="exact"/>
        <w:ind w:firstLine="640"/>
        <w:jc w:val="both"/>
      </w:pPr>
      <w:r>
        <w:rPr>
          <w:rFonts w:ascii="仿宋_GB2312" w:hAnsi="仿宋_GB2312" w:eastAsia="仿宋_GB2312"/>
          <w:b w:val="0"/>
          <w:sz w:val="32"/>
        </w:rPr>
        <w:t>收入支出总体与上年相比，增加5.48万元，增长8.15%，主要原因是：本年在职人员增加，在职人员工资调增、社保、公积金基数调增，人员经费增加。</w:t>
      </w:r>
    </w:p>
    <w:p w14:paraId="0383834A">
      <w:pPr>
        <w:spacing w:line="640" w:lineRule="exact"/>
        <w:ind w:firstLine="640"/>
        <w:jc w:val="both"/>
        <w:outlineLvl w:val="2"/>
      </w:pPr>
      <w:r>
        <w:rPr>
          <w:rFonts w:ascii="黑体" w:hAnsi="黑体" w:eastAsia="黑体"/>
          <w:sz w:val="32"/>
        </w:rPr>
        <w:t>二、收入决算情况说明</w:t>
      </w:r>
    </w:p>
    <w:p w14:paraId="3423892D">
      <w:pPr>
        <w:spacing w:line="580" w:lineRule="exact"/>
        <w:ind w:firstLine="640"/>
        <w:jc w:val="both"/>
      </w:pPr>
      <w:r>
        <w:rPr>
          <w:rFonts w:ascii="仿宋_GB2312" w:hAnsi="仿宋_GB2312" w:eastAsia="仿宋_GB2312"/>
          <w:b/>
          <w:sz w:val="32"/>
        </w:rPr>
        <w:t>本年收入72.25万元，</w:t>
      </w:r>
      <w:r>
        <w:rPr>
          <w:rFonts w:ascii="仿宋_GB2312" w:hAnsi="仿宋_GB2312" w:eastAsia="仿宋_GB2312"/>
          <w:b w:val="0"/>
          <w:sz w:val="32"/>
        </w:rPr>
        <w:t>其中：财政拨款收入70.25万元，占97.23%；上级补助收入0.00万元，占0.00%；事业收入0.00万元，占0.00%；经营收入0.00万元，占0.00%；附属单位上缴收入0.00万元，占0.00%；其他收入2.00万元，占2.77%。</w:t>
      </w:r>
    </w:p>
    <w:p w14:paraId="38A59241">
      <w:pPr>
        <w:spacing w:line="640" w:lineRule="exact"/>
        <w:ind w:firstLine="640"/>
        <w:jc w:val="both"/>
        <w:outlineLvl w:val="2"/>
      </w:pPr>
      <w:r>
        <w:rPr>
          <w:rFonts w:ascii="黑体" w:hAnsi="黑体" w:eastAsia="黑体"/>
          <w:sz w:val="32"/>
        </w:rPr>
        <w:t>三、支出决算情况说明</w:t>
      </w:r>
    </w:p>
    <w:p w14:paraId="42BB918C">
      <w:pPr>
        <w:spacing w:line="580" w:lineRule="exact"/>
        <w:ind w:firstLine="640"/>
        <w:jc w:val="both"/>
      </w:pPr>
      <w:r>
        <w:rPr>
          <w:rFonts w:ascii="仿宋_GB2312" w:hAnsi="仿宋_GB2312" w:eastAsia="仿宋_GB2312"/>
          <w:b/>
          <w:sz w:val="32"/>
        </w:rPr>
        <w:t>本年支出72.25万元，</w:t>
      </w:r>
      <w:r>
        <w:rPr>
          <w:rFonts w:ascii="仿宋_GB2312" w:hAnsi="仿宋_GB2312" w:eastAsia="仿宋_GB2312"/>
          <w:b w:val="0"/>
          <w:sz w:val="32"/>
        </w:rPr>
        <w:t>其中：基本支出70.25万元，占97.23%；项目支出2.00万元，占2.77%；上缴上级支出0.00万元，占0.00%；经营支出0.00万元，占0.00%；对附属单位补助支出0.00万元，占0.00%。</w:t>
      </w:r>
    </w:p>
    <w:p w14:paraId="7C790815">
      <w:pPr>
        <w:spacing w:line="640" w:lineRule="exact"/>
        <w:ind w:firstLine="640"/>
        <w:jc w:val="both"/>
        <w:outlineLvl w:val="2"/>
      </w:pPr>
      <w:r>
        <w:rPr>
          <w:rFonts w:ascii="黑体" w:hAnsi="黑体" w:eastAsia="黑体"/>
          <w:sz w:val="32"/>
        </w:rPr>
        <w:t>四、财政拨款收入支出决算总体情况说明</w:t>
      </w:r>
    </w:p>
    <w:p w14:paraId="7981D09B">
      <w:pPr>
        <w:spacing w:line="580" w:lineRule="exact"/>
        <w:ind w:firstLine="640"/>
        <w:jc w:val="both"/>
      </w:pPr>
      <w:r>
        <w:rPr>
          <w:rFonts w:ascii="仿宋_GB2312" w:hAnsi="仿宋_GB2312" w:eastAsia="仿宋_GB2312"/>
          <w:b/>
          <w:sz w:val="32"/>
        </w:rPr>
        <w:t>2024年度财政拨款收入总计70.25万元，</w:t>
      </w:r>
      <w:r>
        <w:rPr>
          <w:rFonts w:ascii="仿宋_GB2312" w:hAnsi="仿宋_GB2312" w:eastAsia="仿宋_GB2312"/>
          <w:b w:val="0"/>
          <w:sz w:val="32"/>
        </w:rPr>
        <w:t>其中：年初财政拨款结转和结余0.00万元，本年财政拨款收入70.25万元。</w:t>
      </w:r>
      <w:r>
        <w:rPr>
          <w:rFonts w:ascii="仿宋_GB2312" w:hAnsi="仿宋_GB2312" w:eastAsia="仿宋_GB2312"/>
          <w:b/>
          <w:sz w:val="32"/>
        </w:rPr>
        <w:t>财政拨款支出总计70.25万元，</w:t>
      </w:r>
      <w:r>
        <w:rPr>
          <w:rFonts w:ascii="仿宋_GB2312" w:hAnsi="仿宋_GB2312" w:eastAsia="仿宋_GB2312"/>
          <w:b w:val="0"/>
          <w:sz w:val="32"/>
        </w:rPr>
        <w:t>其中：年末财政拨款结转和结余0.00万元，本年财政拨款支出70.25万元。</w:t>
      </w:r>
    </w:p>
    <w:p w14:paraId="29EF00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增加11.70万元，增长19.98%，主要原因是：本年在职人员增加，在职人员工资调增、社保、公积金基数调增，人员经费增加。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年初预算数57.81万元，决算数70.25万元，预决算差异率21.52%，主要原因是：年中追加人员工资、社保、公积金基数调增部分资金，导致预决算存在差异。</w:t>
      </w:r>
    </w:p>
    <w:p w14:paraId="403743F7">
      <w:pPr>
        <w:spacing w:line="640" w:lineRule="exact"/>
        <w:ind w:firstLine="640"/>
        <w:jc w:val="both"/>
        <w:outlineLvl w:val="2"/>
      </w:pPr>
      <w:r>
        <w:rPr>
          <w:rFonts w:ascii="黑体" w:hAnsi="黑体" w:eastAsia="黑体"/>
          <w:sz w:val="32"/>
        </w:rPr>
        <w:t>五、一般公共预算财政拨款支出决算情况说明</w:t>
      </w:r>
    </w:p>
    <w:p w14:paraId="3B20C92F">
      <w:pPr>
        <w:spacing w:line="640" w:lineRule="exact"/>
        <w:ind w:firstLine="640"/>
        <w:jc w:val="both"/>
        <w:outlineLvl w:val="3"/>
      </w:pPr>
      <w:r>
        <w:rPr>
          <w:rFonts w:ascii="楷体_GB2312" w:hAnsi="楷体_GB2312" w:eastAsia="楷体_GB2312"/>
          <w:b/>
          <w:sz w:val="32"/>
        </w:rPr>
        <w:t>（一）一般公共预算财政拨款支出决算总体情况</w:t>
      </w:r>
    </w:p>
    <w:p w14:paraId="0C683B8D">
      <w:pPr>
        <w:spacing w:line="580" w:lineRule="exact"/>
        <w:ind w:firstLine="640"/>
        <w:jc w:val="both"/>
      </w:pPr>
      <w:r>
        <w:rPr>
          <w:rFonts w:ascii="仿宋_GB2312" w:hAnsi="仿宋_GB2312" w:eastAsia="仿宋_GB2312"/>
          <w:b/>
          <w:sz w:val="32"/>
        </w:rPr>
        <w:t>2024年度一般公共预算财政拨款支出70.25万元，</w:t>
      </w:r>
      <w:r>
        <w:rPr>
          <w:rFonts w:ascii="仿宋_GB2312" w:hAnsi="仿宋_GB2312" w:eastAsia="仿宋_GB2312"/>
          <w:b w:val="0"/>
          <w:sz w:val="32"/>
        </w:rPr>
        <w:t>占本年支出合计的97.23%。</w:t>
      </w:r>
      <w:r>
        <w:rPr>
          <w:rFonts w:ascii="仿宋_GB2312" w:hAnsi="仿宋_GB2312" w:eastAsia="仿宋_GB2312"/>
          <w:b/>
          <w:sz w:val="32"/>
        </w:rPr>
        <w:t>与上年相比，</w:t>
      </w:r>
      <w:r>
        <w:rPr>
          <w:rFonts w:ascii="仿宋_GB2312" w:hAnsi="仿宋_GB2312" w:eastAsia="仿宋_GB2312"/>
          <w:b w:val="0"/>
          <w:sz w:val="32"/>
        </w:rPr>
        <w:t>增加11.70万元，增长19.98%，主要原因是：本年在职人员增加，在职人员工资调增、社保、公积金基数调增，人员经费增加。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年初预算数57.81万元，决算数70.25万元，预决算差异率21.52%，主要原因是：年中追加人员工资、社保、公积金基数调增部分资金，导致预决算存在差异。</w:t>
      </w:r>
    </w:p>
    <w:p w14:paraId="770E317F">
      <w:pPr>
        <w:spacing w:line="640" w:lineRule="exact"/>
        <w:ind w:firstLine="640"/>
        <w:jc w:val="both"/>
        <w:outlineLvl w:val="3"/>
      </w:pPr>
      <w:r>
        <w:rPr>
          <w:rFonts w:ascii="楷体_GB2312" w:hAnsi="楷体_GB2312" w:eastAsia="楷体_GB2312"/>
          <w:b/>
          <w:sz w:val="32"/>
        </w:rPr>
        <w:t>（二）一般公共预算财政拨款支出决算结构情况</w:t>
      </w:r>
    </w:p>
    <w:p w14:paraId="12F96016">
      <w:pPr>
        <w:spacing w:line="580" w:lineRule="exact"/>
        <w:ind w:firstLine="640"/>
        <w:jc w:val="both"/>
      </w:pPr>
      <w:r>
        <w:rPr>
          <w:rFonts w:ascii="仿宋_GB2312" w:hAnsi="仿宋_GB2312" w:eastAsia="仿宋_GB2312"/>
          <w:b w:val="0"/>
          <w:sz w:val="32"/>
        </w:rPr>
        <w:t>1.科学技术支出(类)63.64万元,占90.59%。</w:t>
      </w:r>
    </w:p>
    <w:p w14:paraId="49E47E18">
      <w:pPr>
        <w:spacing w:line="580" w:lineRule="exact"/>
        <w:ind w:firstLine="640"/>
        <w:jc w:val="both"/>
      </w:pPr>
      <w:r>
        <w:rPr>
          <w:rFonts w:ascii="仿宋_GB2312" w:hAnsi="仿宋_GB2312" w:eastAsia="仿宋_GB2312"/>
          <w:b w:val="0"/>
          <w:sz w:val="32"/>
        </w:rPr>
        <w:t>2.社会保障和就业支出(类)6.60万元,占9.40%。</w:t>
      </w:r>
    </w:p>
    <w:p w14:paraId="074D4BCA">
      <w:pPr>
        <w:spacing w:line="640" w:lineRule="exact"/>
        <w:ind w:firstLine="640"/>
        <w:jc w:val="both"/>
        <w:outlineLvl w:val="3"/>
      </w:pPr>
      <w:r>
        <w:rPr>
          <w:rFonts w:ascii="楷体_GB2312" w:hAnsi="楷体_GB2312" w:eastAsia="楷体_GB2312"/>
          <w:b/>
          <w:sz w:val="32"/>
        </w:rPr>
        <w:t>（三）一般公共预算财政拨款支出决算具体情况</w:t>
      </w:r>
    </w:p>
    <w:p w14:paraId="3C1D3CB9">
      <w:pPr>
        <w:spacing w:line="580" w:lineRule="exact"/>
        <w:ind w:firstLine="640"/>
        <w:jc w:val="both"/>
      </w:pPr>
      <w:r>
        <w:rPr>
          <w:rFonts w:ascii="仿宋_GB2312" w:hAnsi="仿宋_GB2312" w:eastAsia="仿宋_GB2312"/>
          <w:b w:val="0"/>
          <w:sz w:val="32"/>
        </w:rPr>
        <w:t>1.科学技术支出(类)应用研究(款)社会公益研究(项):支出决算数为63.64万元，比上年决算增加13.12万元，增长25.97%,主要原因是：本年在职人员增加，在职人员工资调增、相关支出增加。</w:t>
      </w:r>
    </w:p>
    <w:p w14:paraId="153F662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6.60万元，比上年决算增加2.44万元，增长58.65%,主要原因是：本年在职人员增加，养老保险缴费较上年增加。</w:t>
      </w:r>
    </w:p>
    <w:p w14:paraId="19F8317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3.社会保障和就业支出(类)行政事业单位养老支出(款)机关事业单位职业年金缴费支出(项):支出决算数为0.00万元，比上年决算减少3.86万元，下降100.00%,主要原因是：本年</w:t>
      </w:r>
      <w:r>
        <w:rPr>
          <w:rFonts w:hint="eastAsia" w:ascii="仿宋_GB2312" w:hAnsi="仿宋_GB2312" w:eastAsia="仿宋_GB2312"/>
          <w:b w:val="0"/>
          <w:sz w:val="32"/>
          <w:lang w:val="en-US" w:eastAsia="zh-CN"/>
        </w:rPr>
        <w:t>无新增退休人员</w:t>
      </w:r>
      <w:r>
        <w:rPr>
          <w:rFonts w:ascii="仿宋_GB2312" w:hAnsi="仿宋_GB2312" w:eastAsia="仿宋_GB2312"/>
          <w:b w:val="0"/>
          <w:sz w:val="32"/>
        </w:rPr>
        <w:t>，导致经费较上年减少。</w:t>
      </w:r>
    </w:p>
    <w:p w14:paraId="42C850AA">
      <w:pPr>
        <w:spacing w:line="640" w:lineRule="exact"/>
        <w:ind w:firstLine="640"/>
        <w:jc w:val="both"/>
        <w:outlineLvl w:val="2"/>
      </w:pPr>
      <w:r>
        <w:rPr>
          <w:rFonts w:ascii="黑体" w:hAnsi="黑体" w:eastAsia="黑体"/>
          <w:sz w:val="32"/>
        </w:rPr>
        <w:t>六、一般公共预算财政拨款基本支出决算情况说明</w:t>
      </w:r>
    </w:p>
    <w:p w14:paraId="35E04FAE">
      <w:pPr>
        <w:spacing w:line="580" w:lineRule="exact"/>
        <w:ind w:firstLine="640"/>
        <w:jc w:val="both"/>
      </w:pPr>
      <w:r>
        <w:rPr>
          <w:rFonts w:ascii="仿宋_GB2312" w:hAnsi="仿宋_GB2312" w:eastAsia="仿宋_GB2312"/>
          <w:b w:val="0"/>
          <w:sz w:val="32"/>
        </w:rPr>
        <w:t>2024年度一般公共预算财政拨款基本支出70.25万元，其中：</w:t>
      </w:r>
      <w:r>
        <w:rPr>
          <w:rFonts w:ascii="仿宋_GB2312" w:hAnsi="仿宋_GB2312" w:eastAsia="仿宋_GB2312"/>
          <w:b/>
          <w:sz w:val="32"/>
        </w:rPr>
        <w:t>人员经费68.78万元，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14:paraId="1D8FCF9E">
      <w:pPr>
        <w:spacing w:line="580" w:lineRule="exact"/>
        <w:ind w:firstLine="640"/>
        <w:jc w:val="both"/>
      </w:pPr>
      <w:r>
        <w:rPr>
          <w:rFonts w:ascii="仿宋_GB2312" w:hAnsi="仿宋_GB2312" w:eastAsia="仿宋_GB2312"/>
          <w:b/>
          <w:sz w:val="32"/>
        </w:rPr>
        <w:t>公用经费1.46万元，</w:t>
      </w:r>
      <w:r>
        <w:rPr>
          <w:rFonts w:ascii="仿宋_GB2312" w:hAnsi="仿宋_GB2312" w:eastAsia="仿宋_GB2312"/>
          <w:b w:val="0"/>
          <w:sz w:val="32"/>
        </w:rPr>
        <w:t>包括：办公费、工会经费、福利费、其他商品和服务支出。</w:t>
      </w:r>
    </w:p>
    <w:p w14:paraId="74C85ADB">
      <w:pPr>
        <w:spacing w:line="640" w:lineRule="exact"/>
        <w:ind w:firstLine="640"/>
        <w:jc w:val="both"/>
        <w:outlineLvl w:val="2"/>
      </w:pPr>
      <w:r>
        <w:rPr>
          <w:rFonts w:ascii="黑体" w:hAnsi="黑体" w:eastAsia="黑体"/>
          <w:sz w:val="32"/>
        </w:rPr>
        <w:t>七、政府性基金预算财政拨款收入支出决算情况说明</w:t>
      </w:r>
    </w:p>
    <w:p w14:paraId="08A3AEC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DDDF5C5">
      <w:pPr>
        <w:spacing w:line="640" w:lineRule="exact"/>
        <w:ind w:firstLine="640"/>
        <w:jc w:val="both"/>
        <w:outlineLvl w:val="2"/>
      </w:pPr>
      <w:r>
        <w:rPr>
          <w:rFonts w:ascii="黑体" w:hAnsi="黑体" w:eastAsia="黑体"/>
          <w:sz w:val="32"/>
        </w:rPr>
        <w:t>八、国有资本经营预算财政拨款收入支出决算情况说明</w:t>
      </w:r>
    </w:p>
    <w:p w14:paraId="4571AE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1CBAD5">
      <w:pPr>
        <w:spacing w:line="640" w:lineRule="exact"/>
        <w:ind w:firstLine="640"/>
        <w:jc w:val="both"/>
        <w:outlineLvl w:val="2"/>
      </w:pPr>
      <w:r>
        <w:rPr>
          <w:rFonts w:ascii="黑体" w:hAnsi="黑体" w:eastAsia="黑体"/>
          <w:sz w:val="32"/>
        </w:rPr>
        <w:t>九、财政拨款“三公”经费支出决算情况说明</w:t>
      </w:r>
    </w:p>
    <w:p w14:paraId="5533FCD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B4A7528">
      <w:pPr>
        <w:spacing w:line="580" w:lineRule="exact"/>
        <w:ind w:firstLine="640"/>
        <w:jc w:val="both"/>
      </w:pPr>
      <w:r>
        <w:rPr>
          <w:rFonts w:ascii="仿宋_GB2312" w:hAnsi="仿宋_GB2312" w:eastAsia="仿宋_GB2312"/>
          <w:b/>
          <w:sz w:val="32"/>
        </w:rPr>
        <w:t>具体情况如下：</w:t>
      </w:r>
    </w:p>
    <w:p w14:paraId="4145282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5DB1F1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BA7426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923C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462297B">
      <w:pPr>
        <w:spacing w:line="640" w:lineRule="exact"/>
        <w:ind w:firstLine="640"/>
        <w:jc w:val="both"/>
        <w:outlineLvl w:val="2"/>
      </w:pPr>
      <w:r>
        <w:rPr>
          <w:rFonts w:ascii="黑体" w:hAnsi="黑体" w:eastAsia="黑体"/>
          <w:sz w:val="32"/>
        </w:rPr>
        <w:t>十、其他重要事项的情况说明</w:t>
      </w:r>
    </w:p>
    <w:p w14:paraId="396AF129">
      <w:pPr>
        <w:spacing w:line="640" w:lineRule="exact"/>
        <w:ind w:firstLine="640"/>
        <w:jc w:val="both"/>
        <w:outlineLvl w:val="3"/>
      </w:pPr>
      <w:r>
        <w:rPr>
          <w:rFonts w:ascii="楷体_GB2312" w:hAnsi="楷体_GB2312" w:eastAsia="楷体_GB2312"/>
          <w:b/>
          <w:sz w:val="32"/>
        </w:rPr>
        <w:t>（一）机关运行经费及公用经费支出情况</w:t>
      </w:r>
    </w:p>
    <w:p w14:paraId="47B7269B">
      <w:pPr>
        <w:spacing w:line="580" w:lineRule="exact"/>
        <w:ind w:firstLine="640"/>
        <w:jc w:val="both"/>
      </w:pPr>
      <w:r>
        <w:rPr>
          <w:rFonts w:ascii="仿宋_GB2312" w:hAnsi="仿宋_GB2312" w:eastAsia="仿宋_GB2312"/>
          <w:b w:val="0"/>
          <w:sz w:val="32"/>
        </w:rPr>
        <w:t>2024年度克孜勒苏柯尔克孜自治州科技发展研究所（事业单位）公用经费支出1.46万元，比上年增加0.45万元，增长44.55%，主要原因是：本年在职人员增加，办公费用增加。</w:t>
      </w:r>
    </w:p>
    <w:p w14:paraId="7E0A62BE">
      <w:pPr>
        <w:spacing w:line="640" w:lineRule="exact"/>
        <w:ind w:firstLine="640"/>
        <w:jc w:val="both"/>
        <w:outlineLvl w:val="3"/>
      </w:pPr>
      <w:r>
        <w:rPr>
          <w:rFonts w:ascii="楷体_GB2312" w:hAnsi="楷体_GB2312" w:eastAsia="楷体_GB2312"/>
          <w:b/>
          <w:sz w:val="32"/>
        </w:rPr>
        <w:t>（二）政府采购情况</w:t>
      </w:r>
    </w:p>
    <w:p w14:paraId="145059D3">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14:paraId="71DDD2D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50ACBEC">
      <w:pPr>
        <w:spacing w:line="640" w:lineRule="exact"/>
        <w:ind w:firstLine="640"/>
        <w:jc w:val="both"/>
        <w:outlineLvl w:val="3"/>
      </w:pPr>
      <w:r>
        <w:rPr>
          <w:rFonts w:ascii="楷体_GB2312" w:hAnsi="楷体_GB2312" w:eastAsia="楷体_GB2312"/>
          <w:b/>
          <w:sz w:val="32"/>
        </w:rPr>
        <w:t>（三）国有资产占用情况说明</w:t>
      </w:r>
    </w:p>
    <w:p w14:paraId="5E60DE1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B6E1052">
      <w:pPr>
        <w:spacing w:line="640" w:lineRule="exact"/>
        <w:ind w:firstLine="640"/>
        <w:jc w:val="both"/>
        <w:outlineLvl w:val="2"/>
      </w:pPr>
      <w:r>
        <w:rPr>
          <w:rFonts w:ascii="黑体" w:hAnsi="黑体" w:eastAsia="黑体"/>
          <w:sz w:val="32"/>
        </w:rPr>
        <w:t>十一、预算绩效的情况说明</w:t>
      </w:r>
    </w:p>
    <w:p w14:paraId="110D47B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72.75万元，实际执行总额72.25万元；预算绩效评价项目1个，全年预算数2.00万元，全年执行数2.00万元。预算绩效管理取得的成效：发放两个研究生的生活补助经费，通过实施该项目促进地区发展提供支持加快实施新时代“人才强州”战略，统筹推进人才引进工作，特制定本办法。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185CAA6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D2F4421">
        <w:tc>
          <w:tcPr>
            <w:tcW w:w="8840" w:type="dxa"/>
            <w:gridSpan w:val="8"/>
            <w:vAlign w:val="center"/>
          </w:tcPr>
          <w:p w14:paraId="4171FFBF">
            <w:pPr>
              <w:jc w:val="center"/>
            </w:pPr>
            <w:r>
              <w:rPr>
                <w:rFonts w:ascii="宋体" w:hAnsi="宋体" w:eastAsia="宋体"/>
                <w:sz w:val="24"/>
              </w:rPr>
              <w:t>单位整体支出绩效自评表</w:t>
            </w:r>
          </w:p>
        </w:tc>
      </w:tr>
      <w:tr w14:paraId="2EBFAC2F">
        <w:tblPrEx>
          <w:tblCellMar>
            <w:top w:w="0" w:type="dxa"/>
            <w:left w:w="108" w:type="dxa"/>
            <w:bottom w:w="0" w:type="dxa"/>
            <w:right w:w="108" w:type="dxa"/>
          </w:tblCellMar>
        </w:tblPrEx>
        <w:tc>
          <w:tcPr>
            <w:tcW w:w="8840" w:type="dxa"/>
            <w:gridSpan w:val="8"/>
            <w:vAlign w:val="center"/>
          </w:tcPr>
          <w:p w14:paraId="3B1FF429">
            <w:pPr>
              <w:jc w:val="center"/>
            </w:pPr>
            <w:r>
              <w:rPr>
                <w:rFonts w:ascii="宋体" w:hAnsi="宋体" w:eastAsia="宋体"/>
                <w:sz w:val="24"/>
              </w:rPr>
              <w:t>（2024年度）</w:t>
            </w:r>
          </w:p>
        </w:tc>
      </w:tr>
      <w:tr w14:paraId="27C62F0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F1FC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17AAC">
            <w:pPr>
              <w:jc w:val="center"/>
            </w:pPr>
            <w:r>
              <w:rPr>
                <w:rFonts w:ascii="宋体" w:hAnsi="宋体" w:eastAsia="宋体"/>
                <w:sz w:val="16"/>
              </w:rPr>
              <w:t>克孜勒苏柯尔克孜自治州科技发展研究所</w:t>
            </w:r>
          </w:p>
        </w:tc>
      </w:tr>
      <w:tr w14:paraId="3F44BC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C459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D557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C99A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AB6E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F286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ADEF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A1F7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BE700">
            <w:pPr>
              <w:jc w:val="center"/>
            </w:pPr>
            <w:r>
              <w:rPr>
                <w:rFonts w:ascii="宋体" w:hAnsi="宋体" w:eastAsia="宋体"/>
                <w:sz w:val="16"/>
              </w:rPr>
              <w:t>得分</w:t>
            </w:r>
          </w:p>
        </w:tc>
      </w:tr>
      <w:tr w14:paraId="6CB66A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FE9A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3B40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E0BA4">
            <w:pPr>
              <w:jc w:val="center"/>
            </w:pPr>
            <w:r>
              <w:rPr>
                <w:rFonts w:ascii="宋体" w:hAnsi="宋体" w:eastAsia="宋体"/>
                <w:sz w:val="16"/>
              </w:rPr>
              <w:t>58.51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4836A">
            <w:pPr>
              <w:jc w:val="center"/>
            </w:pPr>
            <w:r>
              <w:rPr>
                <w:rFonts w:ascii="宋体" w:hAnsi="宋体" w:eastAsia="宋体"/>
                <w:sz w:val="16"/>
              </w:rPr>
              <w:t>72.75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4ECEE">
            <w:pPr>
              <w:jc w:val="center"/>
            </w:pPr>
            <w:r>
              <w:rPr>
                <w:rFonts w:ascii="宋体" w:hAnsi="宋体" w:eastAsia="宋体"/>
                <w:sz w:val="16"/>
              </w:rPr>
              <w:t>72.25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0790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C8054">
            <w:pPr>
              <w:jc w:val="center"/>
            </w:pPr>
            <w:r>
              <w:rPr>
                <w:rFonts w:ascii="宋体" w:hAnsi="宋体" w:eastAsia="宋体"/>
                <w:sz w:val="16"/>
              </w:rPr>
              <w:t>99.31%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E53DA">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93</w:t>
            </w:r>
            <w:r>
              <w:rPr>
                <w:rFonts w:hint="eastAsia" w:ascii="宋体" w:hAnsi="宋体"/>
                <w:sz w:val="16"/>
                <w:lang w:val="en-US" w:eastAsia="zh-CN"/>
              </w:rPr>
              <w:t>分</w:t>
            </w:r>
            <w:bookmarkStart w:id="0" w:name="_GoBack"/>
            <w:bookmarkEnd w:id="0"/>
          </w:p>
        </w:tc>
      </w:tr>
      <w:tr w14:paraId="6C4A71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69EA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1AAF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F43E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7D73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69C7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CE1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A8C4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F723E">
            <w:pPr>
              <w:jc w:val="center"/>
            </w:pPr>
            <w:r>
              <w:rPr>
                <w:rFonts w:ascii="宋体" w:hAnsi="宋体" w:eastAsia="宋体"/>
                <w:sz w:val="16"/>
              </w:rPr>
              <w:t>—</w:t>
            </w:r>
          </w:p>
        </w:tc>
      </w:tr>
      <w:tr w14:paraId="6EB232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BD60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F5FB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06CEB">
            <w:pPr>
              <w:jc w:val="center"/>
            </w:pPr>
            <w:r>
              <w:rPr>
                <w:rFonts w:ascii="宋体" w:hAnsi="宋体" w:eastAsia="宋体"/>
                <w:sz w:val="16"/>
              </w:rPr>
              <w:t>57.81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A7AC5">
            <w:pPr>
              <w:jc w:val="center"/>
            </w:pPr>
            <w:r>
              <w:rPr>
                <w:rFonts w:ascii="宋体" w:hAnsi="宋体" w:eastAsia="宋体"/>
                <w:sz w:val="16"/>
              </w:rPr>
              <w:t>72.75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1AEA8">
            <w:pPr>
              <w:jc w:val="center"/>
            </w:pPr>
            <w:r>
              <w:rPr>
                <w:rFonts w:ascii="宋体" w:hAnsi="宋体" w:eastAsia="宋体"/>
                <w:sz w:val="16"/>
              </w:rPr>
              <w:t>72.25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54C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649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609DD">
            <w:pPr>
              <w:jc w:val="center"/>
            </w:pPr>
            <w:r>
              <w:rPr>
                <w:rFonts w:ascii="宋体" w:hAnsi="宋体" w:eastAsia="宋体"/>
                <w:sz w:val="16"/>
              </w:rPr>
              <w:t>—</w:t>
            </w:r>
          </w:p>
        </w:tc>
      </w:tr>
      <w:tr w14:paraId="1922B3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A81F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41BB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D7CA1">
            <w:pPr>
              <w:jc w:val="center"/>
            </w:pPr>
            <w:r>
              <w:rPr>
                <w:rFonts w:ascii="宋体" w:hAnsi="宋体" w:eastAsia="宋体"/>
                <w:sz w:val="16"/>
              </w:rPr>
              <w:t>0.70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CB14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6810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4C88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628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3B8DE">
            <w:pPr>
              <w:jc w:val="center"/>
            </w:pPr>
            <w:r>
              <w:rPr>
                <w:rFonts w:ascii="宋体" w:hAnsi="宋体" w:eastAsia="宋体"/>
                <w:sz w:val="16"/>
              </w:rPr>
              <w:t>—</w:t>
            </w:r>
          </w:p>
        </w:tc>
      </w:tr>
      <w:tr w14:paraId="7E81F4C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8CC9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A9CFE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91DC83">
            <w:pPr>
              <w:jc w:val="center"/>
            </w:pPr>
            <w:r>
              <w:rPr>
                <w:rFonts w:ascii="宋体" w:hAnsi="宋体" w:eastAsia="宋体"/>
                <w:sz w:val="16"/>
              </w:rPr>
              <w:t>实际完成情况</w:t>
            </w:r>
          </w:p>
        </w:tc>
      </w:tr>
      <w:tr w14:paraId="582679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8D54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0E8E32">
            <w:pPr>
              <w:jc w:val="both"/>
            </w:pPr>
            <w:r>
              <w:rPr>
                <w:rFonts w:ascii="宋体" w:hAnsi="宋体" w:eastAsia="宋体"/>
                <w:sz w:val="16"/>
              </w:rPr>
              <w:t>克州科技发展</w:t>
            </w:r>
            <w:r>
              <w:rPr>
                <w:rFonts w:hint="eastAsia" w:ascii="宋体" w:hAnsi="宋体"/>
                <w:sz w:val="16"/>
                <w:lang w:eastAsia="zh-CN"/>
              </w:rPr>
              <w:t>研究所</w:t>
            </w:r>
            <w:r>
              <w:rPr>
                <w:rFonts w:ascii="宋体" w:hAnsi="宋体" w:eastAsia="宋体"/>
                <w:sz w:val="16"/>
              </w:rPr>
              <w:t>开展创新战略的规划，提出指导科技交流研究的参考建议。积极与自治区科技发展战略研究院进行合作，开展科技工作前期调研、选题、查新的工作，建立开放式的科技合作交流平台，做好科技信息服务工作，不断提高科技发展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10DEA0">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为深入实施“人才强州”战略，实现克州社会稳定和长治久安，克州牢牢把握历史机遇，结合克州经济社会发展的总体目标和人才资源的现状，坚持以提升能力和优化结构为主线，以盘活用好现有人才为核心，以引进重点领域人才为突破，努力构建“人才强州”支撑体系，为克州社会经济高质量发展科技支撑提供坚实的人才支撑和智力保障;带队对辖区内科技型企业进行入企调研，分别从企业基础情况、高新技术企业申报、科技型中小企业登记入库、技术合同认定登记、研发费用投入、知识产权等工作开展情况进行交流沟通，充分了解企业发展情况、面临技术难题、科技帮扶需求，对企业科技创新活动中需要突破的关键共性问题，进行问诊把脉、咨询服务并提出了专家建议意见;简要描述现将对自治州科技型企业2次进行摸排调研,。对自治州科技型企业进行全面摸排、建立企业信息台账，动态掌握企业技术创新需求，制定创新驱动绩效提升方案，开展科技干部队伍培训，强化人才团队建设，提升企业科技创新能力及科技干部技术服务水平，促进科技服务支持政策更加精准; 简要描述现将发表科技工作高质量发展调研报告1篇。自治区科技发展战略研究院农村科技服务中心安排有关专家来克州专题现场授课“科技特派员培训”；根据《关于学习贯彻党的二十大精神广泛开展2024年自治区文化科技卫生“三下乡”活动工作方案的通知》要求，州科技局相关工作人员及科技特派员在格达良乡区许尔盖</w:t>
            </w:r>
            <w:r>
              <w:rPr>
                <w:rFonts w:hint="eastAsia" w:ascii="宋体" w:hAnsi="宋体"/>
                <w:sz w:val="16"/>
                <w:lang w:eastAsia="zh-CN"/>
              </w:rPr>
              <w:t>村以</w:t>
            </w:r>
            <w:r>
              <w:rPr>
                <w:rFonts w:ascii="宋体" w:hAnsi="宋体" w:eastAsia="宋体"/>
                <w:sz w:val="16"/>
              </w:rPr>
              <w:t>知识讲座形式，向群众开展宣传了棉花病虫害防治及养殖技术方面的“送科技下乡”活动并现场发放了360余份，答疑解惑</w:t>
            </w:r>
            <w:r>
              <w:rPr>
                <w:rFonts w:hint="eastAsia" w:ascii="宋体" w:hAnsi="宋体"/>
                <w:sz w:val="16"/>
                <w:lang w:eastAsia="zh-CN"/>
              </w:rPr>
              <w:t>15次</w:t>
            </w:r>
            <w:r>
              <w:rPr>
                <w:rFonts w:ascii="宋体" w:hAnsi="宋体" w:eastAsia="宋体"/>
                <w:sz w:val="16"/>
              </w:rPr>
              <w:t>；深入开展主题教育，自治区科技厅党组书记王成一行5人到克州，针对克州矿产勘探与冶炼、特色林果业、水产养殖等产业发展、创新思路等进行调研，发表科技信息2篇。通过以上工作的实施，保障了</w:t>
            </w:r>
            <w:r>
              <w:rPr>
                <w:rFonts w:hint="eastAsia" w:ascii="宋体" w:hAnsi="宋体"/>
                <w:sz w:val="16"/>
                <w:lang w:eastAsia="zh-CN"/>
              </w:rPr>
              <w:t>本单位</w:t>
            </w:r>
            <w:r>
              <w:rPr>
                <w:rFonts w:ascii="宋体" w:hAnsi="宋体" w:eastAsia="宋体"/>
                <w:sz w:val="16"/>
              </w:rPr>
              <w:t>5名职工的工资、福利及社保正常发放及缴纳，确保民生工作落实到位；保障单位各项工作的正常运转，确保机构运转正常。</w:t>
            </w:r>
          </w:p>
        </w:tc>
      </w:tr>
      <w:tr w14:paraId="056D7CE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DAD1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F37C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BF50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37F2E">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0902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AF2A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20C1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2E28F">
            <w:pPr>
              <w:jc w:val="center"/>
            </w:pPr>
            <w:r>
              <w:rPr>
                <w:rFonts w:ascii="宋体" w:hAnsi="宋体" w:eastAsia="宋体"/>
                <w:sz w:val="16"/>
              </w:rPr>
              <w:t>得分</w:t>
            </w:r>
          </w:p>
        </w:tc>
      </w:tr>
      <w:tr w14:paraId="1FE6B8D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0C4D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2FFC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5D34D">
            <w:pPr>
              <w:jc w:val="center"/>
            </w:pPr>
            <w:r>
              <w:rPr>
                <w:rFonts w:ascii="宋体" w:hAnsi="宋体" w:eastAsia="宋体"/>
                <w:sz w:val="16"/>
              </w:rPr>
              <w:t>开展调研工作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AB13C">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F911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09AA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01358">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2BD23">
            <w:pPr>
              <w:jc w:val="center"/>
            </w:pPr>
            <w:r>
              <w:rPr>
                <w:rFonts w:ascii="宋体" w:hAnsi="宋体" w:eastAsia="宋体"/>
                <w:sz w:val="16"/>
              </w:rPr>
              <w:t>30</w:t>
            </w:r>
          </w:p>
        </w:tc>
      </w:tr>
      <w:tr w14:paraId="7A0C6F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D18A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361B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3E89A">
            <w:pPr>
              <w:jc w:val="center"/>
            </w:pPr>
            <w:r>
              <w:rPr>
                <w:rFonts w:ascii="宋体" w:hAnsi="宋体" w:eastAsia="宋体"/>
                <w:sz w:val="16"/>
              </w:rPr>
              <w:t>发表科技工作高质量发展调研报告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81029">
            <w:pPr>
              <w:jc w:val="center"/>
            </w:pPr>
            <w:r>
              <w:rPr>
                <w:rFonts w:ascii="宋体" w:hAnsi="宋体" w:eastAsia="宋体"/>
                <w:sz w:val="16"/>
              </w:rPr>
              <w:t>&gt;=1篇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8DA8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376A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03E9A">
            <w:pPr>
              <w:jc w:val="center"/>
            </w:pPr>
            <w:r>
              <w:rPr>
                <w:rFonts w:ascii="宋体" w:hAnsi="宋体" w:eastAsia="宋体"/>
                <w:sz w:val="16"/>
              </w:rPr>
              <w:t>1篇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5BA00">
            <w:pPr>
              <w:jc w:val="center"/>
            </w:pPr>
            <w:r>
              <w:rPr>
                <w:rFonts w:ascii="宋体" w:hAnsi="宋体" w:eastAsia="宋体"/>
                <w:sz w:val="16"/>
              </w:rPr>
              <w:t>30</w:t>
            </w:r>
          </w:p>
        </w:tc>
      </w:tr>
      <w:tr w14:paraId="661893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9BA1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A4590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AC604">
            <w:pPr>
              <w:jc w:val="center"/>
            </w:pPr>
            <w:r>
              <w:rPr>
                <w:rFonts w:ascii="宋体" w:hAnsi="宋体" w:eastAsia="宋体"/>
                <w:sz w:val="16"/>
              </w:rPr>
              <w:t>发表科技信息篇数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2604D">
            <w:pPr>
              <w:jc w:val="center"/>
            </w:pPr>
            <w:r>
              <w:rPr>
                <w:rFonts w:ascii="宋体" w:hAnsi="宋体" w:eastAsia="宋体"/>
                <w:sz w:val="16"/>
              </w:rPr>
              <w:t>=2篇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2911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E400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E9DCE">
            <w:pPr>
              <w:jc w:val="center"/>
            </w:pPr>
            <w:r>
              <w:rPr>
                <w:rFonts w:ascii="宋体" w:hAnsi="宋体" w:eastAsia="宋体"/>
                <w:sz w:val="16"/>
              </w:rPr>
              <w:t>6篇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DF9C5">
            <w:pPr>
              <w:jc w:val="center"/>
            </w:pPr>
            <w:r>
              <w:rPr>
                <w:rFonts w:ascii="宋体" w:hAnsi="宋体" w:eastAsia="宋体"/>
                <w:sz w:val="16"/>
              </w:rPr>
              <w:t>30</w:t>
            </w:r>
          </w:p>
        </w:tc>
      </w:tr>
    </w:tbl>
    <w:p w14:paraId="1F3803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F8FFF2C">
        <w:tblPrEx>
          <w:tblCellMar>
            <w:top w:w="0" w:type="dxa"/>
            <w:left w:w="108" w:type="dxa"/>
            <w:bottom w:w="0" w:type="dxa"/>
            <w:right w:w="108" w:type="dxa"/>
          </w:tblCellMar>
        </w:tblPrEx>
        <w:tc>
          <w:tcPr>
            <w:tcW w:w="8848" w:type="dxa"/>
            <w:gridSpan w:val="14"/>
            <w:vAlign w:val="center"/>
          </w:tcPr>
          <w:p w14:paraId="53F58365">
            <w:pPr>
              <w:jc w:val="center"/>
            </w:pPr>
            <w:r>
              <w:rPr>
                <w:rFonts w:ascii="宋体" w:hAnsi="宋体" w:eastAsia="宋体"/>
                <w:sz w:val="24"/>
              </w:rPr>
              <w:t>项目支出绩效自评表</w:t>
            </w:r>
          </w:p>
        </w:tc>
      </w:tr>
      <w:tr w14:paraId="116ADF8B">
        <w:tblPrEx>
          <w:tblCellMar>
            <w:top w:w="0" w:type="dxa"/>
            <w:left w:w="108" w:type="dxa"/>
            <w:bottom w:w="0" w:type="dxa"/>
            <w:right w:w="108" w:type="dxa"/>
          </w:tblCellMar>
        </w:tblPrEx>
        <w:tc>
          <w:tcPr>
            <w:tcW w:w="8848" w:type="dxa"/>
            <w:gridSpan w:val="14"/>
            <w:vAlign w:val="center"/>
          </w:tcPr>
          <w:p w14:paraId="1837C838">
            <w:pPr>
              <w:jc w:val="center"/>
            </w:pPr>
            <w:r>
              <w:rPr>
                <w:rFonts w:ascii="宋体" w:hAnsi="宋体" w:eastAsia="宋体"/>
                <w:sz w:val="24"/>
              </w:rPr>
              <w:t>(2024年度)</w:t>
            </w:r>
          </w:p>
        </w:tc>
      </w:tr>
      <w:tr w14:paraId="60C10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82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20BF2">
            <w:pPr>
              <w:jc w:val="center"/>
            </w:pPr>
            <w:r>
              <w:rPr>
                <w:rFonts w:ascii="宋体" w:hAnsi="宋体" w:eastAsia="宋体"/>
                <w:sz w:val="16"/>
              </w:rPr>
              <w:t>克州“帕米尔英才”生活补助经费</w:t>
            </w:r>
          </w:p>
        </w:tc>
      </w:tr>
      <w:tr w14:paraId="1F23B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D6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5BEF9">
            <w:pPr>
              <w:jc w:val="center"/>
            </w:pPr>
            <w:r>
              <w:rPr>
                <w:rFonts w:hint="eastAsia" w:ascii="宋体" w:hAnsi="宋体" w:eastAsia="宋体"/>
                <w:sz w:val="16"/>
              </w:rPr>
              <w:t>克孜勒苏柯尔克孜自治州科学技术局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D5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B639C2">
            <w:pPr>
              <w:jc w:val="center"/>
            </w:pPr>
            <w:r>
              <w:rPr>
                <w:rFonts w:ascii="宋体" w:hAnsi="宋体" w:eastAsia="宋体"/>
                <w:sz w:val="16"/>
              </w:rPr>
              <w:t>克孜勒苏柯尔克孜自治州科技发展研究所</w:t>
            </w:r>
          </w:p>
        </w:tc>
      </w:tr>
      <w:tr w14:paraId="0E991C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F2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A9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C1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2E3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5E0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9C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0D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D1B8">
            <w:pPr>
              <w:jc w:val="center"/>
            </w:pPr>
            <w:r>
              <w:rPr>
                <w:rFonts w:ascii="宋体" w:hAnsi="宋体" w:eastAsia="宋体"/>
                <w:sz w:val="16"/>
              </w:rPr>
              <w:t>得分</w:t>
            </w:r>
          </w:p>
        </w:tc>
      </w:tr>
      <w:tr w14:paraId="7A3F1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50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B2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DA7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CE5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F001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B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C16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AD16">
            <w:pPr>
              <w:jc w:val="center"/>
            </w:pPr>
            <w:r>
              <w:rPr>
                <w:rFonts w:ascii="宋体" w:hAnsi="宋体" w:eastAsia="宋体"/>
                <w:sz w:val="16"/>
              </w:rPr>
              <w:t>10.00分</w:t>
            </w:r>
          </w:p>
        </w:tc>
      </w:tr>
      <w:tr w14:paraId="0CA7E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AA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DD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DD3F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BFBA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9A0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121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8A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2F4F">
            <w:pPr>
              <w:jc w:val="center"/>
            </w:pPr>
            <w:r>
              <w:rPr>
                <w:rFonts w:ascii="宋体" w:hAnsi="宋体" w:eastAsia="宋体"/>
                <w:sz w:val="16"/>
              </w:rPr>
              <w:t>—</w:t>
            </w:r>
          </w:p>
        </w:tc>
      </w:tr>
      <w:tr w14:paraId="49783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291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F9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BC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854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90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37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4B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0130">
            <w:pPr>
              <w:jc w:val="center"/>
            </w:pPr>
            <w:r>
              <w:rPr>
                <w:rFonts w:ascii="宋体" w:hAnsi="宋体" w:eastAsia="宋体"/>
                <w:sz w:val="16"/>
              </w:rPr>
              <w:t>—</w:t>
            </w:r>
          </w:p>
        </w:tc>
      </w:tr>
      <w:tr w14:paraId="622DC2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C26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F60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D9D73F">
            <w:pPr>
              <w:jc w:val="center"/>
            </w:pPr>
            <w:r>
              <w:rPr>
                <w:rFonts w:ascii="宋体" w:hAnsi="宋体" w:eastAsia="宋体"/>
                <w:sz w:val="16"/>
              </w:rPr>
              <w:t>实际完成情况</w:t>
            </w:r>
          </w:p>
        </w:tc>
      </w:tr>
      <w:tr w14:paraId="031B6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E58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82DE0">
            <w:pPr>
              <w:jc w:val="both"/>
            </w:pPr>
            <w:r>
              <w:rPr>
                <w:rFonts w:ascii="宋体" w:hAnsi="宋体" w:eastAsia="宋体"/>
                <w:sz w:val="16"/>
              </w:rPr>
              <w:t>“帕米尔英才”生活补助经费2万元，其中：财政资金2万元，其他资金0万元，为吸引高层次人才，促进地区发展提供支持加快实施新时代“人才强州”战略，统筹推进人才引进工作，特制定本办法。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8D37DA">
            <w:pPr>
              <w:jc w:val="both"/>
            </w:pPr>
            <w:r>
              <w:rPr>
                <w:rFonts w:ascii="宋体" w:hAnsi="宋体" w:eastAsia="宋体"/>
                <w:sz w:val="16"/>
              </w:rPr>
              <w:t>截至2024年12月31日，发放两个研究生的2024年5月-12月的生活补助经费，通过实施该项目促进地区发展提供支持加快实施新时代“人才强州”战略，统筹推进人才引进工作，特制定本办法。</w:t>
            </w:r>
          </w:p>
        </w:tc>
      </w:tr>
      <w:tr w14:paraId="5F79E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D42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65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9D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D4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BF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E0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BC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9C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00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A1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9A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74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C82D">
            <w:pPr>
              <w:jc w:val="center"/>
            </w:pPr>
            <w:r>
              <w:rPr>
                <w:rFonts w:ascii="宋体" w:hAnsi="宋体" w:eastAsia="宋体"/>
                <w:sz w:val="16"/>
              </w:rPr>
              <w:t>偏差原因分析及改进措施</w:t>
            </w:r>
          </w:p>
        </w:tc>
      </w:tr>
      <w:tr w14:paraId="1ACC60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3A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1DB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9CA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081">
            <w:pPr>
              <w:jc w:val="center"/>
            </w:pPr>
            <w:r>
              <w:rPr>
                <w:rFonts w:ascii="宋体" w:hAnsi="宋体" w:eastAsia="宋体"/>
                <w:sz w:val="16"/>
              </w:rPr>
              <w:t>生活补助发放人数（人）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CB3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F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AF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DE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4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F6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0B2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49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B954">
            <w:pPr>
              <w:jc w:val="center"/>
            </w:pPr>
          </w:p>
        </w:tc>
      </w:tr>
      <w:tr w14:paraId="023C3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0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6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7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730A">
            <w:pPr>
              <w:jc w:val="center"/>
            </w:pPr>
            <w:r>
              <w:rPr>
                <w:rFonts w:ascii="宋体" w:hAnsi="宋体" w:eastAsia="宋体"/>
                <w:sz w:val="16"/>
              </w:rPr>
              <w:t>生活补助发放月数（月）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9447">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8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E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80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5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B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496E">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6E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7327A">
            <w:pPr>
              <w:jc w:val="center"/>
            </w:pPr>
          </w:p>
        </w:tc>
      </w:tr>
      <w:tr w14:paraId="680C3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2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BC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0EF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8DDD">
            <w:pPr>
              <w:jc w:val="center"/>
            </w:pPr>
            <w:r>
              <w:rPr>
                <w:rFonts w:ascii="宋体" w:hAnsi="宋体" w:eastAsia="宋体"/>
                <w:sz w:val="16"/>
              </w:rPr>
              <w:t>生活补助发放准确率（%）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4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3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43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08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D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5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8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58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72C4">
            <w:pPr>
              <w:jc w:val="center"/>
            </w:pPr>
          </w:p>
        </w:tc>
      </w:tr>
      <w:tr w14:paraId="14C64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8E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7E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3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32CB">
            <w:pPr>
              <w:jc w:val="center"/>
            </w:pPr>
            <w:r>
              <w:rPr>
                <w:rFonts w:ascii="宋体" w:hAnsi="宋体" w:eastAsia="宋体"/>
                <w:sz w:val="16"/>
              </w:rPr>
              <w:t>生活补助审核流程合规率（%）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D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B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E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EC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E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B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F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23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685C">
            <w:pPr>
              <w:jc w:val="center"/>
            </w:pPr>
          </w:p>
        </w:tc>
      </w:tr>
      <w:tr w14:paraId="3F0A3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A3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2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D1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243D">
            <w:pPr>
              <w:jc w:val="center"/>
            </w:pPr>
            <w:r>
              <w:rPr>
                <w:rFonts w:ascii="宋体" w:hAnsi="宋体" w:eastAsia="宋体"/>
                <w:sz w:val="16"/>
              </w:rPr>
              <w:t>生活补助发放及时率（%）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4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1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E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0D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B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8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D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DF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487C1">
            <w:pPr>
              <w:jc w:val="center"/>
            </w:pPr>
          </w:p>
        </w:tc>
      </w:tr>
      <w:tr w14:paraId="383DC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C05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484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BBC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5BE4">
            <w:pPr>
              <w:jc w:val="center"/>
            </w:pPr>
            <w:r>
              <w:rPr>
                <w:rFonts w:ascii="宋体" w:hAnsi="宋体" w:eastAsia="宋体"/>
                <w:sz w:val="16"/>
              </w:rPr>
              <w:t>生活补助发放总成本（万元）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4A6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E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8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B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7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3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C1E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3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2CA87">
            <w:pPr>
              <w:jc w:val="center"/>
            </w:pPr>
          </w:p>
        </w:tc>
      </w:tr>
      <w:tr w14:paraId="662A9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F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95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57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7DBF">
            <w:pPr>
              <w:jc w:val="center"/>
            </w:pPr>
            <w:r>
              <w:rPr>
                <w:rFonts w:ascii="宋体" w:hAnsi="宋体" w:eastAsia="宋体"/>
                <w:sz w:val="16"/>
              </w:rPr>
              <w:t>人均生活补助发放标准（万元/月/人）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3D86">
            <w:pPr>
              <w:jc w:val="center"/>
            </w:pPr>
            <w:r>
              <w:rPr>
                <w:rFonts w:ascii="宋体" w:hAnsi="宋体" w:eastAsia="宋体"/>
                <w:sz w:val="16"/>
              </w:rPr>
              <w:t>&lt;=0.20万元/月/人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C5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ED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3C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D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57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5282">
            <w:pPr>
              <w:jc w:val="center"/>
            </w:pPr>
            <w:r>
              <w:rPr>
                <w:rFonts w:ascii="宋体" w:hAnsi="宋体" w:eastAsia="宋体"/>
                <w:sz w:val="16"/>
              </w:rPr>
              <w:t>=0.2万元/月/人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E5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EF749">
            <w:pPr>
              <w:jc w:val="center"/>
            </w:pPr>
          </w:p>
        </w:tc>
      </w:tr>
      <w:tr w14:paraId="00D20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1A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EC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0B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0BA7">
            <w:pPr>
              <w:jc w:val="center"/>
            </w:pPr>
            <w:r>
              <w:rPr>
                <w:rFonts w:ascii="宋体" w:hAnsi="宋体" w:eastAsia="宋体"/>
                <w:sz w:val="16"/>
              </w:rPr>
              <w:t>人才吸引力提升程度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ABB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7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8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6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38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D4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357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FE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D6B8">
            <w:pPr>
              <w:jc w:val="center"/>
            </w:pPr>
          </w:p>
        </w:tc>
      </w:tr>
      <w:tr w14:paraId="1E2BC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2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75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D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E984">
            <w:pPr>
              <w:jc w:val="center"/>
            </w:pPr>
            <w:r>
              <w:rPr>
                <w:rFonts w:ascii="宋体" w:hAnsi="宋体" w:eastAsia="宋体"/>
                <w:sz w:val="16"/>
              </w:rPr>
              <w:t>引进研究生满意度（%）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DD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3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E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D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76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F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C1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81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8D14">
            <w:pPr>
              <w:jc w:val="center"/>
            </w:pPr>
          </w:p>
        </w:tc>
      </w:tr>
      <w:tr w14:paraId="4CCE5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CD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9A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6E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A43CD">
            <w:pPr>
              <w:jc w:val="center"/>
            </w:pPr>
            <w:r>
              <w:rPr>
                <w:rFonts w:ascii="宋体" w:hAnsi="宋体" w:eastAsia="宋体"/>
                <w:sz w:val="16"/>
              </w:rPr>
              <w:t>100分</w:t>
            </w:r>
          </w:p>
        </w:tc>
      </w:tr>
    </w:tbl>
    <w:p w14:paraId="784B231F">
      <w:r>
        <w:br w:type="page"/>
      </w:r>
    </w:p>
    <w:p w14:paraId="37A306AB">
      <w:pPr>
        <w:spacing w:line="640" w:lineRule="exact"/>
        <w:ind w:firstLine="640"/>
        <w:jc w:val="both"/>
        <w:outlineLvl w:val="2"/>
      </w:pPr>
      <w:r>
        <w:rPr>
          <w:rFonts w:ascii="黑体" w:hAnsi="黑体" w:eastAsia="黑体"/>
          <w:sz w:val="32"/>
        </w:rPr>
        <w:t>十二、其他需说明的事项</w:t>
      </w:r>
    </w:p>
    <w:p w14:paraId="4BBBA092">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2CE12AC7">
      <w:r>
        <w:br w:type="page"/>
      </w:r>
    </w:p>
    <w:p w14:paraId="6935F575">
      <w:pPr>
        <w:spacing w:line="240" w:lineRule="auto"/>
        <w:jc w:val="center"/>
        <w:outlineLvl w:val="1"/>
      </w:pPr>
      <w:r>
        <w:rPr>
          <w:rFonts w:ascii="黑体" w:hAnsi="黑体" w:eastAsia="黑体"/>
          <w:sz w:val="32"/>
        </w:rPr>
        <w:t>第三部分 专业名词解释</w:t>
      </w:r>
    </w:p>
    <w:p w14:paraId="063C56C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5D2C8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55E2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E5D9D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3DEF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FB3C9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99D6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F52A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17D0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E6C50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EC834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1E87F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2C3F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78CD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6D5CD1">
      <w:r>
        <w:br w:type="page"/>
      </w:r>
    </w:p>
    <w:p w14:paraId="742E6987">
      <w:pPr>
        <w:spacing w:line="240" w:lineRule="auto"/>
        <w:jc w:val="center"/>
        <w:outlineLvl w:val="1"/>
      </w:pPr>
      <w:r>
        <w:rPr>
          <w:rFonts w:ascii="黑体" w:hAnsi="黑体" w:eastAsia="黑体"/>
          <w:sz w:val="32"/>
        </w:rPr>
        <w:t>第四部分 部门决算报表（见附表）</w:t>
      </w:r>
    </w:p>
    <w:p w14:paraId="4B317A04">
      <w:pPr>
        <w:spacing w:line="240" w:lineRule="auto"/>
        <w:ind w:firstLine="640"/>
        <w:jc w:val="both"/>
      </w:pPr>
      <w:r>
        <w:rPr>
          <w:rFonts w:ascii="仿宋_GB2312" w:hAnsi="仿宋_GB2312" w:eastAsia="仿宋_GB2312"/>
          <w:b w:val="0"/>
          <w:sz w:val="32"/>
        </w:rPr>
        <w:t>一、《收入支出决算总表》</w:t>
      </w:r>
    </w:p>
    <w:p w14:paraId="5431654D">
      <w:pPr>
        <w:spacing w:line="240" w:lineRule="auto"/>
        <w:ind w:firstLine="640"/>
        <w:jc w:val="both"/>
      </w:pPr>
      <w:r>
        <w:rPr>
          <w:rFonts w:ascii="仿宋_GB2312" w:hAnsi="仿宋_GB2312" w:eastAsia="仿宋_GB2312"/>
          <w:b w:val="0"/>
          <w:sz w:val="32"/>
        </w:rPr>
        <w:t>二、《收入决算表》</w:t>
      </w:r>
    </w:p>
    <w:p w14:paraId="4D0FB47A">
      <w:pPr>
        <w:spacing w:line="240" w:lineRule="auto"/>
        <w:ind w:firstLine="640"/>
        <w:jc w:val="both"/>
      </w:pPr>
      <w:r>
        <w:rPr>
          <w:rFonts w:ascii="仿宋_GB2312" w:hAnsi="仿宋_GB2312" w:eastAsia="仿宋_GB2312"/>
          <w:b w:val="0"/>
          <w:sz w:val="32"/>
        </w:rPr>
        <w:t>三、《支出决算表》</w:t>
      </w:r>
    </w:p>
    <w:p w14:paraId="03B4F102">
      <w:pPr>
        <w:spacing w:line="240" w:lineRule="auto"/>
        <w:ind w:firstLine="640"/>
        <w:jc w:val="both"/>
      </w:pPr>
      <w:r>
        <w:rPr>
          <w:rFonts w:ascii="仿宋_GB2312" w:hAnsi="仿宋_GB2312" w:eastAsia="仿宋_GB2312"/>
          <w:b w:val="0"/>
          <w:sz w:val="32"/>
        </w:rPr>
        <w:t>四、《财政拨款收入支出决算总表》</w:t>
      </w:r>
    </w:p>
    <w:p w14:paraId="5B7B8706">
      <w:pPr>
        <w:spacing w:line="240" w:lineRule="auto"/>
        <w:ind w:firstLine="640"/>
        <w:jc w:val="both"/>
      </w:pPr>
      <w:r>
        <w:rPr>
          <w:rFonts w:ascii="仿宋_GB2312" w:hAnsi="仿宋_GB2312" w:eastAsia="仿宋_GB2312"/>
          <w:b w:val="0"/>
          <w:sz w:val="32"/>
        </w:rPr>
        <w:t>五、《一般公共预算财政拨款支出决算表》</w:t>
      </w:r>
    </w:p>
    <w:p w14:paraId="264AC891">
      <w:pPr>
        <w:spacing w:line="240" w:lineRule="auto"/>
        <w:ind w:firstLine="640"/>
        <w:jc w:val="both"/>
      </w:pPr>
      <w:r>
        <w:rPr>
          <w:rFonts w:ascii="仿宋_GB2312" w:hAnsi="仿宋_GB2312" w:eastAsia="仿宋_GB2312"/>
          <w:b w:val="0"/>
          <w:sz w:val="32"/>
        </w:rPr>
        <w:t>六、《一般公共预算财政拨款基本支出决算表》</w:t>
      </w:r>
    </w:p>
    <w:p w14:paraId="32CD9D47">
      <w:pPr>
        <w:spacing w:line="240" w:lineRule="auto"/>
        <w:ind w:firstLine="640"/>
        <w:jc w:val="both"/>
      </w:pPr>
      <w:r>
        <w:rPr>
          <w:rFonts w:ascii="仿宋_GB2312" w:hAnsi="仿宋_GB2312" w:eastAsia="仿宋_GB2312"/>
          <w:b w:val="0"/>
          <w:sz w:val="32"/>
        </w:rPr>
        <w:t>七、《政府性基金预算财政拨款收入支出决算表》</w:t>
      </w:r>
    </w:p>
    <w:p w14:paraId="597932DB">
      <w:pPr>
        <w:spacing w:line="240" w:lineRule="auto"/>
        <w:ind w:firstLine="640"/>
        <w:jc w:val="both"/>
      </w:pPr>
      <w:r>
        <w:rPr>
          <w:rFonts w:ascii="仿宋_GB2312" w:hAnsi="仿宋_GB2312" w:eastAsia="仿宋_GB2312"/>
          <w:b w:val="0"/>
          <w:sz w:val="32"/>
        </w:rPr>
        <w:t>八、《国有资本经营预算财政拨款收入支出决算表》</w:t>
      </w:r>
    </w:p>
    <w:p w14:paraId="00ADBD73">
      <w:pPr>
        <w:spacing w:line="240" w:lineRule="auto"/>
        <w:ind w:firstLine="640"/>
        <w:jc w:val="both"/>
      </w:pPr>
      <w:r>
        <w:rPr>
          <w:rFonts w:ascii="仿宋_GB2312" w:hAnsi="仿宋_GB2312" w:eastAsia="仿宋_GB2312"/>
          <w:b w:val="0"/>
          <w:sz w:val="32"/>
        </w:rPr>
        <w:t>九、《财政拨款“三公”经费支出决算表》</w:t>
      </w:r>
    </w:p>
    <w:p w14:paraId="02204B3C">
      <w:pPr>
        <w:spacing w:line="240" w:lineRule="auto"/>
        <w:ind w:firstLine="640"/>
        <w:jc w:val="both"/>
      </w:pPr>
    </w:p>
    <w:p w14:paraId="376DC596">
      <w:pPr>
        <w:spacing w:line="240" w:lineRule="auto"/>
        <w:ind w:firstLine="640"/>
        <w:jc w:val="both"/>
      </w:pPr>
    </w:p>
    <w:p w14:paraId="10AF6B53">
      <w:pPr>
        <w:spacing w:line="240" w:lineRule="auto"/>
        <w:ind w:firstLine="640"/>
        <w:jc w:val="both"/>
      </w:pPr>
    </w:p>
    <w:p w14:paraId="57147DF3">
      <w:pPr>
        <w:spacing w:line="240" w:lineRule="auto"/>
        <w:ind w:firstLine="640"/>
        <w:jc w:val="both"/>
      </w:pPr>
    </w:p>
    <w:p w14:paraId="2B63891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332715-769C-4519-8037-66111B02F2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7462A70-0A60-436A-B87E-E261E3FCA5D3}"/>
  </w:font>
  <w:font w:name="仿宋_GB2312">
    <w:altName w:val="仿宋"/>
    <w:panose1 w:val="02010609030101010101"/>
    <w:charset w:val="86"/>
    <w:family w:val="modern"/>
    <w:pitch w:val="default"/>
    <w:sig w:usb0="00000000" w:usb1="00000000" w:usb2="00000000" w:usb3="00000000" w:csb0="00040000" w:csb1="00000000"/>
    <w:embedRegular r:id="rId3" w:fontKey="{4A60705F-37EE-42BE-804D-1BDECE6B7351}"/>
  </w:font>
  <w:font w:name="楷体_GB2312">
    <w:altName w:val="楷体"/>
    <w:panose1 w:val="00000000000000000000"/>
    <w:charset w:val="00"/>
    <w:family w:val="auto"/>
    <w:pitch w:val="default"/>
    <w:sig w:usb0="00000000" w:usb1="00000000" w:usb2="00000000" w:usb3="00000000" w:csb0="00000000" w:csb1="00000000"/>
    <w:embedRegular r:id="rId4" w:fontKey="{64F5B9F5-0CB8-412D-9C5A-223FDE2FCC7A}"/>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EA73A1"/>
    <w:rsid w:val="29116777"/>
    <w:rsid w:val="2A053397"/>
    <w:rsid w:val="2A444FB1"/>
    <w:rsid w:val="2A6064E2"/>
    <w:rsid w:val="2C1965E9"/>
    <w:rsid w:val="2D1136DF"/>
    <w:rsid w:val="2DAE0E44"/>
    <w:rsid w:val="2FD27414"/>
    <w:rsid w:val="313F1D52"/>
    <w:rsid w:val="318029AB"/>
    <w:rsid w:val="31C63837"/>
    <w:rsid w:val="326F0A17"/>
    <w:rsid w:val="3277581B"/>
    <w:rsid w:val="32852BF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4179</Words>
  <Characters>4698</Characters>
  <Lines>0</Lines>
  <Paragraphs>0</Paragraphs>
  <TotalTime>7</TotalTime>
  <ScaleCrop>false</ScaleCrop>
  <LinksUpToDate>false</LinksUpToDate>
  <CharactersWithSpaces>4706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