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克孜勒苏柯尔克孜自治州教师培训中心2024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6DF839">
      <w:r>
        <w:br w:type="page"/>
      </w:r>
    </w:p>
    <w:p w14:paraId="42D9888C">
      <w:pPr>
        <w:spacing w:line="640" w:lineRule="exact"/>
        <w:jc w:val="center"/>
        <w:outlineLvl w:val="1"/>
      </w:pPr>
      <w:r>
        <w:rPr>
          <w:rFonts w:ascii="黑体" w:hAnsi="黑体" w:eastAsia="黑体"/>
          <w:sz w:val="32"/>
        </w:rPr>
        <w:t>第一部分 单位概况</w:t>
      </w:r>
    </w:p>
    <w:p w14:paraId="1FA02496">
      <w:pPr>
        <w:spacing w:line="640" w:lineRule="exact"/>
        <w:ind w:firstLine="640"/>
        <w:jc w:val="both"/>
        <w:outlineLvl w:val="2"/>
      </w:pPr>
      <w:r>
        <w:rPr>
          <w:rFonts w:ascii="黑体" w:hAnsi="黑体" w:eastAsia="黑体"/>
          <w:sz w:val="32"/>
        </w:rPr>
        <w:t>一、主要职能</w:t>
      </w:r>
    </w:p>
    <w:p w14:paraId="27FF3D5A">
      <w:pPr>
        <w:spacing w:line="580" w:lineRule="exact"/>
        <w:ind w:firstLine="640"/>
        <w:jc w:val="both"/>
      </w:pPr>
      <w:r>
        <w:rPr>
          <w:rFonts w:ascii="仿宋_GB2312" w:hAnsi="仿宋_GB2312" w:eastAsia="仿宋_GB2312"/>
          <w:sz w:val="32"/>
        </w:rPr>
        <w:t>负责协助局机关教师队伍发展培训培养，教师队伍专业发展规划的制定、组织、实施等工作，为中小学校开展教师校本培训提供指导和服务，负责发展性教师评价的制定、实施和推广，开展教师评价标准和体系研究。</w:t>
      </w:r>
    </w:p>
    <w:p w14:paraId="750B1A2A">
      <w:pPr>
        <w:spacing w:line="640" w:lineRule="exact"/>
        <w:ind w:firstLine="640"/>
        <w:jc w:val="both"/>
        <w:outlineLvl w:val="2"/>
      </w:pPr>
      <w:r>
        <w:rPr>
          <w:rFonts w:ascii="黑体" w:hAnsi="黑体" w:eastAsia="黑体"/>
          <w:sz w:val="32"/>
        </w:rPr>
        <w:t>二、机构设置及人员情况</w:t>
      </w:r>
    </w:p>
    <w:p w14:paraId="475CF8D8">
      <w:pPr>
        <w:spacing w:line="580" w:lineRule="exact"/>
        <w:ind w:firstLine="640"/>
        <w:jc w:val="both"/>
      </w:pPr>
      <w:r>
        <w:rPr>
          <w:rFonts w:ascii="仿宋_GB2312" w:hAnsi="仿宋_GB2312" w:eastAsia="仿宋_GB2312"/>
          <w:sz w:val="32"/>
        </w:rPr>
        <w:t>克孜勒苏柯尔克孜自治州教师培训中心2024年度，实有人数7人，其中：在职人员7人，增加7人；离休人员0人，增加0人；退休人员0人,增加0人。</w:t>
      </w:r>
    </w:p>
    <w:p w14:paraId="5354DEA7">
      <w:pPr>
        <w:spacing w:line="580" w:lineRule="exact"/>
        <w:ind w:firstLine="640"/>
        <w:jc w:val="both"/>
      </w:pPr>
      <w:r>
        <w:rPr>
          <w:rFonts w:ascii="仿宋_GB2312" w:hAnsi="仿宋_GB2312" w:eastAsia="仿宋_GB2312"/>
          <w:sz w:val="32"/>
        </w:rPr>
        <w:t>克孜勒苏柯尔克孜自治州教师培训中心无下属预算单位，下设1个科室，分别是：办公室。</w:t>
      </w:r>
    </w:p>
    <w:p w14:paraId="3DD303CD">
      <w:r>
        <w:br w:type="page"/>
      </w:r>
    </w:p>
    <w:p w14:paraId="308F765B">
      <w:pPr>
        <w:spacing w:line="240" w:lineRule="auto"/>
        <w:jc w:val="center"/>
        <w:outlineLvl w:val="1"/>
      </w:pPr>
      <w:r>
        <w:rPr>
          <w:rFonts w:ascii="黑体" w:hAnsi="黑体" w:eastAsia="黑体"/>
          <w:sz w:val="32"/>
        </w:rPr>
        <w:t>第二部分 部门决算情况说明</w:t>
      </w:r>
    </w:p>
    <w:p w14:paraId="25D4492B">
      <w:pPr>
        <w:spacing w:line="640" w:lineRule="exact"/>
        <w:ind w:firstLine="640"/>
        <w:jc w:val="both"/>
        <w:outlineLvl w:val="2"/>
      </w:pPr>
      <w:r>
        <w:rPr>
          <w:rFonts w:ascii="黑体" w:hAnsi="黑体" w:eastAsia="黑体"/>
          <w:sz w:val="32"/>
        </w:rPr>
        <w:t>一、收入支出决算总体情况说明</w:t>
      </w:r>
    </w:p>
    <w:p w14:paraId="582FD9F4">
      <w:pPr>
        <w:spacing w:line="580" w:lineRule="exact"/>
        <w:ind w:firstLine="640"/>
        <w:jc w:val="both"/>
      </w:pPr>
      <w:r>
        <w:rPr>
          <w:rFonts w:ascii="仿宋_GB2312" w:hAnsi="仿宋_GB2312" w:eastAsia="仿宋_GB2312"/>
          <w:b/>
          <w:sz w:val="32"/>
        </w:rPr>
        <w:t>2024年度收入总计563.13万元，</w:t>
      </w:r>
      <w:r>
        <w:rPr>
          <w:rFonts w:ascii="仿宋_GB2312" w:hAnsi="仿宋_GB2312" w:eastAsia="仿宋_GB2312"/>
          <w:b w:val="0"/>
          <w:sz w:val="32"/>
        </w:rPr>
        <w:t>其中：本年收入合计456.12万元，使用非财政拨款结余（含专用结余）0.00万元，年初结转和结余107.01万元。</w:t>
      </w:r>
    </w:p>
    <w:p w14:paraId="24FBE592">
      <w:pPr>
        <w:spacing w:line="580" w:lineRule="exact"/>
        <w:ind w:firstLine="640"/>
        <w:jc w:val="both"/>
      </w:pPr>
      <w:r>
        <w:rPr>
          <w:rFonts w:ascii="仿宋_GB2312" w:hAnsi="仿宋_GB2312" w:eastAsia="仿宋_GB2312"/>
          <w:b/>
          <w:sz w:val="32"/>
        </w:rPr>
        <w:t>2024年度支出总计563.13万元，</w:t>
      </w:r>
      <w:r>
        <w:rPr>
          <w:rFonts w:ascii="仿宋_GB2312" w:hAnsi="仿宋_GB2312" w:eastAsia="仿宋_GB2312"/>
          <w:b w:val="0"/>
          <w:sz w:val="32"/>
        </w:rPr>
        <w:t>其中：本年支出合计483.92万元，结余分配0.00万元，年末结转和结余79.21万元。</w:t>
      </w:r>
    </w:p>
    <w:p w14:paraId="67BBA7C7">
      <w:pPr>
        <w:spacing w:line="580" w:lineRule="exact"/>
        <w:ind w:firstLine="640"/>
        <w:jc w:val="both"/>
      </w:pPr>
      <w:r>
        <w:rPr>
          <w:rFonts w:ascii="仿宋_GB2312" w:hAnsi="仿宋_GB2312" w:eastAsia="仿宋_GB2312"/>
          <w:b w:val="0"/>
          <w:sz w:val="32"/>
        </w:rPr>
        <w:t>收入支出总体与上年相比，增加563.13万元，增长100.00%，主要原因是：本单位为新增单位，无上年数据。</w:t>
      </w:r>
    </w:p>
    <w:p w14:paraId="1FDF6CB5">
      <w:pPr>
        <w:spacing w:line="640" w:lineRule="exact"/>
        <w:ind w:firstLine="640"/>
        <w:jc w:val="both"/>
        <w:outlineLvl w:val="2"/>
      </w:pPr>
      <w:r>
        <w:rPr>
          <w:rFonts w:ascii="黑体" w:hAnsi="黑体" w:eastAsia="黑体"/>
          <w:sz w:val="32"/>
        </w:rPr>
        <w:t>二、收入决算情况说明</w:t>
      </w:r>
    </w:p>
    <w:p w14:paraId="743D6F16">
      <w:pPr>
        <w:spacing w:line="580" w:lineRule="exact"/>
        <w:ind w:firstLine="640"/>
        <w:jc w:val="both"/>
      </w:pPr>
      <w:r>
        <w:rPr>
          <w:rFonts w:ascii="仿宋_GB2312" w:hAnsi="仿宋_GB2312" w:eastAsia="仿宋_GB2312"/>
          <w:b/>
          <w:sz w:val="32"/>
        </w:rPr>
        <w:t>本年收入456.12万元，</w:t>
      </w:r>
      <w:r>
        <w:rPr>
          <w:rFonts w:ascii="仿宋_GB2312" w:hAnsi="仿宋_GB2312" w:eastAsia="仿宋_GB2312"/>
          <w:b w:val="0"/>
          <w:sz w:val="32"/>
        </w:rPr>
        <w:t>其中：财政拨款收入154.56万元，占33.89%；上级补助收入0.00万元，占0.00%；事业收入0.00万元，占0.00%；经营收入0.00万元，占0.00%；附属单位上缴收入0.00万元，占0.00%；其他收入301.56万元，占66.11%。</w:t>
      </w:r>
    </w:p>
    <w:p w14:paraId="7E2B1089">
      <w:pPr>
        <w:spacing w:line="640" w:lineRule="exact"/>
        <w:ind w:firstLine="640"/>
        <w:jc w:val="both"/>
        <w:outlineLvl w:val="2"/>
      </w:pPr>
      <w:r>
        <w:rPr>
          <w:rFonts w:ascii="黑体" w:hAnsi="黑体" w:eastAsia="黑体"/>
          <w:sz w:val="32"/>
        </w:rPr>
        <w:t>三、支出决算情况说明</w:t>
      </w:r>
    </w:p>
    <w:p w14:paraId="725102C1">
      <w:pPr>
        <w:spacing w:line="580" w:lineRule="exact"/>
        <w:ind w:firstLine="640"/>
        <w:jc w:val="both"/>
      </w:pPr>
      <w:r>
        <w:rPr>
          <w:rFonts w:ascii="仿宋_GB2312" w:hAnsi="仿宋_GB2312" w:eastAsia="仿宋_GB2312"/>
          <w:b/>
          <w:sz w:val="32"/>
        </w:rPr>
        <w:t>本年支出483.92万元，</w:t>
      </w:r>
      <w:r>
        <w:rPr>
          <w:rFonts w:ascii="仿宋_GB2312" w:hAnsi="仿宋_GB2312" w:eastAsia="仿宋_GB2312"/>
          <w:b w:val="0"/>
          <w:sz w:val="32"/>
        </w:rPr>
        <w:t>其中：基本支出154.56万元，占31.94%；项目支出329.36万元，占68.06%；上缴上级支出0.00万元，占0.00%；经营支出0.00万元，占0.00%；对附属单位补助支出0.00万元，占0.00%。</w:t>
      </w:r>
    </w:p>
    <w:p w14:paraId="7B47CF21">
      <w:pPr>
        <w:spacing w:line="640" w:lineRule="exact"/>
        <w:ind w:firstLine="640"/>
        <w:jc w:val="both"/>
        <w:outlineLvl w:val="2"/>
      </w:pPr>
      <w:r>
        <w:rPr>
          <w:rFonts w:ascii="黑体" w:hAnsi="黑体" w:eastAsia="黑体"/>
          <w:sz w:val="32"/>
        </w:rPr>
        <w:t>四、财政拨款收入支出决算总体情况说明</w:t>
      </w:r>
    </w:p>
    <w:p w14:paraId="4E222225">
      <w:pPr>
        <w:spacing w:line="580" w:lineRule="exact"/>
        <w:ind w:firstLine="640"/>
        <w:jc w:val="both"/>
      </w:pPr>
      <w:r>
        <w:rPr>
          <w:rFonts w:ascii="仿宋_GB2312" w:hAnsi="仿宋_GB2312" w:eastAsia="仿宋_GB2312"/>
          <w:b/>
          <w:sz w:val="32"/>
        </w:rPr>
        <w:t>2024年度财政拨款收入总计154.56万元，</w:t>
      </w:r>
      <w:r>
        <w:rPr>
          <w:rFonts w:ascii="仿宋_GB2312" w:hAnsi="仿宋_GB2312" w:eastAsia="仿宋_GB2312"/>
          <w:b w:val="0"/>
          <w:sz w:val="32"/>
        </w:rPr>
        <w:t>其中：年初财政拨款结转和结余0.00万元，本年财政拨款收入154.56万元。</w:t>
      </w:r>
      <w:r>
        <w:rPr>
          <w:rFonts w:ascii="仿宋_GB2312" w:hAnsi="仿宋_GB2312" w:eastAsia="仿宋_GB2312"/>
          <w:b/>
          <w:sz w:val="32"/>
        </w:rPr>
        <w:t>财政拨款支出总计154.56万元，</w:t>
      </w:r>
      <w:r>
        <w:rPr>
          <w:rFonts w:ascii="仿宋_GB2312" w:hAnsi="仿宋_GB2312" w:eastAsia="仿宋_GB2312"/>
          <w:b w:val="0"/>
          <w:sz w:val="32"/>
        </w:rPr>
        <w:t>其中：年末财政拨款结转和结余0.00万元，本年财政拨款支出154.56万元。</w:t>
      </w:r>
    </w:p>
    <w:p w14:paraId="5D59E2B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增加154.56万元，增长100.00%，主要原因是：本单位为新增单位，无上年数据。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年初预算数137.16万元，决算数154.56万元，预决算差异率12.69%，主要原因是：年中追加人员工资、社保、公积金基数调增部分资金，导致预决算差异。</w:t>
      </w:r>
    </w:p>
    <w:p w14:paraId="5B77E465">
      <w:pPr>
        <w:spacing w:line="640" w:lineRule="exact"/>
        <w:ind w:firstLine="640"/>
        <w:jc w:val="both"/>
        <w:outlineLvl w:val="2"/>
      </w:pPr>
      <w:r>
        <w:rPr>
          <w:rFonts w:ascii="黑体" w:hAnsi="黑体" w:eastAsia="黑体"/>
          <w:sz w:val="32"/>
        </w:rPr>
        <w:t>五、一般公共预算财政拨款支出决算情况说明</w:t>
      </w:r>
    </w:p>
    <w:p w14:paraId="79053B41">
      <w:pPr>
        <w:spacing w:line="640" w:lineRule="exact"/>
        <w:ind w:firstLine="640"/>
        <w:jc w:val="both"/>
        <w:outlineLvl w:val="3"/>
      </w:pPr>
      <w:r>
        <w:rPr>
          <w:rFonts w:ascii="楷体_GB2312" w:hAnsi="楷体_GB2312" w:eastAsia="楷体_GB2312"/>
          <w:b/>
          <w:sz w:val="32"/>
        </w:rPr>
        <w:t>（一）一般公共预算财政拨款支出决算总体情况</w:t>
      </w:r>
    </w:p>
    <w:p w14:paraId="36F34BCC">
      <w:pPr>
        <w:spacing w:line="580" w:lineRule="exact"/>
        <w:ind w:firstLine="640"/>
        <w:jc w:val="both"/>
      </w:pPr>
      <w:r>
        <w:rPr>
          <w:rFonts w:ascii="仿宋_GB2312" w:hAnsi="仿宋_GB2312" w:eastAsia="仿宋_GB2312"/>
          <w:b/>
          <w:sz w:val="32"/>
        </w:rPr>
        <w:t>2024年度一般公共预算财政拨款支出154.56万元，</w:t>
      </w:r>
      <w:r>
        <w:rPr>
          <w:rFonts w:ascii="仿宋_GB2312" w:hAnsi="仿宋_GB2312" w:eastAsia="仿宋_GB2312"/>
          <w:b w:val="0"/>
          <w:sz w:val="32"/>
        </w:rPr>
        <w:t>占本年支出合计的31.94%。</w:t>
      </w:r>
      <w:r>
        <w:rPr>
          <w:rFonts w:ascii="仿宋_GB2312" w:hAnsi="仿宋_GB2312" w:eastAsia="仿宋_GB2312"/>
          <w:b/>
          <w:sz w:val="32"/>
        </w:rPr>
        <w:t>与上年相比，</w:t>
      </w:r>
      <w:r>
        <w:rPr>
          <w:rFonts w:ascii="仿宋_GB2312" w:hAnsi="仿宋_GB2312" w:eastAsia="仿宋_GB2312"/>
          <w:b w:val="0"/>
          <w:sz w:val="32"/>
        </w:rPr>
        <w:t>增加154.56万元，增长100.00%，主要原因是：本单位为新增单位，无上年数据。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年初预算数137.16万元，决算数154.56万元，预决算差异率12.69%，主要原因是：年中追加人员工资、社保、公积金基数调增部分资金，导致预决算差异。</w:t>
      </w:r>
    </w:p>
    <w:p w14:paraId="3A588D3D">
      <w:pPr>
        <w:spacing w:line="640" w:lineRule="exact"/>
        <w:ind w:firstLine="640"/>
        <w:jc w:val="both"/>
        <w:outlineLvl w:val="3"/>
      </w:pPr>
      <w:r>
        <w:rPr>
          <w:rFonts w:ascii="楷体_GB2312" w:hAnsi="楷体_GB2312" w:eastAsia="楷体_GB2312"/>
          <w:b/>
          <w:sz w:val="32"/>
        </w:rPr>
        <w:t>（二）一般公共预算财政拨款支出决算结构情况</w:t>
      </w:r>
    </w:p>
    <w:p w14:paraId="553AFA0D">
      <w:pPr>
        <w:spacing w:line="580" w:lineRule="exact"/>
        <w:ind w:firstLine="640"/>
        <w:jc w:val="both"/>
      </w:pPr>
      <w:r>
        <w:rPr>
          <w:rFonts w:ascii="仿宋_GB2312" w:hAnsi="仿宋_GB2312" w:eastAsia="仿宋_GB2312"/>
          <w:b w:val="0"/>
          <w:sz w:val="32"/>
        </w:rPr>
        <w:t>1.教育支出(类)120.61万元,占78.03%。</w:t>
      </w:r>
    </w:p>
    <w:p w14:paraId="2409D661">
      <w:pPr>
        <w:spacing w:line="580" w:lineRule="exact"/>
        <w:ind w:firstLine="640"/>
        <w:jc w:val="both"/>
      </w:pPr>
      <w:r>
        <w:rPr>
          <w:rFonts w:ascii="仿宋_GB2312" w:hAnsi="仿宋_GB2312" w:eastAsia="仿宋_GB2312"/>
          <w:b w:val="0"/>
          <w:sz w:val="32"/>
        </w:rPr>
        <w:t>2.社会保障和就业支出(类)16.64万元,占10.77%。</w:t>
      </w:r>
    </w:p>
    <w:p w14:paraId="4FBC0A86">
      <w:pPr>
        <w:spacing w:line="580" w:lineRule="exact"/>
        <w:ind w:firstLine="640"/>
        <w:jc w:val="both"/>
      </w:pPr>
      <w:r>
        <w:rPr>
          <w:rFonts w:ascii="仿宋_GB2312" w:hAnsi="仿宋_GB2312" w:eastAsia="仿宋_GB2312"/>
          <w:b w:val="0"/>
          <w:sz w:val="32"/>
        </w:rPr>
        <w:t>3.卫生健康支出(类)4.83万元,占3.12%。</w:t>
      </w:r>
    </w:p>
    <w:p w14:paraId="04A4C598">
      <w:pPr>
        <w:spacing w:line="580" w:lineRule="exact"/>
        <w:ind w:firstLine="640"/>
        <w:jc w:val="both"/>
      </w:pPr>
      <w:r>
        <w:rPr>
          <w:rFonts w:ascii="仿宋_GB2312" w:hAnsi="仿宋_GB2312" w:eastAsia="仿宋_GB2312"/>
          <w:b w:val="0"/>
          <w:sz w:val="32"/>
        </w:rPr>
        <w:t>4.住房保障支出(类)12.48万元,占8.07%。</w:t>
      </w:r>
    </w:p>
    <w:p w14:paraId="238AD447">
      <w:pPr>
        <w:spacing w:line="640" w:lineRule="exact"/>
        <w:ind w:firstLine="640"/>
        <w:jc w:val="both"/>
        <w:outlineLvl w:val="3"/>
      </w:pPr>
      <w:r>
        <w:rPr>
          <w:rFonts w:ascii="楷体_GB2312" w:hAnsi="楷体_GB2312" w:eastAsia="楷体_GB2312"/>
          <w:b/>
          <w:sz w:val="32"/>
        </w:rPr>
        <w:t>（三）一般公共预算财政拨款支出决算具体情况</w:t>
      </w:r>
    </w:p>
    <w:p w14:paraId="1250D562">
      <w:pPr>
        <w:spacing w:line="580" w:lineRule="exact"/>
        <w:ind w:firstLine="640"/>
        <w:jc w:val="both"/>
      </w:pPr>
      <w:r>
        <w:rPr>
          <w:rFonts w:ascii="仿宋_GB2312" w:hAnsi="仿宋_GB2312" w:eastAsia="仿宋_GB2312"/>
          <w:b w:val="0"/>
          <w:sz w:val="32"/>
        </w:rPr>
        <w:t>1.教育支出(类)教育管理事务(款)机关服务(项):支出决算数为120.61万元，比上年决算增加120.61万元，增长100.00%,主要原因是：本单位为新增单位，无上年数据。</w:t>
      </w:r>
    </w:p>
    <w:p w14:paraId="795012C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2.社会保障和就业支出(类)行政事业单位养老支出(款)机关事业单位基本养老保险缴费支出(项):支出决算数为15.84万元，比上年决算增加15.84万元，增长100.00%,主要原因是：本单位为新增单位，无上年数据。</w:t>
      </w:r>
    </w:p>
    <w:p w14:paraId="1F5164A6">
      <w:pPr>
        <w:spacing w:line="580" w:lineRule="exact"/>
        <w:ind w:firstLine="640"/>
        <w:jc w:val="both"/>
      </w:pPr>
      <w:r>
        <w:rPr>
          <w:rFonts w:ascii="仿宋_GB2312" w:hAnsi="仿宋_GB2312" w:eastAsia="仿宋_GB2312"/>
          <w:b w:val="0"/>
          <w:sz w:val="32"/>
        </w:rPr>
        <w:t>3.社会保障和就业支出(类)其他社会保障和就业支出(款)其他社会保障和就业支出(项):支出决算数为0.80万元，比上年决算增加0.80万元，增长100.00%,主要原因是：本单位为新增单位，无上年数据。</w:t>
      </w:r>
    </w:p>
    <w:p w14:paraId="3772AABB">
      <w:pPr>
        <w:spacing w:line="580" w:lineRule="exact"/>
        <w:ind w:firstLine="640"/>
        <w:jc w:val="both"/>
      </w:pPr>
      <w:r>
        <w:rPr>
          <w:rFonts w:ascii="仿宋_GB2312" w:hAnsi="仿宋_GB2312" w:eastAsia="仿宋_GB2312"/>
          <w:b w:val="0"/>
          <w:sz w:val="32"/>
        </w:rPr>
        <w:t>4.卫生健康支出(类)行政事业单位医疗(款)事业单位医疗(项):支出决算数为4.83万元，比上年决算增加4.83万元，增长100.00%,主要原因是：本单位为新增单位，无上年数据。</w:t>
      </w:r>
    </w:p>
    <w:p w14:paraId="01CFCC35">
      <w:pPr>
        <w:spacing w:line="580" w:lineRule="exact"/>
        <w:ind w:firstLine="640"/>
        <w:jc w:val="both"/>
      </w:pPr>
      <w:r>
        <w:rPr>
          <w:rFonts w:ascii="仿宋_GB2312" w:hAnsi="仿宋_GB2312" w:eastAsia="仿宋_GB2312"/>
          <w:b w:val="0"/>
          <w:sz w:val="32"/>
        </w:rPr>
        <w:t>5.住房保障支出(类)住房改革支出(款)住房公积金(项):支出决算数为12.48万元，比上年决算增加12.48万元，增长100.00%,主要原因是：本单位为新增单位，无上年数据。</w:t>
      </w:r>
    </w:p>
    <w:p w14:paraId="2AB68C78">
      <w:pPr>
        <w:spacing w:line="640" w:lineRule="exact"/>
        <w:ind w:firstLine="640"/>
        <w:jc w:val="both"/>
        <w:outlineLvl w:val="2"/>
      </w:pPr>
      <w:r>
        <w:rPr>
          <w:rFonts w:ascii="黑体" w:hAnsi="黑体" w:eastAsia="黑体"/>
          <w:sz w:val="32"/>
        </w:rPr>
        <w:t>六、一般公共预算财政拨款基本支出决算情况说明</w:t>
      </w:r>
    </w:p>
    <w:p w14:paraId="6777EE26">
      <w:pPr>
        <w:spacing w:line="580" w:lineRule="exact"/>
        <w:ind w:firstLine="640"/>
        <w:jc w:val="both"/>
      </w:pPr>
      <w:r>
        <w:rPr>
          <w:rFonts w:ascii="仿宋_GB2312" w:hAnsi="仿宋_GB2312" w:eastAsia="仿宋_GB2312"/>
          <w:b w:val="0"/>
          <w:sz w:val="32"/>
        </w:rPr>
        <w:t>2024年度一般公共预算财政拨款基本支出154.56万元，其中：</w:t>
      </w:r>
      <w:r>
        <w:rPr>
          <w:rFonts w:ascii="仿宋_GB2312" w:hAnsi="仿宋_GB2312" w:eastAsia="仿宋_GB2312"/>
          <w:b/>
          <w:sz w:val="32"/>
        </w:rPr>
        <w:t>人员经费150.43万元，</w:t>
      </w:r>
      <w:r>
        <w:rPr>
          <w:rFonts w:ascii="仿宋_GB2312" w:hAnsi="仿宋_GB2312" w:eastAsia="仿宋_GB2312"/>
          <w:b w:val="0"/>
          <w:sz w:val="32"/>
        </w:rPr>
        <w:t>包括：基本工资、津贴补贴、奖金、机关事业单位基本养老保险缴费、职工基本医疗保险缴费、其他社会保障缴费、住房公积金、奖励金。</w:t>
      </w:r>
    </w:p>
    <w:p w14:paraId="5D3139A7">
      <w:pPr>
        <w:spacing w:line="580" w:lineRule="exact"/>
        <w:ind w:firstLine="640"/>
        <w:jc w:val="both"/>
      </w:pPr>
      <w:r>
        <w:rPr>
          <w:rFonts w:ascii="仿宋_GB2312" w:hAnsi="仿宋_GB2312" w:eastAsia="仿宋_GB2312"/>
          <w:b/>
          <w:sz w:val="32"/>
        </w:rPr>
        <w:t>公用经费4.13万元，</w:t>
      </w:r>
      <w:r>
        <w:rPr>
          <w:rFonts w:ascii="仿宋_GB2312" w:hAnsi="仿宋_GB2312" w:eastAsia="仿宋_GB2312"/>
          <w:b w:val="0"/>
          <w:sz w:val="32"/>
        </w:rPr>
        <w:t>包括：办公费、工会经费、福利费。</w:t>
      </w:r>
    </w:p>
    <w:p w14:paraId="090D12BB">
      <w:pPr>
        <w:spacing w:line="640" w:lineRule="exact"/>
        <w:ind w:firstLine="640"/>
        <w:jc w:val="both"/>
        <w:outlineLvl w:val="2"/>
      </w:pPr>
      <w:r>
        <w:rPr>
          <w:rFonts w:ascii="黑体" w:hAnsi="黑体" w:eastAsia="黑体"/>
          <w:sz w:val="32"/>
        </w:rPr>
        <w:t>七、政府性基金预算财政拨款收入支出决算情况说明</w:t>
      </w:r>
    </w:p>
    <w:p w14:paraId="3B354FD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53DEF2F">
      <w:pPr>
        <w:spacing w:line="640" w:lineRule="exact"/>
        <w:ind w:firstLine="640"/>
        <w:jc w:val="both"/>
        <w:outlineLvl w:val="2"/>
      </w:pPr>
      <w:r>
        <w:rPr>
          <w:rFonts w:ascii="黑体" w:hAnsi="黑体" w:eastAsia="黑体"/>
          <w:sz w:val="32"/>
        </w:rPr>
        <w:t>八、国有资本经营预算财政拨款收入支出决算情况说明</w:t>
      </w:r>
    </w:p>
    <w:p w14:paraId="43C1EA0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249742">
      <w:pPr>
        <w:spacing w:line="640" w:lineRule="exact"/>
        <w:ind w:firstLine="640"/>
        <w:jc w:val="both"/>
        <w:outlineLvl w:val="2"/>
      </w:pPr>
      <w:r>
        <w:rPr>
          <w:rFonts w:ascii="黑体" w:hAnsi="黑体" w:eastAsia="黑体"/>
          <w:sz w:val="32"/>
        </w:rPr>
        <w:t>九、财政拨款“三公”经费支出决算情况说明</w:t>
      </w:r>
    </w:p>
    <w:p w14:paraId="0912657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2E6E79EF">
      <w:pPr>
        <w:spacing w:line="580" w:lineRule="exact"/>
        <w:ind w:firstLine="640"/>
        <w:jc w:val="both"/>
      </w:pPr>
      <w:r>
        <w:rPr>
          <w:rFonts w:ascii="仿宋_GB2312" w:hAnsi="仿宋_GB2312" w:eastAsia="仿宋_GB2312"/>
          <w:b/>
          <w:sz w:val="32"/>
        </w:rPr>
        <w:t>具体情况如下：</w:t>
      </w:r>
    </w:p>
    <w:p w14:paraId="76CAC75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65E9A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4FA1F6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CDC5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D731352">
      <w:pPr>
        <w:spacing w:line="640" w:lineRule="exact"/>
        <w:ind w:firstLine="640"/>
        <w:jc w:val="both"/>
        <w:outlineLvl w:val="2"/>
      </w:pPr>
      <w:r>
        <w:rPr>
          <w:rFonts w:ascii="黑体" w:hAnsi="黑体" w:eastAsia="黑体"/>
          <w:sz w:val="32"/>
        </w:rPr>
        <w:t>十、其他重要事项的情况说明</w:t>
      </w:r>
    </w:p>
    <w:p w14:paraId="3DE19C27">
      <w:pPr>
        <w:spacing w:line="640" w:lineRule="exact"/>
        <w:ind w:firstLine="640"/>
        <w:jc w:val="both"/>
        <w:outlineLvl w:val="3"/>
      </w:pPr>
      <w:r>
        <w:rPr>
          <w:rFonts w:ascii="楷体_GB2312" w:hAnsi="楷体_GB2312" w:eastAsia="楷体_GB2312"/>
          <w:b/>
          <w:sz w:val="32"/>
        </w:rPr>
        <w:t>（一）机关运行经费及公用经费支出情况</w:t>
      </w:r>
    </w:p>
    <w:p w14:paraId="00700FD7">
      <w:pPr>
        <w:spacing w:line="580" w:lineRule="exact"/>
        <w:ind w:firstLine="640"/>
        <w:jc w:val="both"/>
      </w:pPr>
      <w:r>
        <w:rPr>
          <w:rFonts w:ascii="仿宋_GB2312" w:hAnsi="仿宋_GB2312" w:eastAsia="仿宋_GB2312"/>
          <w:b w:val="0"/>
          <w:sz w:val="32"/>
        </w:rPr>
        <w:t>2024年度克孜勒苏柯尔克孜自治州教师培训中心（事业单位）公用经费支出4.13万元，比上年增加4.13万元，增长100.00%，主要原因是：本单位为新增单位，无上年数据。</w:t>
      </w:r>
    </w:p>
    <w:p w14:paraId="316BC8EE">
      <w:pPr>
        <w:spacing w:line="640" w:lineRule="exact"/>
        <w:ind w:firstLine="640"/>
        <w:jc w:val="both"/>
        <w:outlineLvl w:val="3"/>
      </w:pPr>
      <w:r>
        <w:rPr>
          <w:rFonts w:ascii="楷体_GB2312" w:hAnsi="楷体_GB2312" w:eastAsia="楷体_GB2312"/>
          <w:b/>
          <w:sz w:val="32"/>
        </w:rPr>
        <w:t>（二）政府采购情况</w:t>
      </w:r>
    </w:p>
    <w:p w14:paraId="76DD0FFB">
      <w:pPr>
        <w:spacing w:line="580" w:lineRule="exact"/>
        <w:ind w:firstLine="640"/>
        <w:jc w:val="both"/>
      </w:pPr>
      <w:r>
        <w:rPr>
          <w:rFonts w:ascii="仿宋_GB2312" w:hAnsi="仿宋_GB2312" w:eastAsia="仿宋_GB2312"/>
          <w:b w:val="0"/>
          <w:sz w:val="32"/>
        </w:rPr>
        <w:t>2024年度政府采购支出总额217.36万元，其中：政府采购货物支出0.76万元、政府采购工程支出0.00万元、政府采购服务支出216.61万元。</w:t>
      </w:r>
    </w:p>
    <w:p w14:paraId="69A3628B">
      <w:pPr>
        <w:spacing w:line="580" w:lineRule="exact"/>
        <w:ind w:firstLine="640"/>
        <w:jc w:val="both"/>
      </w:pPr>
      <w:r>
        <w:rPr>
          <w:rFonts w:ascii="仿宋_GB2312" w:hAnsi="仿宋_GB2312" w:eastAsia="仿宋_GB2312"/>
          <w:b w:val="0"/>
          <w:sz w:val="32"/>
        </w:rPr>
        <w:t>授予中小企业合同金额31.38万元，占政府采购支出总额的14.44%，其中：授予小微企业合同金额0.78万元，占政府采购支出总额的0.36%。</w:t>
      </w:r>
    </w:p>
    <w:p w14:paraId="619D18A0">
      <w:pPr>
        <w:spacing w:line="640" w:lineRule="exact"/>
        <w:ind w:firstLine="640"/>
        <w:jc w:val="both"/>
        <w:outlineLvl w:val="3"/>
      </w:pPr>
      <w:r>
        <w:rPr>
          <w:rFonts w:ascii="楷体_GB2312" w:hAnsi="楷体_GB2312" w:eastAsia="楷体_GB2312"/>
          <w:b/>
          <w:sz w:val="32"/>
        </w:rPr>
        <w:t>（三）国有资产占用情况说明</w:t>
      </w:r>
    </w:p>
    <w:p w14:paraId="10780CB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9C65B9B">
      <w:pPr>
        <w:spacing w:line="640" w:lineRule="exact"/>
        <w:ind w:firstLine="640"/>
        <w:jc w:val="both"/>
        <w:outlineLvl w:val="2"/>
      </w:pPr>
      <w:r>
        <w:rPr>
          <w:rFonts w:ascii="黑体" w:hAnsi="黑体" w:eastAsia="黑体"/>
          <w:sz w:val="32"/>
        </w:rPr>
        <w:t>十一、预算绩效的情况说明</w:t>
      </w:r>
    </w:p>
    <w:p w14:paraId="20D03C4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563.13万元，实际执行总额483.92万元；预算绩效评价项目1个，全年预算数408.67万元，全年执行数329.36万元。预算绩效管理取得的成效：预算绩效管理通过构建全过程管理机制，有效提升了财政资金使用效益，强化了支出责任与效率意识，推动政策目标更精准落地，既保障了重点领域投入效能，也促进了公共服务质量与群众满意度的提升，为财政资源科学配置和政府治理效能优化提供了有力支撑。发现的问题及原因：1.部分业务人员绩效管理意识有待增强，未能全面深入认识理解绩效管理工作的意义。绩效管理经验不足，预算绩效管理工作有待进一步落实。2.绩效指标的明确性、可衡量性、相关性还需进一步提升。预算精细化管理还需完善，预算编制管理水平仍有进一步提升的空间。下一步改进措施：1.继续加大绩效工作宣传力度，强化绩效理念。2.继续完善绩效指标，提高整体绩效目标质量。提升预算精细化管理水平。3.继续完善预算绩效管理相关工作制度，建立全过程预算绩效管理链条，有效贯彻落实全面实施绩效管理的精神。具体附整体支出绩效自评表，项目支出绩效自评表和评价报告。</w:t>
      </w:r>
    </w:p>
    <w:p w14:paraId="643AC27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B7E6964">
        <w:tblPrEx>
          <w:tblCellMar>
            <w:top w:w="0" w:type="dxa"/>
            <w:left w:w="108" w:type="dxa"/>
            <w:bottom w:w="0" w:type="dxa"/>
            <w:right w:w="108" w:type="dxa"/>
          </w:tblCellMar>
        </w:tblPrEx>
        <w:tc>
          <w:tcPr>
            <w:tcW w:w="8840" w:type="dxa"/>
            <w:gridSpan w:val="8"/>
            <w:vAlign w:val="center"/>
          </w:tcPr>
          <w:p w14:paraId="7625B933">
            <w:pPr>
              <w:jc w:val="center"/>
            </w:pPr>
            <w:r>
              <w:rPr>
                <w:rFonts w:ascii="宋体" w:hAnsi="宋体" w:eastAsia="宋体"/>
                <w:sz w:val="24"/>
              </w:rPr>
              <w:t>单位整体支出绩效自评表</w:t>
            </w:r>
          </w:p>
        </w:tc>
      </w:tr>
      <w:tr w14:paraId="1F74921F">
        <w:tblPrEx>
          <w:tblCellMar>
            <w:top w:w="0" w:type="dxa"/>
            <w:left w:w="108" w:type="dxa"/>
            <w:bottom w:w="0" w:type="dxa"/>
            <w:right w:w="108" w:type="dxa"/>
          </w:tblCellMar>
        </w:tblPrEx>
        <w:tc>
          <w:tcPr>
            <w:tcW w:w="8840" w:type="dxa"/>
            <w:gridSpan w:val="8"/>
            <w:vAlign w:val="center"/>
          </w:tcPr>
          <w:p w14:paraId="0485FE5C">
            <w:pPr>
              <w:jc w:val="center"/>
            </w:pPr>
            <w:r>
              <w:rPr>
                <w:rFonts w:ascii="宋体" w:hAnsi="宋体" w:eastAsia="宋体"/>
                <w:sz w:val="24"/>
              </w:rPr>
              <w:t>（2024年度）</w:t>
            </w:r>
          </w:p>
        </w:tc>
      </w:tr>
      <w:tr w14:paraId="0D3350E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9D6C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B274D0">
            <w:pPr>
              <w:jc w:val="center"/>
            </w:pPr>
            <w:r>
              <w:rPr>
                <w:rFonts w:ascii="宋体" w:hAnsi="宋体" w:eastAsia="宋体"/>
                <w:sz w:val="16"/>
              </w:rPr>
              <w:t>克孜勒苏柯尔克孜自治州教师培训中心</w:t>
            </w:r>
          </w:p>
        </w:tc>
      </w:tr>
      <w:tr w14:paraId="2A60A84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D441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EC11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2DFA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7CBA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BDB4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DF03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CBE6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3A50B">
            <w:pPr>
              <w:jc w:val="center"/>
            </w:pPr>
            <w:r>
              <w:rPr>
                <w:rFonts w:ascii="宋体" w:hAnsi="宋体" w:eastAsia="宋体"/>
                <w:sz w:val="16"/>
              </w:rPr>
              <w:t>得分</w:t>
            </w:r>
          </w:p>
        </w:tc>
      </w:tr>
      <w:tr w14:paraId="0514E5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7DF0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8070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DEA86">
            <w:pPr>
              <w:jc w:val="center"/>
            </w:pPr>
            <w:r>
              <w:rPr>
                <w:rFonts w:ascii="宋体" w:hAnsi="宋体" w:eastAsia="宋体"/>
                <w:sz w:val="16"/>
              </w:rPr>
              <w:t>800.27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0759B">
            <w:pPr>
              <w:jc w:val="center"/>
            </w:pPr>
            <w:r>
              <w:rPr>
                <w:rFonts w:ascii="宋体" w:hAnsi="宋体" w:eastAsia="宋体"/>
                <w:sz w:val="16"/>
              </w:rPr>
              <w:t>563.13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1ACD1">
            <w:pPr>
              <w:jc w:val="center"/>
            </w:pPr>
            <w:r>
              <w:rPr>
                <w:rFonts w:ascii="宋体" w:hAnsi="宋体" w:eastAsia="宋体"/>
                <w:sz w:val="16"/>
              </w:rPr>
              <w:t>483.92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E633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374E1">
            <w:pPr>
              <w:jc w:val="center"/>
            </w:pPr>
            <w:r>
              <w:rPr>
                <w:rFonts w:ascii="宋体" w:hAnsi="宋体" w:eastAsia="宋体"/>
                <w:sz w:val="16"/>
              </w:rPr>
              <w:t>85.93%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7F7D2">
            <w:pPr>
              <w:jc w:val="center"/>
              <w:rPr>
                <w:rFonts w:hint="default" w:eastAsia="宋体"/>
                <w:lang w:val="en-US" w:eastAsia="zh-CN"/>
              </w:rPr>
            </w:pPr>
            <w:r>
              <w:rPr>
                <w:rFonts w:hint="eastAsia" w:ascii="宋体" w:hAnsi="宋体"/>
                <w:sz w:val="16"/>
                <w:lang w:val="en-US" w:eastAsia="zh-CN"/>
              </w:rPr>
              <w:t>8.59</w:t>
            </w:r>
          </w:p>
        </w:tc>
      </w:tr>
      <w:tr w14:paraId="1E1969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57A4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A5FE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B889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8270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C76E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4E26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9DA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122A2">
            <w:pPr>
              <w:jc w:val="center"/>
            </w:pPr>
            <w:r>
              <w:rPr>
                <w:rFonts w:ascii="宋体" w:hAnsi="宋体" w:eastAsia="宋体"/>
                <w:sz w:val="16"/>
              </w:rPr>
              <w:t>—</w:t>
            </w:r>
          </w:p>
        </w:tc>
      </w:tr>
      <w:tr w14:paraId="041373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A4EA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434E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E0DA2">
            <w:pPr>
              <w:jc w:val="center"/>
            </w:pPr>
            <w:r>
              <w:rPr>
                <w:rFonts w:ascii="宋体" w:hAnsi="宋体" w:eastAsia="宋体"/>
                <w:sz w:val="16"/>
              </w:rPr>
              <w:t>137.16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3C7E7">
            <w:pPr>
              <w:jc w:val="center"/>
            </w:pPr>
            <w:r>
              <w:rPr>
                <w:rFonts w:ascii="宋体" w:hAnsi="宋体" w:eastAsia="宋体"/>
                <w:sz w:val="16"/>
              </w:rPr>
              <w:t>154.56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77A50">
            <w:pPr>
              <w:jc w:val="center"/>
            </w:pPr>
            <w:r>
              <w:rPr>
                <w:rFonts w:ascii="宋体" w:hAnsi="宋体" w:eastAsia="宋体"/>
                <w:sz w:val="16"/>
              </w:rPr>
              <w:t>154.56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A00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23E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B25BF">
            <w:pPr>
              <w:jc w:val="center"/>
            </w:pPr>
            <w:r>
              <w:rPr>
                <w:rFonts w:ascii="宋体" w:hAnsi="宋体" w:eastAsia="宋体"/>
                <w:sz w:val="16"/>
              </w:rPr>
              <w:t>—</w:t>
            </w:r>
          </w:p>
        </w:tc>
      </w:tr>
      <w:tr w14:paraId="3940BF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5D6A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92D2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70B6B">
            <w:pPr>
              <w:jc w:val="center"/>
            </w:pPr>
            <w:r>
              <w:rPr>
                <w:rFonts w:ascii="宋体" w:hAnsi="宋体" w:eastAsia="宋体"/>
                <w:sz w:val="16"/>
              </w:rPr>
              <w:t>663.11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35A86">
            <w:pPr>
              <w:jc w:val="center"/>
            </w:pPr>
            <w:r>
              <w:rPr>
                <w:rFonts w:ascii="宋体" w:hAnsi="宋体" w:eastAsia="宋体"/>
                <w:sz w:val="16"/>
              </w:rPr>
              <w:t>408.57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B95FF">
            <w:pPr>
              <w:jc w:val="center"/>
            </w:pPr>
            <w:r>
              <w:rPr>
                <w:rFonts w:ascii="宋体" w:hAnsi="宋体" w:eastAsia="宋体"/>
                <w:sz w:val="16"/>
              </w:rPr>
              <w:t>329.36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A6D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450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548D1">
            <w:pPr>
              <w:jc w:val="center"/>
            </w:pPr>
            <w:r>
              <w:rPr>
                <w:rFonts w:ascii="宋体" w:hAnsi="宋体" w:eastAsia="宋体"/>
                <w:sz w:val="16"/>
              </w:rPr>
              <w:t>—</w:t>
            </w:r>
          </w:p>
        </w:tc>
      </w:tr>
      <w:tr w14:paraId="2B9B788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4833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3E13D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779D45">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592ADC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25DAA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6340E9">
            <w:pPr>
              <w:jc w:val="both"/>
            </w:pPr>
            <w:r>
              <w:rPr>
                <w:rFonts w:ascii="宋体" w:hAnsi="宋体" w:eastAsia="宋体"/>
                <w:sz w:val="16"/>
              </w:rPr>
              <w:t>坚持以习近平新时代中国特色社会主义思想为指导，深入贯彻党的二十大精神，贯彻落实中央、自治区、自治州党委决策部署的各项重大工作决定和安排，充分发挥教育经费保障教育发展、推动教育改革、推进教育公平、提高教育质量的政策引领作用，全面实施“教育提升工程”，优化教育资源供给，优化学校布局，改善办学条件</w:t>
            </w:r>
            <w:r>
              <w:rPr>
                <w:rFonts w:hint="eastAsia" w:ascii="宋体" w:hAnsi="宋体"/>
                <w:sz w:val="16"/>
                <w:lang w:eastAsia="zh-CN"/>
              </w:rPr>
              <w:t>；</w:t>
            </w:r>
            <w:r>
              <w:rPr>
                <w:rFonts w:ascii="宋体" w:hAnsi="宋体" w:eastAsia="宋体"/>
                <w:sz w:val="16"/>
              </w:rPr>
              <w:t>人才培养水平和教育服务贡献能力显著增强，进一步优化结构、深化改革、强化监管，花好每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，把教育经费用到最关键处，切实提高教育经费使用效益，提高公用经费保障水平；完善城乡义务教育经费保障机制，保障中小学正常运转，保证学校校舍</w:t>
            </w:r>
            <w:r>
              <w:rPr>
                <w:rFonts w:hint="eastAsia" w:ascii="宋体" w:hAnsi="宋体"/>
                <w:sz w:val="16"/>
                <w:lang w:eastAsia="zh-CN"/>
              </w:rPr>
              <w:t>安全</w:t>
            </w:r>
            <w:r>
              <w:rPr>
                <w:rFonts w:ascii="宋体" w:hAnsi="宋体" w:eastAsia="宋体"/>
                <w:sz w:val="16"/>
              </w:rPr>
              <w:t>，全面推进国家通用语言文字教育和普及使用，不断提升各级各类学校教育全覆盖水平，在全社会大力营造学习使用的浓厚氛围。完成2024年培训计划的各级各类中小学幼儿园教师培训。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5B778C">
            <w:pPr>
              <w:jc w:val="both"/>
            </w:pPr>
            <w:r>
              <w:rPr>
                <w:rFonts w:ascii="宋体" w:hAnsi="宋体" w:eastAsia="宋体"/>
                <w:sz w:val="16"/>
              </w:rPr>
              <w:t>截至2023年12月31日，已完成，本年度我单位共组织培训30次，其中：语言文字类8期，640人；财务类1期，198人；德育类2期，256人；教育管理类4期56人；教育教学9期，2312人；校园安全1期，20人；新聘教师3期，1173人；信息技术类2期，731人。为提升中小学、幼儿园书记、校（园）长管理能力，将通过观摩+理论的方式开展培训。邀请教育管理</w:t>
            </w:r>
            <w:r>
              <w:rPr>
                <w:rFonts w:hint="eastAsia" w:ascii="宋体" w:hAnsi="宋体"/>
                <w:sz w:val="16"/>
                <w:lang w:eastAsia="zh-CN"/>
              </w:rPr>
              <w:t>领域专家</w:t>
            </w:r>
            <w:r>
              <w:rPr>
                <w:rFonts w:ascii="宋体" w:hAnsi="宋体" w:eastAsia="宋体"/>
                <w:sz w:val="16"/>
              </w:rPr>
              <w:t>、优秀校（园）长围绕党建引领、教育政策解读、校园安全管理、师资队伍建设等内容开展专题授课；组织实地观摩优质校园；学习先进管理经验；设置案例研讨、分组交流环节，推动参训人员结合实际工作分享管理思路与创新举措，助力其拓宽管理视野，提升综合治校能力。强化教师队伍综合素养，培训采用“多元融合”模式。设置师德师风建设、学科前沿知识、信息技术应用等课程，邀请专家开展理论讲座；组织教师参与教学技能实战演练、跨校联合教研，提升教学实践能力；引入心理健康辅导课程，关注教师身心发展与职业成长；助力教师持续自我提升，全方位打造高素质教师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通过以上工作的实施，保障了我单位7名职工的工资、福利及社保正常发放及缴纳，确保民生工作落实到位；保障我单位0辆公务用车的运行及维护，保障单位各项工作的正常运转，确保机构运转正常。</w:t>
            </w:r>
          </w:p>
        </w:tc>
      </w:tr>
      <w:tr w14:paraId="649F54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1B67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1C63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A2F7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E376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4D75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CAF2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143F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C7CC4">
            <w:pPr>
              <w:jc w:val="center"/>
            </w:pPr>
            <w:r>
              <w:rPr>
                <w:rFonts w:ascii="宋体" w:hAnsi="宋体" w:eastAsia="宋体"/>
                <w:sz w:val="16"/>
              </w:rPr>
              <w:t>得分</w:t>
            </w:r>
          </w:p>
        </w:tc>
      </w:tr>
      <w:tr w14:paraId="3FC3FD61">
        <w:tblPrEx>
          <w:tblCellMar>
            <w:top w:w="0" w:type="dxa"/>
            <w:left w:w="108" w:type="dxa"/>
            <w:bottom w:w="0" w:type="dxa"/>
            <w:right w:w="108" w:type="dxa"/>
          </w:tblCellMar>
        </w:tblPrEx>
        <w:trPr>
          <w:trHeight w:val="732" w:hRule="atLeast"/>
        </w:trP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0750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75BB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14184">
            <w:pPr>
              <w:jc w:val="center"/>
            </w:pPr>
            <w:r>
              <w:rPr>
                <w:rFonts w:ascii="宋体" w:hAnsi="宋体" w:eastAsia="宋体"/>
                <w:sz w:val="16"/>
              </w:rPr>
              <w:t>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175C1">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64557">
            <w:pPr>
              <w:jc w:val="center"/>
            </w:pPr>
            <w:r>
              <w:rPr>
                <w:rFonts w:ascii="宋体" w:hAnsi="宋体" w:eastAsia="宋体"/>
                <w:sz w:val="16"/>
              </w:rPr>
              <w:t>培训实施方案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049EE">
            <w:pPr>
              <w:jc w:val="center"/>
            </w:pPr>
            <w:r>
              <w:rPr>
                <w:rFonts w:ascii="宋体" w:hAnsi="宋体" w:eastAsia="宋体"/>
                <w:sz w:val="16"/>
              </w:rPr>
              <w:t>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42A0C">
            <w:pPr>
              <w:jc w:val="center"/>
            </w:pPr>
            <w:r>
              <w:rPr>
                <w:rFonts w:ascii="宋体" w:hAnsi="宋体" w:eastAsia="宋体"/>
                <w:sz w:val="16"/>
              </w:rPr>
              <w: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6C176">
            <w:pPr>
              <w:jc w:val="center"/>
            </w:pPr>
            <w:r>
              <w:rPr>
                <w:rFonts w:ascii="宋体" w:hAnsi="宋体" w:eastAsia="宋体"/>
                <w:sz w:val="16"/>
              </w:rPr>
              <w:t>40</w:t>
            </w:r>
          </w:p>
        </w:tc>
      </w:tr>
      <w:tr w14:paraId="34FE926B">
        <w:tblPrEx>
          <w:tblCellMar>
            <w:top w:w="0" w:type="dxa"/>
            <w:left w:w="108" w:type="dxa"/>
            <w:bottom w:w="0" w:type="dxa"/>
            <w:right w:w="108" w:type="dxa"/>
          </w:tblCellMar>
        </w:tblPrEx>
        <w:trPr>
          <w:trHeight w:val="1124"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9396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69FC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83653">
            <w:pPr>
              <w:jc w:val="center"/>
            </w:pPr>
            <w:r>
              <w:rPr>
                <w:rFonts w:ascii="宋体" w:hAnsi="宋体" w:eastAsia="宋体"/>
                <w:sz w:val="16"/>
              </w:rPr>
              <w:t>加强中小学、幼儿园书记、校（园）长管理能力</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24DB8">
            <w:pPr>
              <w:jc w:val="center"/>
            </w:pPr>
            <w:r>
              <w:rPr>
                <w:rFonts w:ascii="宋体" w:hAnsi="宋体" w:eastAsia="宋体"/>
                <w:sz w:val="16"/>
              </w:rPr>
              <w:t>&gt;=52人次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3DEAD">
            <w:pPr>
              <w:jc w:val="center"/>
            </w:pPr>
            <w:r>
              <w:rPr>
                <w:rFonts w:ascii="宋体" w:hAnsi="宋体" w:eastAsia="宋体"/>
                <w:sz w:val="16"/>
              </w:rPr>
              <w:t>培训实施方案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8601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8E42E">
            <w:pPr>
              <w:jc w:val="center"/>
            </w:pPr>
            <w:r>
              <w:rPr>
                <w:rFonts w:ascii="宋体" w:hAnsi="宋体" w:eastAsia="宋体"/>
                <w:sz w:val="16"/>
              </w:rPr>
              <w:t>56人次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59F79">
            <w:pPr>
              <w:jc w:val="center"/>
            </w:pPr>
            <w:r>
              <w:rPr>
                <w:rFonts w:ascii="宋体" w:hAnsi="宋体" w:eastAsia="宋体"/>
                <w:sz w:val="16"/>
              </w:rPr>
              <w:t>30</w:t>
            </w:r>
          </w:p>
        </w:tc>
      </w:tr>
      <w:tr w14:paraId="2E60DD0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255F2">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DF5B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CEC63">
            <w:pPr>
              <w:jc w:val="center"/>
            </w:pPr>
            <w:r>
              <w:rPr>
                <w:rFonts w:ascii="宋体" w:hAnsi="宋体" w:eastAsia="宋体"/>
                <w:sz w:val="16"/>
              </w:rPr>
              <w:t>强化教师队伍综合素养</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4E2B9">
            <w:pPr>
              <w:jc w:val="center"/>
            </w:pPr>
            <w:r>
              <w:rPr>
                <w:rFonts w:ascii="宋体" w:hAnsi="宋体" w:eastAsia="宋体"/>
                <w:sz w:val="16"/>
              </w:rPr>
              <w:t>&gt;=2700人次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8C4F0">
            <w:pPr>
              <w:jc w:val="center"/>
            </w:pPr>
            <w:r>
              <w:rPr>
                <w:rFonts w:ascii="宋体" w:hAnsi="宋体" w:eastAsia="宋体"/>
                <w:sz w:val="16"/>
              </w:rPr>
              <w:t>培训实施方案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6B34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779C03">
            <w:pPr>
              <w:jc w:val="center"/>
            </w:pPr>
            <w:r>
              <w:rPr>
                <w:rFonts w:ascii="宋体" w:hAnsi="宋体" w:eastAsia="宋体"/>
                <w:sz w:val="16"/>
              </w:rPr>
              <w:t>5386人次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82B55">
            <w:pPr>
              <w:jc w:val="center"/>
            </w:pPr>
            <w:r>
              <w:rPr>
                <w:rFonts w:ascii="宋体" w:hAnsi="宋体" w:eastAsia="宋体"/>
                <w:sz w:val="16"/>
              </w:rPr>
              <w:t>20</w:t>
            </w:r>
          </w:p>
        </w:tc>
      </w:tr>
    </w:tbl>
    <w:p w14:paraId="23C01219">
      <w:r>
        <w:br w:type="page"/>
      </w:r>
    </w:p>
    <w:tbl>
      <w:tblPr>
        <w:tblStyle w:val="9"/>
        <w:tblW w:w="0" w:type="auto"/>
        <w:tblInd w:w="0" w:type="dxa"/>
        <w:tblLayout w:type="autofit"/>
        <w:tblCellMar>
          <w:top w:w="0" w:type="dxa"/>
          <w:left w:w="108" w:type="dxa"/>
          <w:bottom w:w="0" w:type="dxa"/>
          <w:right w:w="108" w:type="dxa"/>
        </w:tblCellMar>
      </w:tblPr>
      <w:tblGrid>
        <w:gridCol w:w="626"/>
        <w:gridCol w:w="618"/>
        <w:gridCol w:w="618"/>
        <w:gridCol w:w="696"/>
        <w:gridCol w:w="776"/>
        <w:gridCol w:w="618"/>
        <w:gridCol w:w="618"/>
        <w:gridCol w:w="618"/>
        <w:gridCol w:w="618"/>
        <w:gridCol w:w="618"/>
        <w:gridCol w:w="776"/>
        <w:gridCol w:w="632"/>
        <w:gridCol w:w="601"/>
        <w:gridCol w:w="627"/>
      </w:tblGrid>
      <w:tr w14:paraId="11310A2F">
        <w:tblPrEx>
          <w:tblCellMar>
            <w:top w:w="0" w:type="dxa"/>
            <w:left w:w="108" w:type="dxa"/>
            <w:bottom w:w="0" w:type="dxa"/>
            <w:right w:w="108" w:type="dxa"/>
          </w:tblCellMar>
        </w:tblPrEx>
        <w:tc>
          <w:tcPr>
            <w:tcW w:w="8848" w:type="dxa"/>
            <w:gridSpan w:val="14"/>
            <w:vAlign w:val="center"/>
          </w:tcPr>
          <w:p w14:paraId="28A9AB0D">
            <w:pPr>
              <w:jc w:val="center"/>
            </w:pPr>
            <w:r>
              <w:rPr>
                <w:rFonts w:ascii="宋体" w:hAnsi="宋体" w:eastAsia="宋体"/>
                <w:sz w:val="24"/>
              </w:rPr>
              <w:t>项目支出绩效自评表</w:t>
            </w:r>
          </w:p>
        </w:tc>
      </w:tr>
      <w:tr w14:paraId="6A0D5327">
        <w:tblPrEx>
          <w:tblCellMar>
            <w:top w:w="0" w:type="dxa"/>
            <w:left w:w="108" w:type="dxa"/>
            <w:bottom w:w="0" w:type="dxa"/>
            <w:right w:w="108" w:type="dxa"/>
          </w:tblCellMar>
        </w:tblPrEx>
        <w:tc>
          <w:tcPr>
            <w:tcW w:w="8848" w:type="dxa"/>
            <w:gridSpan w:val="14"/>
            <w:vAlign w:val="center"/>
          </w:tcPr>
          <w:p w14:paraId="7A3E8ABC">
            <w:pPr>
              <w:jc w:val="center"/>
            </w:pPr>
            <w:r>
              <w:rPr>
                <w:rFonts w:ascii="宋体" w:hAnsi="宋体" w:eastAsia="宋体"/>
                <w:sz w:val="24"/>
              </w:rPr>
              <w:t>(2024年度)</w:t>
            </w:r>
          </w:p>
        </w:tc>
      </w:tr>
      <w:tr w14:paraId="5503F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D7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12E82A">
            <w:pPr>
              <w:jc w:val="center"/>
            </w:pPr>
            <w:r>
              <w:rPr>
                <w:rFonts w:ascii="宋体" w:hAnsi="宋体" w:eastAsia="宋体"/>
                <w:sz w:val="16"/>
              </w:rPr>
              <w:t>教师培训中心经费</w:t>
            </w:r>
          </w:p>
        </w:tc>
      </w:tr>
      <w:tr w14:paraId="664EF5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C1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00C9AA">
            <w:pPr>
              <w:jc w:val="center"/>
            </w:pPr>
            <w:r>
              <w:rPr>
                <w:rFonts w:ascii="宋体" w:hAnsi="宋体" w:eastAsia="宋体"/>
                <w:sz w:val="16"/>
              </w:rPr>
              <w:t>克孜勒苏柯尔克孜自治州教师培训中心</w:t>
            </w:r>
            <w:bookmarkStart w:id="0" w:name="_GoBack"/>
            <w:bookmarkEnd w:id="0"/>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A5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D654E">
            <w:pPr>
              <w:jc w:val="center"/>
            </w:pPr>
            <w:r>
              <w:rPr>
                <w:rFonts w:ascii="宋体" w:hAnsi="宋体" w:eastAsia="宋体"/>
                <w:sz w:val="16"/>
              </w:rPr>
              <w:t>克孜勒苏柯尔克孜自治州教师培训中心</w:t>
            </w:r>
          </w:p>
        </w:tc>
      </w:tr>
      <w:tr w14:paraId="7BDA7D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B24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68C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26B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D8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93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712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D7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99DB">
            <w:pPr>
              <w:jc w:val="center"/>
            </w:pPr>
            <w:r>
              <w:rPr>
                <w:rFonts w:ascii="宋体" w:hAnsi="宋体" w:eastAsia="宋体"/>
                <w:sz w:val="16"/>
              </w:rPr>
              <w:t>得分</w:t>
            </w:r>
          </w:p>
        </w:tc>
      </w:tr>
      <w:tr w14:paraId="6E763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DD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77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1D6D">
            <w:pPr>
              <w:jc w:val="center"/>
            </w:pPr>
            <w:r>
              <w:rPr>
                <w:rFonts w:ascii="宋体" w:hAnsi="宋体" w:eastAsia="宋体"/>
                <w:sz w:val="16"/>
              </w:rPr>
              <w:t>663.11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54CC3">
            <w:pPr>
              <w:jc w:val="center"/>
            </w:pPr>
            <w:r>
              <w:rPr>
                <w:rFonts w:ascii="宋体" w:hAnsi="宋体" w:eastAsia="宋体"/>
                <w:sz w:val="16"/>
              </w:rPr>
              <w:t>408.67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5FE3">
            <w:pPr>
              <w:jc w:val="center"/>
            </w:pPr>
            <w:r>
              <w:rPr>
                <w:rFonts w:ascii="宋体" w:hAnsi="宋体" w:eastAsia="宋体"/>
                <w:sz w:val="16"/>
              </w:rPr>
              <w:t>329.36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DD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283CA">
            <w:pPr>
              <w:jc w:val="center"/>
            </w:pPr>
            <w:r>
              <w:rPr>
                <w:rFonts w:ascii="宋体" w:hAnsi="宋体" w:eastAsia="宋体"/>
                <w:sz w:val="16"/>
              </w:rPr>
              <w:t>80.6</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9F92">
            <w:pPr>
              <w:jc w:val="center"/>
            </w:pPr>
            <w:r>
              <w:rPr>
                <w:rFonts w:ascii="宋体" w:hAnsi="宋体" w:eastAsia="宋体"/>
                <w:sz w:val="16"/>
              </w:rPr>
              <w:t>5.15分</w:t>
            </w:r>
          </w:p>
        </w:tc>
      </w:tr>
      <w:tr w14:paraId="1E035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61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080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3DA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7E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FF4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7F7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8D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1856">
            <w:pPr>
              <w:jc w:val="center"/>
            </w:pPr>
            <w:r>
              <w:rPr>
                <w:rFonts w:ascii="宋体" w:hAnsi="宋体" w:eastAsia="宋体"/>
                <w:sz w:val="16"/>
              </w:rPr>
              <w:t>—</w:t>
            </w:r>
          </w:p>
        </w:tc>
      </w:tr>
      <w:tr w14:paraId="6F370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E28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63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392B">
            <w:pPr>
              <w:jc w:val="center"/>
            </w:pPr>
            <w:r>
              <w:rPr>
                <w:rFonts w:ascii="宋体" w:hAnsi="宋体" w:eastAsia="宋体"/>
                <w:sz w:val="16"/>
              </w:rPr>
              <w:t>663.11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2023">
            <w:pPr>
              <w:jc w:val="center"/>
            </w:pPr>
            <w:r>
              <w:rPr>
                <w:rFonts w:ascii="宋体" w:hAnsi="宋体" w:eastAsia="宋体"/>
                <w:sz w:val="16"/>
              </w:rPr>
              <w:t>408.67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32AB">
            <w:pPr>
              <w:jc w:val="center"/>
            </w:pPr>
            <w:r>
              <w:rPr>
                <w:rFonts w:ascii="宋体" w:hAnsi="宋体" w:eastAsia="宋体"/>
                <w:sz w:val="16"/>
              </w:rPr>
              <w:t>329.36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1A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B4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9406">
            <w:pPr>
              <w:jc w:val="center"/>
            </w:pPr>
            <w:r>
              <w:rPr>
                <w:rFonts w:ascii="宋体" w:hAnsi="宋体" w:eastAsia="宋体"/>
                <w:sz w:val="16"/>
              </w:rPr>
              <w:t>—</w:t>
            </w:r>
          </w:p>
        </w:tc>
      </w:tr>
      <w:tr w14:paraId="188FE9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D43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854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E750B6">
            <w:pPr>
              <w:jc w:val="center"/>
            </w:pPr>
            <w:r>
              <w:rPr>
                <w:rFonts w:ascii="宋体" w:hAnsi="宋体" w:eastAsia="宋体"/>
                <w:sz w:val="16"/>
              </w:rPr>
              <w:t>实际完成情况</w:t>
            </w:r>
          </w:p>
        </w:tc>
      </w:tr>
      <w:tr w14:paraId="31082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55A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256B0">
            <w:pPr>
              <w:jc w:val="both"/>
            </w:pPr>
            <w:r>
              <w:rPr>
                <w:rFonts w:ascii="宋体" w:hAnsi="宋体" w:eastAsia="宋体"/>
                <w:sz w:val="16"/>
              </w:rPr>
              <w:t>该项目总投资408.67万元，其中财政拨款资金0万元，其他资金408.67万元，主要用于有计划地选派一批克州教育系统干部人才赴援疆省市进行进修学习，并邀请援疆省市专家前往克州送学送教，通过该项目的实施，引导教师树立教科研意识，不断提升教师发现和解决教学问题的研究能力，使教师形成敬业立学、崇德尚美的新风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10F19">
            <w:pPr>
              <w:jc w:val="both"/>
            </w:pPr>
            <w:r>
              <w:rPr>
                <w:rFonts w:ascii="宋体" w:hAnsi="宋体" w:eastAsia="宋体"/>
                <w:sz w:val="16"/>
              </w:rPr>
              <w:t>截至2024年12月31日，教师培训举办场次10次，日常维修次数22次；通过该项目的实施，引导教师树立教科研意识，不断提升教师发现和解决教学问题的研究能力，使教师形成敬业立学、崇德尚美的新风貌。</w:t>
            </w:r>
          </w:p>
        </w:tc>
      </w:tr>
      <w:tr w14:paraId="012E2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0BF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31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94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9A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B7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B0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8F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3C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A3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6C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59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A6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0953">
            <w:pPr>
              <w:jc w:val="center"/>
            </w:pPr>
            <w:r>
              <w:rPr>
                <w:rFonts w:ascii="宋体" w:hAnsi="宋体" w:eastAsia="宋体"/>
                <w:sz w:val="16"/>
              </w:rPr>
              <w:t>偏差原因分析及改进措施</w:t>
            </w:r>
          </w:p>
        </w:tc>
      </w:tr>
      <w:tr w14:paraId="16E584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BFC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EBA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0A3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C14A">
            <w:pPr>
              <w:jc w:val="center"/>
            </w:pPr>
            <w:r>
              <w:rPr>
                <w:rFonts w:ascii="宋体" w:hAnsi="宋体" w:eastAsia="宋体"/>
                <w:sz w:val="16"/>
              </w:rPr>
              <w:t>教师培训举办场次（次）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FE5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1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B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C5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C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E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4F1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BD6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B63E0">
            <w:pPr>
              <w:jc w:val="center"/>
            </w:pPr>
          </w:p>
        </w:tc>
      </w:tr>
      <w:tr w14:paraId="72AC4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52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95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7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C85B">
            <w:pPr>
              <w:jc w:val="center"/>
            </w:pPr>
            <w:r>
              <w:rPr>
                <w:rFonts w:ascii="宋体" w:hAnsi="宋体" w:eastAsia="宋体"/>
                <w:sz w:val="16"/>
              </w:rPr>
              <w:t>日常维修次数（次）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6DC4">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B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4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5C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7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EB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75C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24D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45E05">
            <w:pPr>
              <w:jc w:val="center"/>
            </w:pPr>
          </w:p>
        </w:tc>
      </w:tr>
      <w:tr w14:paraId="5C4F9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A8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CD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220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39CC">
            <w:pPr>
              <w:jc w:val="center"/>
            </w:pPr>
            <w:r>
              <w:rPr>
                <w:rFonts w:ascii="宋体" w:hAnsi="宋体" w:eastAsia="宋体"/>
                <w:sz w:val="16"/>
              </w:rPr>
              <w:t>教师培训出勤率（%）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64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0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8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71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E5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9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96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E98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6E03">
            <w:pPr>
              <w:jc w:val="center"/>
            </w:pPr>
          </w:p>
        </w:tc>
      </w:tr>
      <w:tr w14:paraId="756AD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EC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9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BD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E6BA">
            <w:pPr>
              <w:jc w:val="center"/>
            </w:pPr>
            <w:r>
              <w:rPr>
                <w:rFonts w:ascii="宋体" w:hAnsi="宋体" w:eastAsia="宋体"/>
                <w:sz w:val="16"/>
              </w:rPr>
              <w:t>日常维修工作验收合格率（%）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D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2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8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A4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F0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5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1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80B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29DD">
            <w:pPr>
              <w:jc w:val="center"/>
            </w:pPr>
          </w:p>
        </w:tc>
      </w:tr>
      <w:tr w14:paraId="0F54D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9A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1BC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3F6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8D99">
            <w:pPr>
              <w:jc w:val="center"/>
            </w:pPr>
            <w:r>
              <w:rPr>
                <w:rFonts w:ascii="宋体" w:hAnsi="宋体" w:eastAsia="宋体"/>
                <w:sz w:val="16"/>
              </w:rPr>
              <w:t>教师培训任务完成及时率（%）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B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8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2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E9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5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D5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3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59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04D7">
            <w:pPr>
              <w:jc w:val="center"/>
            </w:pPr>
          </w:p>
        </w:tc>
      </w:tr>
      <w:tr w14:paraId="7F582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6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F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E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2962">
            <w:pPr>
              <w:jc w:val="center"/>
            </w:pPr>
            <w:r>
              <w:rPr>
                <w:rFonts w:ascii="宋体" w:hAnsi="宋体" w:eastAsia="宋体"/>
                <w:sz w:val="16"/>
              </w:rPr>
              <w:t>日常维修工作完成及时率（%）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0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2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0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8E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17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13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E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30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26C6">
            <w:pPr>
              <w:jc w:val="center"/>
            </w:pPr>
          </w:p>
        </w:tc>
      </w:tr>
      <w:tr w14:paraId="126E7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56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690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80C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4D94">
            <w:pPr>
              <w:jc w:val="center"/>
            </w:pPr>
            <w:r>
              <w:rPr>
                <w:rFonts w:ascii="宋体" w:hAnsi="宋体" w:eastAsia="宋体"/>
                <w:sz w:val="16"/>
              </w:rPr>
              <w:t>教师培训经费（万元）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7D39">
            <w:pPr>
              <w:jc w:val="center"/>
            </w:pPr>
            <w:r>
              <w:rPr>
                <w:rFonts w:ascii="宋体" w:hAnsi="宋体" w:eastAsia="宋体"/>
                <w:sz w:val="16"/>
              </w:rPr>
              <w:t>&lt;=385万元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B2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19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3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2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A3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2369">
            <w:pPr>
              <w:jc w:val="center"/>
            </w:pPr>
            <w:r>
              <w:rPr>
                <w:rFonts w:ascii="宋体" w:hAnsi="宋体" w:eastAsia="宋体"/>
                <w:sz w:val="16"/>
              </w:rPr>
              <w:t>=314.72万元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5ABD">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8DE3D">
            <w:pPr>
              <w:jc w:val="center"/>
            </w:pPr>
            <w:r>
              <w:rPr>
                <w:rFonts w:ascii="宋体" w:hAnsi="宋体" w:eastAsia="宋体"/>
                <w:sz w:val="16"/>
              </w:rPr>
              <w:t>偏差原因：根据本年度工作需求实际进行支付，部分培训正在进行款项待支付。改进措施：督促项目资金支付</w:t>
            </w:r>
          </w:p>
        </w:tc>
      </w:tr>
      <w:tr w14:paraId="6E946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2E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F6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C2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C71B">
            <w:pPr>
              <w:jc w:val="center"/>
            </w:pPr>
            <w:r>
              <w:rPr>
                <w:rFonts w:ascii="宋体" w:hAnsi="宋体" w:eastAsia="宋体"/>
                <w:sz w:val="16"/>
              </w:rPr>
              <w:t>维修经费（万元）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0EF3">
            <w:pPr>
              <w:jc w:val="center"/>
            </w:pPr>
            <w:r>
              <w:rPr>
                <w:rFonts w:ascii="宋体" w:hAnsi="宋体" w:eastAsia="宋体"/>
                <w:sz w:val="16"/>
              </w:rPr>
              <w:t>&lt;=23.67万元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58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7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F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C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89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FC7A">
            <w:pPr>
              <w:jc w:val="center"/>
            </w:pPr>
            <w:r>
              <w:rPr>
                <w:rFonts w:ascii="宋体" w:hAnsi="宋体" w:eastAsia="宋体"/>
                <w:sz w:val="16"/>
              </w:rPr>
              <w:t>=14.64万元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F38C">
            <w:pPr>
              <w:jc w:val="center"/>
            </w:pPr>
            <w:r>
              <w:rPr>
                <w:rFonts w:ascii="宋体" w:hAnsi="宋体" w:eastAsia="宋体"/>
                <w:sz w:val="16"/>
              </w:rPr>
              <w:t>0.46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72B2">
            <w:pPr>
              <w:jc w:val="center"/>
            </w:pPr>
            <w:r>
              <w:rPr>
                <w:rFonts w:ascii="宋体" w:hAnsi="宋体" w:eastAsia="宋体"/>
                <w:sz w:val="16"/>
              </w:rPr>
              <w:t>偏差原因：根据本年度工作需求进行维修，按照实际工作支付。改进措施：精准预算</w:t>
            </w:r>
          </w:p>
        </w:tc>
      </w:tr>
      <w:tr w14:paraId="1D1AC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B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C48E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254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0341">
            <w:pPr>
              <w:jc w:val="center"/>
            </w:pPr>
            <w:r>
              <w:rPr>
                <w:rFonts w:ascii="宋体" w:hAnsi="宋体" w:eastAsia="宋体"/>
                <w:sz w:val="16"/>
              </w:rPr>
              <w:t>教师教学成果获奖率提升幅度（%）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2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A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9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4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5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A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D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55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20EEE">
            <w:pPr>
              <w:jc w:val="center"/>
            </w:pPr>
          </w:p>
        </w:tc>
      </w:tr>
      <w:tr w14:paraId="49B0E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B2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A3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2B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7189">
            <w:pPr>
              <w:jc w:val="center"/>
            </w:pPr>
            <w:r>
              <w:rPr>
                <w:rFonts w:ascii="宋体" w:hAnsi="宋体" w:eastAsia="宋体"/>
                <w:sz w:val="16"/>
              </w:rPr>
              <w:t>提升教师国家通用语言文字使用能力和专业素养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3B7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1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3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6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FA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77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520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1B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EEE41">
            <w:pPr>
              <w:jc w:val="center"/>
            </w:pPr>
          </w:p>
        </w:tc>
      </w:tr>
      <w:tr w14:paraId="3B40D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92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E8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5C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648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02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D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B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E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13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B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A7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6A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B10EE">
            <w:pPr>
              <w:jc w:val="center"/>
            </w:pPr>
          </w:p>
        </w:tc>
      </w:tr>
      <w:tr w14:paraId="336882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7F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1E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80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D2B841">
            <w:pPr>
              <w:jc w:val="center"/>
            </w:pPr>
            <w:r>
              <w:rPr>
                <w:rFonts w:ascii="宋体" w:hAnsi="宋体" w:eastAsia="宋体"/>
                <w:sz w:val="16"/>
              </w:rPr>
              <w:t>80.99分</w:t>
            </w:r>
          </w:p>
        </w:tc>
      </w:tr>
    </w:tbl>
    <w:p w14:paraId="469DEBA3">
      <w:r>
        <w:br w:type="page"/>
      </w:r>
    </w:p>
    <w:p w14:paraId="5E925091">
      <w:pPr>
        <w:spacing w:line="640" w:lineRule="exact"/>
        <w:ind w:firstLine="640"/>
        <w:jc w:val="both"/>
        <w:outlineLvl w:val="2"/>
      </w:pPr>
      <w:r>
        <w:rPr>
          <w:rFonts w:ascii="黑体" w:hAnsi="黑体" w:eastAsia="黑体"/>
          <w:sz w:val="32"/>
        </w:rPr>
        <w:t>十二、其他需说明的事项</w:t>
      </w:r>
    </w:p>
    <w:p w14:paraId="77DF73CE">
      <w:pPr>
        <w:spacing w:line="580" w:lineRule="exact"/>
        <w:ind w:firstLine="640"/>
        <w:jc w:val="both"/>
      </w:pPr>
      <w:r>
        <w:rPr>
          <w:rFonts w:ascii="仿宋_GB2312" w:hAnsi="仿宋_GB2312" w:eastAsia="仿宋_GB2312"/>
          <w:b w:val="0"/>
          <w:sz w:val="32"/>
        </w:rPr>
        <w:t>本单位无其他需说明的事项。</w:t>
      </w:r>
    </w:p>
    <w:p w14:paraId="22C57467">
      <w:r>
        <w:br w:type="page"/>
      </w:r>
    </w:p>
    <w:p w14:paraId="43235241">
      <w:pPr>
        <w:spacing w:line="240" w:lineRule="auto"/>
        <w:jc w:val="center"/>
        <w:outlineLvl w:val="1"/>
      </w:pPr>
      <w:r>
        <w:rPr>
          <w:rFonts w:ascii="黑体" w:hAnsi="黑体" w:eastAsia="黑体"/>
          <w:sz w:val="32"/>
        </w:rPr>
        <w:t>第三部分 专业名词解释</w:t>
      </w:r>
    </w:p>
    <w:p w14:paraId="1B9229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E062B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28C79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978C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D601E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FC87EE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D5795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880C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9E562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B8C6C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AE9C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44B0A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2E1E8F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ACF28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4E80F2">
      <w:r>
        <w:br w:type="page"/>
      </w:r>
    </w:p>
    <w:p w14:paraId="76F52A8F">
      <w:pPr>
        <w:spacing w:line="240" w:lineRule="auto"/>
        <w:jc w:val="center"/>
        <w:outlineLvl w:val="1"/>
      </w:pPr>
      <w:r>
        <w:rPr>
          <w:rFonts w:ascii="黑体" w:hAnsi="黑体" w:eastAsia="黑体"/>
          <w:sz w:val="32"/>
        </w:rPr>
        <w:t>第四部分 部门决算报表（见附表）</w:t>
      </w:r>
    </w:p>
    <w:p w14:paraId="190D4102">
      <w:pPr>
        <w:spacing w:line="240" w:lineRule="auto"/>
        <w:ind w:firstLine="640"/>
        <w:jc w:val="both"/>
      </w:pPr>
      <w:r>
        <w:rPr>
          <w:rFonts w:ascii="仿宋_GB2312" w:hAnsi="仿宋_GB2312" w:eastAsia="仿宋_GB2312"/>
          <w:b w:val="0"/>
          <w:sz w:val="32"/>
        </w:rPr>
        <w:t>一、《收入支出决算总表》</w:t>
      </w:r>
    </w:p>
    <w:p w14:paraId="217DE1CA">
      <w:pPr>
        <w:spacing w:line="240" w:lineRule="auto"/>
        <w:ind w:firstLine="640"/>
        <w:jc w:val="both"/>
      </w:pPr>
      <w:r>
        <w:rPr>
          <w:rFonts w:ascii="仿宋_GB2312" w:hAnsi="仿宋_GB2312" w:eastAsia="仿宋_GB2312"/>
          <w:b w:val="0"/>
          <w:sz w:val="32"/>
        </w:rPr>
        <w:t>二、《收入决算表》</w:t>
      </w:r>
    </w:p>
    <w:p w14:paraId="2674698A">
      <w:pPr>
        <w:spacing w:line="240" w:lineRule="auto"/>
        <w:ind w:firstLine="640"/>
        <w:jc w:val="both"/>
      </w:pPr>
      <w:r>
        <w:rPr>
          <w:rFonts w:ascii="仿宋_GB2312" w:hAnsi="仿宋_GB2312" w:eastAsia="仿宋_GB2312"/>
          <w:b w:val="0"/>
          <w:sz w:val="32"/>
        </w:rPr>
        <w:t>三、《支出决算表》</w:t>
      </w:r>
    </w:p>
    <w:p w14:paraId="138A90BB">
      <w:pPr>
        <w:spacing w:line="240" w:lineRule="auto"/>
        <w:ind w:firstLine="640"/>
        <w:jc w:val="both"/>
      </w:pPr>
      <w:r>
        <w:rPr>
          <w:rFonts w:ascii="仿宋_GB2312" w:hAnsi="仿宋_GB2312" w:eastAsia="仿宋_GB2312"/>
          <w:b w:val="0"/>
          <w:sz w:val="32"/>
        </w:rPr>
        <w:t>四、《财政拨款收入支出决算总表》</w:t>
      </w:r>
    </w:p>
    <w:p w14:paraId="40ADB123">
      <w:pPr>
        <w:spacing w:line="240" w:lineRule="auto"/>
        <w:ind w:firstLine="640"/>
        <w:jc w:val="both"/>
      </w:pPr>
      <w:r>
        <w:rPr>
          <w:rFonts w:ascii="仿宋_GB2312" w:hAnsi="仿宋_GB2312" w:eastAsia="仿宋_GB2312"/>
          <w:b w:val="0"/>
          <w:sz w:val="32"/>
        </w:rPr>
        <w:t>五、《一般公共预算财政拨款支出决算表》</w:t>
      </w:r>
    </w:p>
    <w:p w14:paraId="2B0E670E">
      <w:pPr>
        <w:spacing w:line="240" w:lineRule="auto"/>
        <w:ind w:firstLine="640"/>
        <w:jc w:val="both"/>
      </w:pPr>
      <w:r>
        <w:rPr>
          <w:rFonts w:ascii="仿宋_GB2312" w:hAnsi="仿宋_GB2312" w:eastAsia="仿宋_GB2312"/>
          <w:b w:val="0"/>
          <w:sz w:val="32"/>
        </w:rPr>
        <w:t>六、《一般公共预算财政拨款基本支出决算表》</w:t>
      </w:r>
    </w:p>
    <w:p w14:paraId="2BB67B32">
      <w:pPr>
        <w:spacing w:line="240" w:lineRule="auto"/>
        <w:ind w:firstLine="640"/>
        <w:jc w:val="both"/>
      </w:pPr>
      <w:r>
        <w:rPr>
          <w:rFonts w:ascii="仿宋_GB2312" w:hAnsi="仿宋_GB2312" w:eastAsia="仿宋_GB2312"/>
          <w:b w:val="0"/>
          <w:sz w:val="32"/>
        </w:rPr>
        <w:t>七、《政府性基金预算财政拨款收入支出决算表》</w:t>
      </w:r>
    </w:p>
    <w:p w14:paraId="2F9637ED">
      <w:pPr>
        <w:spacing w:line="240" w:lineRule="auto"/>
        <w:ind w:firstLine="640"/>
        <w:jc w:val="both"/>
      </w:pPr>
      <w:r>
        <w:rPr>
          <w:rFonts w:ascii="仿宋_GB2312" w:hAnsi="仿宋_GB2312" w:eastAsia="仿宋_GB2312"/>
          <w:b w:val="0"/>
          <w:sz w:val="32"/>
        </w:rPr>
        <w:t>八、《国有资本经营预算财政拨款收入支出决算表》</w:t>
      </w:r>
    </w:p>
    <w:p w14:paraId="574D7047">
      <w:pPr>
        <w:spacing w:line="240" w:lineRule="auto"/>
        <w:ind w:firstLine="640"/>
        <w:jc w:val="both"/>
      </w:pPr>
      <w:r>
        <w:rPr>
          <w:rFonts w:ascii="仿宋_GB2312" w:hAnsi="仿宋_GB2312" w:eastAsia="仿宋_GB2312"/>
          <w:b w:val="0"/>
          <w:sz w:val="32"/>
        </w:rPr>
        <w:t>九、《财政拨款“三公”经费支出决算表》</w:t>
      </w:r>
    </w:p>
    <w:p w14:paraId="550F70A6">
      <w:pPr>
        <w:spacing w:line="240" w:lineRule="auto"/>
        <w:ind w:firstLine="640"/>
        <w:jc w:val="both"/>
      </w:pPr>
    </w:p>
    <w:p w14:paraId="4A4FB69C">
      <w:pPr>
        <w:spacing w:line="240" w:lineRule="auto"/>
        <w:ind w:firstLine="640"/>
        <w:jc w:val="both"/>
      </w:pPr>
    </w:p>
    <w:p w14:paraId="35DF5D04">
      <w:pPr>
        <w:spacing w:line="240" w:lineRule="auto"/>
        <w:ind w:firstLine="640"/>
        <w:jc w:val="both"/>
      </w:pPr>
    </w:p>
    <w:p w14:paraId="38BCD3EF">
      <w:pPr>
        <w:spacing w:line="240" w:lineRule="auto"/>
        <w:ind w:firstLine="640"/>
        <w:jc w:val="both"/>
      </w:pPr>
    </w:p>
    <w:p w14:paraId="6A68A40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FDAC7C-86CF-4D79-9E10-BE3BEEE5C5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63B700D-FA6D-4B99-9D3A-AD3E0A19B6A0}"/>
  </w:font>
  <w:font w:name="仿宋_GB2312">
    <w:panose1 w:val="02010609030101010101"/>
    <w:charset w:val="86"/>
    <w:family w:val="modern"/>
    <w:pitch w:val="default"/>
    <w:sig w:usb0="00000001" w:usb1="080E0000" w:usb2="00000000" w:usb3="00000000" w:csb0="00040000" w:csb1="00000000"/>
    <w:embedRegular r:id="rId3" w:fontKey="{615A2FFE-11B8-417F-B63B-D15B2D8235B4}"/>
  </w:font>
  <w:font w:name="楷体_GB2312">
    <w:altName w:val="楷体"/>
    <w:panose1 w:val="00000000000000000000"/>
    <w:charset w:val="00"/>
    <w:family w:val="auto"/>
    <w:pitch w:val="default"/>
    <w:sig w:usb0="00000000" w:usb1="00000000" w:usb2="00000000" w:usb3="00000000" w:csb0="00000000" w:csb1="00000000"/>
    <w:embedRegular r:id="rId4" w:fontKey="{B86C5CD5-E192-4A09-8A25-10B02C683A03}"/>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D05C8E"/>
    <w:rsid w:val="1B8F2D19"/>
    <w:rsid w:val="1C1E6617"/>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D9352C"/>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1A47BD8"/>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5072</Words>
  <Characters>5809</Characters>
  <Lines>0</Lines>
  <Paragraphs>0</Paragraphs>
  <TotalTime>5</TotalTime>
  <ScaleCrop>false</ScaleCrop>
  <LinksUpToDate>false</LinksUpToDate>
  <CharactersWithSpaces>5819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