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克孜勒苏柯尔克孜自治州福利彩票发行中心2024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C85E45D">
      <w:r>
        <w:br w:type="page"/>
      </w:r>
    </w:p>
    <w:p w14:paraId="4D4DBCA8">
      <w:pPr>
        <w:spacing w:line="640" w:lineRule="exact"/>
        <w:jc w:val="center"/>
        <w:outlineLvl w:val="1"/>
      </w:pPr>
      <w:r>
        <w:rPr>
          <w:rFonts w:ascii="黑体" w:hAnsi="黑体" w:eastAsia="黑体"/>
          <w:sz w:val="32"/>
        </w:rPr>
        <w:t>第一部分 单位概况</w:t>
      </w:r>
    </w:p>
    <w:p w14:paraId="56628C77">
      <w:pPr>
        <w:spacing w:line="640" w:lineRule="exact"/>
        <w:ind w:firstLine="640"/>
        <w:jc w:val="both"/>
        <w:outlineLvl w:val="2"/>
      </w:pPr>
      <w:r>
        <w:rPr>
          <w:rFonts w:ascii="黑体" w:hAnsi="黑体" w:eastAsia="黑体"/>
          <w:sz w:val="32"/>
        </w:rPr>
        <w:t>一、主要职能</w:t>
      </w:r>
    </w:p>
    <w:p w14:paraId="7AAEB104">
      <w:pPr>
        <w:spacing w:line="580" w:lineRule="exact"/>
        <w:ind w:firstLine="640"/>
        <w:jc w:val="both"/>
      </w:pPr>
      <w:r>
        <w:rPr>
          <w:rFonts w:ascii="仿宋_GB2312" w:hAnsi="仿宋_GB2312" w:eastAsia="仿宋_GB2312"/>
          <w:sz w:val="32"/>
        </w:rPr>
        <w:t>克孜勒苏柯尔克孜自治州福利彩票发行中心。根据《彩票管理条例》《彩票管理条例实施细则》和民政厅、自治区福利彩票发行中心相关文件精神确定：地、州（市）福彩中心在当地民政局的领导下和自治区福彩中心的业务领导下，负责本地区电脑型福利彩票销售工作。其主要职责是：负责制定本地区福利彩票销售网络建设计划，受自治区福彩中心委托对本地区福利彩票销售网点进行日常管理，具体负责福利彩票网点的设立、迁移、撤销等初审上报工作。受自治区中心委托代签代销协议，指导代销者规范化建设彩票销售场所。负责结合实际制定各项销售工作细则，规范开展彩票销售工作，及时处理市场投诉和销售纠纷。负责本地区50万元以下中奖者兑奖工作、销售资金上缴、设备保证金收取上缴工作。负责开展本地区的业务培训、营销、宣传工作。负责本地区销售设备、设施及耗材的日常发放管理及固定资产管理工作等工作。</w:t>
      </w:r>
    </w:p>
    <w:p w14:paraId="0A2119A4">
      <w:pPr>
        <w:spacing w:line="640" w:lineRule="exact"/>
        <w:ind w:firstLine="640"/>
        <w:jc w:val="both"/>
        <w:outlineLvl w:val="2"/>
      </w:pPr>
      <w:r>
        <w:rPr>
          <w:rFonts w:ascii="黑体" w:hAnsi="黑体" w:eastAsia="黑体"/>
          <w:sz w:val="32"/>
        </w:rPr>
        <w:t>二、机构设置及人员情况</w:t>
      </w:r>
    </w:p>
    <w:p w14:paraId="35BD0A3F">
      <w:pPr>
        <w:spacing w:line="580" w:lineRule="exact"/>
        <w:ind w:firstLine="640"/>
        <w:jc w:val="both"/>
      </w:pPr>
      <w:r>
        <w:rPr>
          <w:rFonts w:ascii="仿宋_GB2312" w:hAnsi="仿宋_GB2312" w:eastAsia="仿宋_GB2312"/>
          <w:sz w:val="32"/>
        </w:rPr>
        <w:t>克孜勒苏柯尔克孜自治州福利彩票发行中心2024年度，实有人数3人，其中：在职人员3人，增加0人；离休人员0人，增加0人；退休人员0人,增加0人。</w:t>
      </w:r>
    </w:p>
    <w:p w14:paraId="4EF4B657">
      <w:pPr>
        <w:spacing w:line="580" w:lineRule="exact"/>
        <w:ind w:firstLine="640"/>
        <w:jc w:val="both"/>
      </w:pPr>
      <w:r>
        <w:rPr>
          <w:rFonts w:ascii="仿宋_GB2312" w:hAnsi="仿宋_GB2312" w:eastAsia="仿宋_GB2312"/>
          <w:sz w:val="32"/>
        </w:rPr>
        <w:t>克孜勒苏柯尔克孜自治州福利彩票发行中心无下属预算单位，下设3个科室，分别是：办公室、财务室、综合部。</w:t>
      </w:r>
    </w:p>
    <w:p w14:paraId="20FE53D7">
      <w:r>
        <w:br w:type="page"/>
      </w:r>
    </w:p>
    <w:p w14:paraId="19246374">
      <w:pPr>
        <w:spacing w:line="240" w:lineRule="auto"/>
        <w:jc w:val="center"/>
        <w:outlineLvl w:val="1"/>
      </w:pPr>
      <w:r>
        <w:rPr>
          <w:rFonts w:ascii="黑体" w:hAnsi="黑体" w:eastAsia="黑体"/>
          <w:sz w:val="32"/>
        </w:rPr>
        <w:t>第二部分 部门决算情况说明</w:t>
      </w:r>
    </w:p>
    <w:p w14:paraId="0BD59B03">
      <w:pPr>
        <w:spacing w:line="640" w:lineRule="exact"/>
        <w:ind w:firstLine="640"/>
        <w:jc w:val="both"/>
        <w:outlineLvl w:val="2"/>
      </w:pPr>
      <w:r>
        <w:rPr>
          <w:rFonts w:ascii="黑体" w:hAnsi="黑体" w:eastAsia="黑体"/>
          <w:sz w:val="32"/>
        </w:rPr>
        <w:t>一、收入支出决算总体情况说明</w:t>
      </w:r>
    </w:p>
    <w:p w14:paraId="742C92A5">
      <w:pPr>
        <w:spacing w:line="580" w:lineRule="exact"/>
        <w:ind w:firstLine="640"/>
        <w:jc w:val="both"/>
      </w:pPr>
      <w:r>
        <w:rPr>
          <w:rFonts w:ascii="仿宋_GB2312" w:hAnsi="仿宋_GB2312" w:eastAsia="仿宋_GB2312"/>
          <w:b/>
          <w:sz w:val="32"/>
        </w:rPr>
        <w:t>2024年度收入总计279.39万元，</w:t>
      </w:r>
      <w:r>
        <w:rPr>
          <w:rFonts w:ascii="仿宋_GB2312" w:hAnsi="仿宋_GB2312" w:eastAsia="仿宋_GB2312"/>
          <w:b w:val="0"/>
          <w:sz w:val="32"/>
        </w:rPr>
        <w:t>其中：本年收入合计279.39万元，使用非财政拨款结余（含专用结余）0.00万元，年初结转和结余0.00万元。</w:t>
      </w:r>
    </w:p>
    <w:p w14:paraId="7DEDBAB2">
      <w:pPr>
        <w:spacing w:line="580" w:lineRule="exact"/>
        <w:ind w:firstLine="640"/>
        <w:jc w:val="both"/>
      </w:pPr>
      <w:r>
        <w:rPr>
          <w:rFonts w:ascii="仿宋_GB2312" w:hAnsi="仿宋_GB2312" w:eastAsia="仿宋_GB2312"/>
          <w:b/>
          <w:sz w:val="32"/>
        </w:rPr>
        <w:t>2024年度支出总计279.39万元，</w:t>
      </w:r>
      <w:r>
        <w:rPr>
          <w:rFonts w:ascii="仿宋_GB2312" w:hAnsi="仿宋_GB2312" w:eastAsia="仿宋_GB2312"/>
          <w:b w:val="0"/>
          <w:sz w:val="32"/>
        </w:rPr>
        <w:t>其中：本年支出合计279.39万元，结余分配0.00万元，年末结转和结余0.00万元。</w:t>
      </w:r>
    </w:p>
    <w:p w14:paraId="5C164183">
      <w:pPr>
        <w:spacing w:line="580" w:lineRule="exact"/>
        <w:ind w:firstLine="640"/>
        <w:jc w:val="both"/>
      </w:pPr>
      <w:r>
        <w:rPr>
          <w:rFonts w:ascii="仿宋_GB2312" w:hAnsi="仿宋_GB2312" w:eastAsia="仿宋_GB2312"/>
          <w:b w:val="0"/>
          <w:sz w:val="32"/>
        </w:rPr>
        <w:t>收入支出总体与上年相比，增加30.11万元，增长12.08%，主要原因是：本年增加业务经费项目资金，导致经费较上年增加。</w:t>
      </w:r>
    </w:p>
    <w:p w14:paraId="5717A2EC">
      <w:pPr>
        <w:spacing w:line="640" w:lineRule="exact"/>
        <w:ind w:firstLine="640"/>
        <w:jc w:val="both"/>
        <w:outlineLvl w:val="2"/>
      </w:pPr>
      <w:r>
        <w:rPr>
          <w:rFonts w:ascii="黑体" w:hAnsi="黑体" w:eastAsia="黑体"/>
          <w:sz w:val="32"/>
        </w:rPr>
        <w:t>二、收入决算情况说明</w:t>
      </w:r>
    </w:p>
    <w:p w14:paraId="47F368CA">
      <w:pPr>
        <w:spacing w:line="580" w:lineRule="exact"/>
        <w:ind w:firstLine="640"/>
        <w:jc w:val="both"/>
      </w:pPr>
      <w:r>
        <w:rPr>
          <w:rFonts w:ascii="仿宋_GB2312" w:hAnsi="仿宋_GB2312" w:eastAsia="仿宋_GB2312"/>
          <w:b/>
          <w:sz w:val="32"/>
        </w:rPr>
        <w:t>本年收入279.39万元，</w:t>
      </w:r>
      <w:r>
        <w:rPr>
          <w:rFonts w:ascii="仿宋_GB2312" w:hAnsi="仿宋_GB2312" w:eastAsia="仿宋_GB2312"/>
          <w:b w:val="0"/>
          <w:sz w:val="32"/>
        </w:rPr>
        <w:t>其中：财政拨款收入279.39万元，占100.00%；上级补助收入0.00万元，占0.00%；事业收入0.00万元，占0.00%；经营收入0.00万元，占0.00%；附属单位上缴收入0.00万元，占0.00%；其他收入0.00万元，占0.00%。</w:t>
      </w:r>
    </w:p>
    <w:p w14:paraId="1C0D85CD">
      <w:pPr>
        <w:spacing w:line="640" w:lineRule="exact"/>
        <w:ind w:firstLine="640"/>
        <w:jc w:val="both"/>
        <w:outlineLvl w:val="2"/>
      </w:pPr>
      <w:r>
        <w:rPr>
          <w:rFonts w:ascii="黑体" w:hAnsi="黑体" w:eastAsia="黑体"/>
          <w:sz w:val="32"/>
        </w:rPr>
        <w:t>三、支出决算情况说明</w:t>
      </w:r>
    </w:p>
    <w:p w14:paraId="3535DB70">
      <w:pPr>
        <w:spacing w:line="580" w:lineRule="exact"/>
        <w:ind w:firstLine="640"/>
        <w:jc w:val="both"/>
      </w:pPr>
      <w:r>
        <w:rPr>
          <w:rFonts w:ascii="仿宋_GB2312" w:hAnsi="仿宋_GB2312" w:eastAsia="仿宋_GB2312"/>
          <w:b/>
          <w:sz w:val="32"/>
        </w:rPr>
        <w:t>本年支出279.39万元，</w:t>
      </w:r>
      <w:r>
        <w:rPr>
          <w:rFonts w:ascii="仿宋_GB2312" w:hAnsi="仿宋_GB2312" w:eastAsia="仿宋_GB2312"/>
          <w:b w:val="0"/>
          <w:sz w:val="32"/>
        </w:rPr>
        <w:t>其中：基本支出0.00万元，占0.00%；项目支出279.39万元，占100.00%；上缴上级支出0.00万元，占0.00%；经营支出0.00万元，占0.00%；对附属单位补助支出0.00万元，占0.00%。</w:t>
      </w:r>
    </w:p>
    <w:p w14:paraId="2EAC9C7C">
      <w:pPr>
        <w:spacing w:line="640" w:lineRule="exact"/>
        <w:ind w:firstLine="640"/>
        <w:jc w:val="both"/>
        <w:outlineLvl w:val="2"/>
      </w:pPr>
      <w:r>
        <w:rPr>
          <w:rFonts w:ascii="黑体" w:hAnsi="黑体" w:eastAsia="黑体"/>
          <w:sz w:val="32"/>
        </w:rPr>
        <w:t>四、财政拨款收入支出决算总体情况说明</w:t>
      </w:r>
    </w:p>
    <w:p w14:paraId="4D18DC40">
      <w:pPr>
        <w:spacing w:line="580" w:lineRule="exact"/>
        <w:ind w:firstLine="640"/>
        <w:jc w:val="both"/>
      </w:pPr>
      <w:r>
        <w:rPr>
          <w:rFonts w:ascii="仿宋_GB2312" w:hAnsi="仿宋_GB2312" w:eastAsia="仿宋_GB2312"/>
          <w:b/>
          <w:sz w:val="32"/>
        </w:rPr>
        <w:t>2024年度财政拨款收入总计279.39万元，</w:t>
      </w:r>
      <w:r>
        <w:rPr>
          <w:rFonts w:ascii="仿宋_GB2312" w:hAnsi="仿宋_GB2312" w:eastAsia="仿宋_GB2312"/>
          <w:b w:val="0"/>
          <w:sz w:val="32"/>
        </w:rPr>
        <w:t>其中：年初财政拨款结转和结余0.00万元，本年财政拨款收入279.39万元。</w:t>
      </w:r>
      <w:r>
        <w:rPr>
          <w:rFonts w:ascii="仿宋_GB2312" w:hAnsi="仿宋_GB2312" w:eastAsia="仿宋_GB2312"/>
          <w:b/>
          <w:sz w:val="32"/>
        </w:rPr>
        <w:t>财政拨款支出总计279.39万元，</w:t>
      </w:r>
      <w:r>
        <w:rPr>
          <w:rFonts w:ascii="仿宋_GB2312" w:hAnsi="仿宋_GB2312" w:eastAsia="仿宋_GB2312"/>
          <w:b w:val="0"/>
          <w:sz w:val="32"/>
        </w:rPr>
        <w:t>其中：年末财政拨款结转和结余0.00万元，本年财政拨款支出279.39万元。</w:t>
      </w:r>
    </w:p>
    <w:p w14:paraId="48669C7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增加30.11万元，增长12.08%，主要原因是：本年增加业务经费项目资金，导致经费较上年增加。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年初预算数292.00万元，决算数279.39万元，预决算差异率-4.32%，主要原因是：年中调减业务经费项目经费，导致预决算存在差异。</w:t>
      </w:r>
    </w:p>
    <w:p w14:paraId="3454C09B">
      <w:pPr>
        <w:spacing w:line="640" w:lineRule="exact"/>
        <w:ind w:firstLine="640"/>
        <w:jc w:val="both"/>
        <w:outlineLvl w:val="2"/>
      </w:pPr>
      <w:r>
        <w:rPr>
          <w:rFonts w:ascii="黑体" w:hAnsi="黑体" w:eastAsia="黑体"/>
          <w:sz w:val="32"/>
        </w:rPr>
        <w:t>五、一般公共预算财政拨款支出决算情况说明</w:t>
      </w:r>
    </w:p>
    <w:p w14:paraId="5FD55A9D">
      <w:pPr>
        <w:spacing w:line="640" w:lineRule="exact"/>
        <w:ind w:firstLine="640"/>
        <w:jc w:val="both"/>
        <w:outlineLvl w:val="3"/>
      </w:pPr>
      <w:r>
        <w:rPr>
          <w:rFonts w:ascii="楷体_GB2312" w:hAnsi="楷体_GB2312" w:eastAsia="楷体_GB2312"/>
          <w:b/>
          <w:sz w:val="32"/>
        </w:rPr>
        <w:t>（一）一般公共预算财政拨款支出决算总体情况</w:t>
      </w:r>
    </w:p>
    <w:p w14:paraId="012E10FD">
      <w:pPr>
        <w:spacing w:line="580" w:lineRule="exact"/>
        <w:ind w:firstLine="640"/>
        <w:jc w:val="both"/>
      </w:pPr>
      <w:r>
        <w:rPr>
          <w:rFonts w:ascii="仿宋_GB2312" w:hAnsi="仿宋_GB2312" w:eastAsia="仿宋_GB2312"/>
          <w:b/>
          <w:sz w:val="32"/>
        </w:rPr>
        <w:t>2024年度一般公共预算财政拨款支出0.00万元，</w:t>
      </w:r>
      <w:r>
        <w:rPr>
          <w:rFonts w:ascii="仿宋_GB2312" w:hAnsi="仿宋_GB2312" w:eastAsia="仿宋_GB2312"/>
          <w:b w:val="0"/>
          <w:sz w:val="32"/>
        </w:rPr>
        <w:t>占本年支出合计的0.00%。</w:t>
      </w:r>
      <w:r>
        <w:rPr>
          <w:rFonts w:ascii="仿宋_GB2312" w:hAnsi="仿宋_GB2312" w:eastAsia="仿宋_GB2312"/>
          <w:b/>
          <w:sz w:val="32"/>
        </w:rPr>
        <w:t>与上年相比，</w:t>
      </w:r>
      <w:r>
        <w:rPr>
          <w:rFonts w:ascii="仿宋_GB2312" w:hAnsi="仿宋_GB2312" w:eastAsia="仿宋_GB2312"/>
          <w:b w:val="0"/>
          <w:sz w:val="32"/>
        </w:rPr>
        <w:t>增加0.00万元，增长0.00%，主要原因是：本单位无一般公共预算拨款支出。</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年初预算数0.00万元，决算数0.00万元，预决算差异率0.00%，主要原因是：本单位无一般公共预算拨款支出。</w:t>
      </w:r>
    </w:p>
    <w:p w14:paraId="7A379AF9">
      <w:pPr>
        <w:numPr>
          <w:ilvl w:val="0"/>
          <w:numId w:val="0"/>
        </w:numPr>
        <w:spacing w:line="640" w:lineRule="exact"/>
        <w:ind w:firstLine="640" w:firstLineChars="0"/>
        <w:jc w:val="both"/>
        <w:outlineLvl w:val="3"/>
        <w:rPr>
          <w:rFonts w:ascii="楷体_GB2312" w:hAnsi="楷体_GB2312" w:eastAsia="楷体_GB2312"/>
          <w:b/>
          <w:sz w:val="32"/>
        </w:rPr>
      </w:pPr>
      <w:r>
        <w:rPr>
          <w:rFonts w:hint="eastAsia" w:ascii="楷体_GB2312" w:hAnsi="楷体_GB2312" w:eastAsia="楷体_GB2312" w:cs="Times New Roman"/>
          <w:b/>
          <w:kern w:val="2"/>
          <w:sz w:val="32"/>
          <w:szCs w:val="24"/>
          <w:lang w:val="en-US" w:eastAsia="zh-CN" w:bidi="ar-SA"/>
        </w:rPr>
        <w:t>（二）</w:t>
      </w:r>
      <w:r>
        <w:rPr>
          <w:rFonts w:ascii="楷体_GB2312" w:hAnsi="楷体_GB2312" w:eastAsia="楷体_GB2312"/>
          <w:b/>
          <w:sz w:val="32"/>
        </w:rPr>
        <w:t>一般公共预算财政拨款支出决算结构情况</w:t>
      </w:r>
    </w:p>
    <w:p w14:paraId="48BD783A">
      <w:pPr>
        <w:spacing w:line="580" w:lineRule="exact"/>
        <w:ind w:firstLine="640"/>
        <w:jc w:val="both"/>
        <w:rPr>
          <w:rFonts w:hint="eastAsia" w:ascii="仿宋_GB2312" w:hAnsi="仿宋_GB2312" w:eastAsia="仿宋_GB2312"/>
          <w:b w:val="0"/>
          <w:sz w:val="32"/>
          <w:lang w:eastAsia="zh-CN"/>
        </w:rPr>
      </w:pPr>
      <w:r>
        <w:rPr>
          <w:rFonts w:ascii="仿宋_GB2312" w:hAnsi="仿宋_GB2312" w:eastAsia="仿宋_GB2312"/>
          <w:b w:val="0"/>
          <w:sz w:val="32"/>
        </w:rPr>
        <w:t>本单位本年度无一般公共预算财政拨款支出</w:t>
      </w:r>
      <w:r>
        <w:rPr>
          <w:rFonts w:hint="eastAsia" w:ascii="仿宋_GB2312" w:hAnsi="仿宋_GB2312" w:eastAsia="仿宋_GB2312"/>
          <w:b w:val="0"/>
          <w:sz w:val="32"/>
          <w:lang w:eastAsia="zh-CN"/>
        </w:rPr>
        <w:t>。</w:t>
      </w:r>
    </w:p>
    <w:p w14:paraId="274237A7">
      <w:pPr>
        <w:numPr>
          <w:ilvl w:val="0"/>
          <w:numId w:val="1"/>
        </w:numPr>
        <w:spacing w:line="640" w:lineRule="exact"/>
        <w:ind w:firstLine="640"/>
        <w:jc w:val="both"/>
        <w:outlineLvl w:val="3"/>
        <w:rPr>
          <w:rFonts w:ascii="楷体_GB2312" w:hAnsi="楷体_GB2312" w:eastAsia="楷体_GB2312"/>
          <w:b/>
          <w:sz w:val="32"/>
        </w:rPr>
      </w:pPr>
      <w:r>
        <w:rPr>
          <w:rFonts w:ascii="楷体_GB2312" w:hAnsi="楷体_GB2312" w:eastAsia="楷体_GB2312"/>
          <w:b/>
          <w:sz w:val="32"/>
        </w:rPr>
        <w:t>一般公共预算财政拨款支出决算具体情况</w:t>
      </w:r>
    </w:p>
    <w:p w14:paraId="43121B21">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本单位本年度无一般公共预算财政拨款支出</w:t>
      </w:r>
      <w:r>
        <w:rPr>
          <w:rFonts w:hint="eastAsia" w:ascii="仿宋_GB2312" w:hAnsi="仿宋_GB2312" w:eastAsia="仿宋_GB2312"/>
          <w:b w:val="0"/>
          <w:sz w:val="32"/>
          <w:lang w:eastAsia="zh-CN"/>
        </w:rPr>
        <w:t>。</w:t>
      </w:r>
    </w:p>
    <w:p w14:paraId="19170AD8">
      <w:pPr>
        <w:spacing w:line="640" w:lineRule="exact"/>
        <w:ind w:firstLine="640"/>
        <w:jc w:val="both"/>
        <w:outlineLvl w:val="2"/>
      </w:pPr>
      <w:r>
        <w:rPr>
          <w:rFonts w:ascii="黑体" w:hAnsi="黑体" w:eastAsia="黑体"/>
          <w:sz w:val="32"/>
        </w:rPr>
        <w:t>六、一般公共预算财政拨款基本支出决算情况说明</w:t>
      </w:r>
    </w:p>
    <w:p w14:paraId="3A9C5A2E">
      <w:pPr>
        <w:spacing w:line="580" w:lineRule="exact"/>
        <w:ind w:firstLine="640"/>
        <w:jc w:val="both"/>
      </w:pPr>
      <w:r>
        <w:rPr>
          <w:rFonts w:ascii="仿宋_GB2312" w:hAnsi="仿宋_GB2312" w:eastAsia="仿宋_GB2312"/>
          <w:b w:val="0"/>
          <w:sz w:val="32"/>
        </w:rPr>
        <w:t>2024年度一般公共预算财政拨款基本支出0.00万元，其中：</w:t>
      </w:r>
      <w:r>
        <w:rPr>
          <w:rFonts w:ascii="仿宋_GB2312" w:hAnsi="仿宋_GB2312" w:eastAsia="仿宋_GB2312"/>
          <w:b/>
          <w:sz w:val="32"/>
        </w:rPr>
        <w:t>人员经费0.00万元，</w:t>
      </w:r>
      <w:r>
        <w:rPr>
          <w:rFonts w:ascii="仿宋_GB2312" w:hAnsi="仿宋_GB2312" w:eastAsia="仿宋_GB2312"/>
          <w:b w:val="0"/>
          <w:sz w:val="32"/>
        </w:rPr>
        <w:t>包括：无人员经费。</w:t>
      </w:r>
    </w:p>
    <w:p w14:paraId="668908BC">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C6834E0">
      <w:pPr>
        <w:spacing w:line="640" w:lineRule="exact"/>
        <w:ind w:firstLine="640"/>
        <w:jc w:val="both"/>
        <w:outlineLvl w:val="2"/>
      </w:pPr>
      <w:r>
        <w:rPr>
          <w:rFonts w:ascii="黑体" w:hAnsi="黑体" w:eastAsia="黑体"/>
          <w:sz w:val="32"/>
        </w:rPr>
        <w:t>七、政府性基金预算财政拨款收入支出决算情况说明</w:t>
      </w:r>
    </w:p>
    <w:p w14:paraId="7A59061D">
      <w:pPr>
        <w:spacing w:line="580" w:lineRule="exact"/>
        <w:ind w:firstLine="640"/>
        <w:jc w:val="both"/>
      </w:pPr>
      <w:r>
        <w:rPr>
          <w:rFonts w:ascii="仿宋_GB2312" w:hAnsi="仿宋_GB2312" w:eastAsia="仿宋_GB2312"/>
          <w:b/>
          <w:sz w:val="32"/>
        </w:rPr>
        <w:t>2024年度政府性基金预算财政拨款收入总计279.39万元，</w:t>
      </w:r>
      <w:r>
        <w:rPr>
          <w:rFonts w:ascii="仿宋_GB2312" w:hAnsi="仿宋_GB2312" w:eastAsia="仿宋_GB2312"/>
          <w:b w:val="0"/>
          <w:sz w:val="32"/>
        </w:rPr>
        <w:t>其中：年初结转和结余0.00万元，本年收入279.39万元。</w:t>
      </w:r>
      <w:r>
        <w:rPr>
          <w:rFonts w:ascii="仿宋_GB2312" w:hAnsi="仿宋_GB2312" w:eastAsia="仿宋_GB2312"/>
          <w:b/>
          <w:sz w:val="32"/>
        </w:rPr>
        <w:t>政府性基金预算财政拨款支出总计279.39万元，</w:t>
      </w:r>
      <w:r>
        <w:rPr>
          <w:rFonts w:ascii="仿宋_GB2312" w:hAnsi="仿宋_GB2312" w:eastAsia="仿宋_GB2312"/>
          <w:b w:val="0"/>
          <w:sz w:val="32"/>
        </w:rPr>
        <w:t>其中：年末结转和结余0.00万元，本年支出279.39万元。</w:t>
      </w:r>
    </w:p>
    <w:p w14:paraId="1199045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增加30.11万元，增长12.08%，主要原因是：本年增加业务经费项目资金，导致经费较上年增加。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年初预算数292.00万元，决算数279.39万元，预决算差异率-4.32%，主要原因是：年中调减业务经费项目经费，导致预决算存在差异。</w:t>
      </w:r>
    </w:p>
    <w:p w14:paraId="04C7C1B0">
      <w:pPr>
        <w:spacing w:line="580" w:lineRule="exact"/>
        <w:ind w:firstLine="640"/>
        <w:jc w:val="both"/>
      </w:pPr>
      <w:r>
        <w:rPr>
          <w:rFonts w:ascii="仿宋_GB2312" w:hAnsi="仿宋_GB2312" w:eastAsia="仿宋_GB2312"/>
          <w:b w:val="0"/>
          <w:sz w:val="32"/>
        </w:rPr>
        <w:t>政府性基金预算财政拨款支出279.39万元。</w:t>
      </w:r>
    </w:p>
    <w:p w14:paraId="141F00BD">
      <w:pPr>
        <w:spacing w:line="580" w:lineRule="exact"/>
        <w:ind w:firstLine="640"/>
        <w:jc w:val="both"/>
      </w:pPr>
      <w:r>
        <w:rPr>
          <w:rFonts w:ascii="仿宋_GB2312" w:hAnsi="仿宋_GB2312" w:eastAsia="仿宋_GB2312"/>
          <w:b w:val="0"/>
          <w:sz w:val="32"/>
        </w:rPr>
        <w:t>1.其他支出(类)彩票发行销售机构业务费安排的支出(款)福利彩票销售机构的业务费支出(项):支出决算数为166.24万元，比上年决算增加55.12万元，增长49.60%,主要原因是：本年增加业务经费项目资金，导致经费较上年增加。</w:t>
      </w:r>
    </w:p>
    <w:p w14:paraId="5007AE8A">
      <w:pPr>
        <w:spacing w:line="580" w:lineRule="exact"/>
        <w:ind w:firstLine="640"/>
        <w:jc w:val="both"/>
      </w:pPr>
      <w:r>
        <w:rPr>
          <w:rFonts w:ascii="仿宋_GB2312" w:hAnsi="仿宋_GB2312" w:eastAsia="仿宋_GB2312"/>
          <w:b w:val="0"/>
          <w:sz w:val="32"/>
        </w:rPr>
        <w:t>2.其他支出(类)彩票发行销售机构业务费安排的支出(款)彩票市场调控资金支出(项):支出决算数为113.15万元，比上年决算减少25.01万元，下降18.10%,主要原因是：本年减少彩票市场调控资金项目，导致经费较上年减少。</w:t>
      </w:r>
    </w:p>
    <w:p w14:paraId="0B61359D">
      <w:pPr>
        <w:spacing w:line="640" w:lineRule="exact"/>
        <w:ind w:firstLine="640"/>
        <w:jc w:val="both"/>
        <w:outlineLvl w:val="2"/>
      </w:pPr>
      <w:r>
        <w:rPr>
          <w:rFonts w:ascii="黑体" w:hAnsi="黑体" w:eastAsia="黑体"/>
          <w:sz w:val="32"/>
        </w:rPr>
        <w:t>八、国有资本经营预算财政拨款收入支出决算情况说明</w:t>
      </w:r>
    </w:p>
    <w:p w14:paraId="0B715E9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CBD7F6D">
      <w:pPr>
        <w:spacing w:line="640" w:lineRule="exact"/>
        <w:ind w:firstLine="640"/>
        <w:jc w:val="both"/>
        <w:outlineLvl w:val="2"/>
      </w:pPr>
      <w:r>
        <w:rPr>
          <w:rFonts w:ascii="黑体" w:hAnsi="黑体" w:eastAsia="黑体"/>
          <w:sz w:val="32"/>
        </w:rPr>
        <w:t>九、财政拨款“三公”经费支出决算情况说明</w:t>
      </w:r>
    </w:p>
    <w:p w14:paraId="4F18BC62">
      <w:pPr>
        <w:spacing w:line="580" w:lineRule="exact"/>
        <w:ind w:firstLine="640"/>
        <w:jc w:val="both"/>
      </w:pPr>
      <w:r>
        <w:rPr>
          <w:rFonts w:ascii="仿宋_GB2312" w:hAnsi="仿宋_GB2312" w:eastAsia="仿宋_GB2312"/>
          <w:b/>
          <w:sz w:val="32"/>
        </w:rPr>
        <w:t>2024年度财政拨款“三公”经费支出3.33万元，</w:t>
      </w:r>
      <w:r>
        <w:rPr>
          <w:rFonts w:ascii="仿宋_GB2312" w:hAnsi="仿宋_GB2312" w:eastAsia="仿宋_GB2312"/>
          <w:b w:val="0"/>
          <w:sz w:val="32"/>
        </w:rPr>
        <w:t>比上年增加1.52万元，增长83.98%，主要原因是</w:t>
      </w:r>
      <w:r>
        <w:rPr>
          <w:rFonts w:hint="eastAsia" w:ascii="仿宋_GB2312" w:hAnsi="仿宋_GB2312" w:eastAsia="仿宋_GB2312"/>
          <w:b w:val="0"/>
          <w:sz w:val="32"/>
          <w:lang w:eastAsia="zh-CN"/>
        </w:rPr>
        <w:t>：</w:t>
      </w:r>
      <w:r>
        <w:rPr>
          <w:rFonts w:ascii="仿宋_GB2312" w:hAnsi="仿宋_GB2312" w:eastAsia="仿宋_GB2312"/>
          <w:b w:val="0"/>
          <w:sz w:val="32"/>
        </w:rPr>
        <w:t>本年因业务需求，公务用车运行频次增加，燃油费、过路费增加，导致经费较上年增加。其中：因公出国（境）费支出0.00万元，占0.00%，比上年增加0.00万元，增长0.00%，主要原因是：2023年与2024年均未安排因公出国（境）费支出。公务用车购置及运行维护费支出3.00万元，占90.09%，比上年增加1.19万元，增长65.75%，主要原因是</w:t>
      </w:r>
      <w:r>
        <w:rPr>
          <w:rFonts w:hint="eastAsia" w:ascii="仿宋_GB2312" w:hAnsi="仿宋_GB2312" w:eastAsia="仿宋_GB2312"/>
          <w:b w:val="0"/>
          <w:sz w:val="32"/>
          <w:lang w:eastAsia="zh-CN"/>
        </w:rPr>
        <w:t>：</w:t>
      </w:r>
      <w:r>
        <w:rPr>
          <w:rFonts w:ascii="仿宋_GB2312" w:hAnsi="仿宋_GB2312" w:eastAsia="仿宋_GB2312"/>
          <w:b w:val="0"/>
          <w:sz w:val="32"/>
        </w:rPr>
        <w:t>本年因业务需求，公务用车运行频次增加，燃油费、过路费增加，导致经费较上年增加。公务接待费支出0.33万元，占9.91%，比上年增加0.33万元，增长100.00%，主要原因是：本年因业务需求，增加公务接待工作，导致公务接待费较上年增加。</w:t>
      </w:r>
    </w:p>
    <w:p w14:paraId="0D914F7E">
      <w:pPr>
        <w:spacing w:line="580" w:lineRule="exact"/>
        <w:ind w:firstLine="640"/>
        <w:jc w:val="both"/>
      </w:pPr>
      <w:r>
        <w:rPr>
          <w:rFonts w:ascii="仿宋_GB2312" w:hAnsi="仿宋_GB2312" w:eastAsia="仿宋_GB2312"/>
          <w:b/>
          <w:sz w:val="32"/>
        </w:rPr>
        <w:t>具体情况如下：</w:t>
      </w:r>
    </w:p>
    <w:p w14:paraId="3157FBD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030A5F3">
      <w:pPr>
        <w:spacing w:line="580" w:lineRule="exact"/>
        <w:ind w:firstLine="640"/>
        <w:jc w:val="both"/>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4943630E">
      <w:pPr>
        <w:spacing w:line="580" w:lineRule="exact"/>
        <w:ind w:firstLine="640"/>
        <w:jc w:val="both"/>
      </w:pPr>
      <w:r>
        <w:rPr>
          <w:rFonts w:ascii="仿宋_GB2312" w:hAnsi="仿宋_GB2312" w:eastAsia="仿宋_GB2312"/>
          <w:b w:val="0"/>
          <w:sz w:val="32"/>
        </w:rPr>
        <w:t>公务接待费0.33万元，开支内容包括接待检查小组产生的就餐费。单位全年安排的国内公务接待2批次，29人次。</w:t>
      </w:r>
    </w:p>
    <w:p w14:paraId="3FF0FE1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3.33万元，决算数3.33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0.33万元，决算数0.33万元，预决算差异率0.00%，主要原因是：严格按照预算执行，预决算无差异。</w:t>
      </w:r>
    </w:p>
    <w:p w14:paraId="48FFB5A7">
      <w:pPr>
        <w:spacing w:line="640" w:lineRule="exact"/>
        <w:ind w:firstLine="640"/>
        <w:jc w:val="both"/>
        <w:outlineLvl w:val="2"/>
      </w:pPr>
      <w:r>
        <w:rPr>
          <w:rFonts w:ascii="黑体" w:hAnsi="黑体" w:eastAsia="黑体"/>
          <w:sz w:val="32"/>
        </w:rPr>
        <w:t>十、其他重要事项的情况说明</w:t>
      </w:r>
    </w:p>
    <w:p w14:paraId="192C2AA8">
      <w:pPr>
        <w:spacing w:line="640" w:lineRule="exact"/>
        <w:ind w:firstLine="640"/>
        <w:jc w:val="both"/>
        <w:outlineLvl w:val="3"/>
      </w:pPr>
      <w:r>
        <w:rPr>
          <w:rFonts w:ascii="楷体_GB2312" w:hAnsi="楷体_GB2312" w:eastAsia="楷体_GB2312"/>
          <w:b/>
          <w:sz w:val="32"/>
        </w:rPr>
        <w:t>（一）机关运行经费及公用经费支出情况</w:t>
      </w:r>
    </w:p>
    <w:p w14:paraId="4F149A67">
      <w:pPr>
        <w:spacing w:line="580" w:lineRule="exact"/>
        <w:ind w:firstLine="640"/>
        <w:jc w:val="both"/>
      </w:pPr>
      <w:r>
        <w:rPr>
          <w:rFonts w:ascii="仿宋_GB2312" w:hAnsi="仿宋_GB2312" w:eastAsia="仿宋_GB2312"/>
          <w:b w:val="0"/>
          <w:sz w:val="32"/>
        </w:rPr>
        <w:t>2024年度克孜勒苏柯尔克孜自治州福利彩票发行中心（事业单位）公用经费支出0.00万元，比上年增加0.00万元，增长0.00%，主要原因是：2023年与2024年均未安排公用经费支出。</w:t>
      </w:r>
    </w:p>
    <w:p w14:paraId="15A61438">
      <w:pPr>
        <w:spacing w:line="640" w:lineRule="exact"/>
        <w:ind w:firstLine="640"/>
        <w:jc w:val="both"/>
        <w:outlineLvl w:val="3"/>
      </w:pPr>
      <w:r>
        <w:rPr>
          <w:rFonts w:ascii="楷体_GB2312" w:hAnsi="楷体_GB2312" w:eastAsia="楷体_GB2312"/>
          <w:b/>
          <w:sz w:val="32"/>
        </w:rPr>
        <w:t>（二）政府采购情况</w:t>
      </w:r>
    </w:p>
    <w:p w14:paraId="76AAA72A">
      <w:pPr>
        <w:spacing w:line="580" w:lineRule="exact"/>
        <w:ind w:firstLine="640"/>
        <w:jc w:val="both"/>
      </w:pPr>
      <w:r>
        <w:rPr>
          <w:rFonts w:ascii="仿宋_GB2312" w:hAnsi="仿宋_GB2312" w:eastAsia="仿宋_GB2312"/>
          <w:b w:val="0"/>
          <w:sz w:val="32"/>
        </w:rPr>
        <w:t>2024年度政府采购支出总额61.91万元，其中：政府采购货物支出2.73万元、政府采购工程支出0.34万元、政府采购服务支出58.83万元。</w:t>
      </w:r>
    </w:p>
    <w:p w14:paraId="1A139669">
      <w:pPr>
        <w:spacing w:line="580" w:lineRule="exact"/>
        <w:ind w:firstLine="640"/>
        <w:jc w:val="both"/>
      </w:pPr>
      <w:r>
        <w:rPr>
          <w:rFonts w:ascii="仿宋_GB2312" w:hAnsi="仿宋_GB2312" w:eastAsia="仿宋_GB2312"/>
          <w:b w:val="0"/>
          <w:sz w:val="32"/>
        </w:rPr>
        <w:t>授予中小企业合同金额61.91万元，占政府采购支出总额的100.00%，其中：授予小微企业合同金额61.91万元，占政府采购支出总额的100.00%。</w:t>
      </w:r>
    </w:p>
    <w:p w14:paraId="626B0433">
      <w:pPr>
        <w:spacing w:line="640" w:lineRule="exact"/>
        <w:ind w:firstLine="640"/>
        <w:jc w:val="both"/>
        <w:outlineLvl w:val="3"/>
      </w:pPr>
      <w:r>
        <w:rPr>
          <w:rFonts w:ascii="楷体_GB2312" w:hAnsi="楷体_GB2312" w:eastAsia="楷体_GB2312"/>
          <w:b/>
          <w:sz w:val="32"/>
        </w:rPr>
        <w:t>（三）国有资产占用情况说明</w:t>
      </w:r>
    </w:p>
    <w:p w14:paraId="7ED0E282">
      <w:pPr>
        <w:spacing w:line="580" w:lineRule="exact"/>
        <w:ind w:firstLine="640"/>
        <w:jc w:val="both"/>
      </w:pPr>
      <w:r>
        <w:rPr>
          <w:rFonts w:ascii="仿宋_GB2312" w:hAnsi="仿宋_GB2312" w:eastAsia="仿宋_GB2312"/>
          <w:b w:val="0"/>
          <w:sz w:val="32"/>
        </w:rPr>
        <w:t>截至2024年12月31日，房屋65.00平方米，价值10.00万元。车辆1辆，价值17.35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FECA924">
      <w:pPr>
        <w:spacing w:line="640" w:lineRule="exact"/>
        <w:ind w:firstLine="640"/>
        <w:jc w:val="both"/>
        <w:outlineLvl w:val="2"/>
      </w:pPr>
      <w:r>
        <w:rPr>
          <w:rFonts w:ascii="黑体" w:hAnsi="黑体" w:eastAsia="黑体"/>
          <w:sz w:val="32"/>
        </w:rPr>
        <w:t>十一、预算绩效的情况说明</w:t>
      </w:r>
    </w:p>
    <w:p w14:paraId="3553DD2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279.39万元，实际执行总额279.39万元；预算绩效评价项目2个，全年预算数292.00万元，全年执行数279.39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w:t>
      </w:r>
      <w:r>
        <w:rPr>
          <w:rFonts w:hint="eastAsia" w:ascii="仿宋_GB2312" w:hAnsi="仿宋_GB2312" w:eastAsia="仿宋_GB2312"/>
          <w:b w:val="0"/>
          <w:sz w:val="32"/>
          <w:lang w:val="en-US" w:eastAsia="zh-CN"/>
        </w:rPr>
        <w:t>和自评报告</w:t>
      </w:r>
      <w:bookmarkStart w:id="0" w:name="_GoBack"/>
      <w:bookmarkEnd w:id="0"/>
      <w:r>
        <w:rPr>
          <w:rFonts w:ascii="仿宋_GB2312" w:hAnsi="仿宋_GB2312" w:eastAsia="仿宋_GB2312"/>
          <w:b w:val="0"/>
          <w:sz w:val="32"/>
        </w:rPr>
        <w:t>。</w:t>
      </w:r>
    </w:p>
    <w:p w14:paraId="0ECFDB8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1915C3B">
        <w:tblPrEx>
          <w:tblCellMar>
            <w:top w:w="0" w:type="dxa"/>
            <w:left w:w="108" w:type="dxa"/>
            <w:bottom w:w="0" w:type="dxa"/>
            <w:right w:w="108" w:type="dxa"/>
          </w:tblCellMar>
        </w:tblPrEx>
        <w:tc>
          <w:tcPr>
            <w:tcW w:w="8840" w:type="dxa"/>
            <w:gridSpan w:val="8"/>
            <w:vAlign w:val="center"/>
          </w:tcPr>
          <w:p w14:paraId="65A05979">
            <w:pPr>
              <w:jc w:val="center"/>
            </w:pPr>
            <w:r>
              <w:rPr>
                <w:rFonts w:ascii="宋体" w:hAnsi="宋体" w:eastAsia="宋体"/>
                <w:sz w:val="24"/>
              </w:rPr>
              <w:t>单位整体支出绩效自评表</w:t>
            </w:r>
          </w:p>
        </w:tc>
      </w:tr>
      <w:tr w14:paraId="34840090">
        <w:tblPrEx>
          <w:tblCellMar>
            <w:top w:w="0" w:type="dxa"/>
            <w:left w:w="108" w:type="dxa"/>
            <w:bottom w:w="0" w:type="dxa"/>
            <w:right w:w="108" w:type="dxa"/>
          </w:tblCellMar>
        </w:tblPrEx>
        <w:tc>
          <w:tcPr>
            <w:tcW w:w="8840" w:type="dxa"/>
            <w:gridSpan w:val="8"/>
            <w:vAlign w:val="center"/>
          </w:tcPr>
          <w:p w14:paraId="5DBD0F84">
            <w:pPr>
              <w:jc w:val="center"/>
            </w:pPr>
            <w:r>
              <w:rPr>
                <w:rFonts w:ascii="宋体" w:hAnsi="宋体" w:eastAsia="宋体"/>
                <w:sz w:val="24"/>
              </w:rPr>
              <w:t>（2024年度）</w:t>
            </w:r>
          </w:p>
        </w:tc>
      </w:tr>
      <w:tr w14:paraId="1B9666D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B5024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DA5EB">
            <w:pPr>
              <w:jc w:val="center"/>
            </w:pPr>
            <w:r>
              <w:rPr>
                <w:rFonts w:ascii="宋体" w:hAnsi="宋体" w:eastAsia="宋体"/>
                <w:sz w:val="16"/>
              </w:rPr>
              <w:t>克孜勒苏柯尔克孜自治州福利彩票发行中心</w:t>
            </w:r>
          </w:p>
        </w:tc>
      </w:tr>
      <w:tr w14:paraId="307E35A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4354A">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32F68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0DC12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AB55C2">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2182D">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F778A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B7D0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39276">
            <w:pPr>
              <w:jc w:val="center"/>
            </w:pPr>
            <w:r>
              <w:rPr>
                <w:rFonts w:ascii="宋体" w:hAnsi="宋体" w:eastAsia="宋体"/>
                <w:sz w:val="16"/>
              </w:rPr>
              <w:t>得分</w:t>
            </w:r>
          </w:p>
        </w:tc>
      </w:tr>
      <w:tr w14:paraId="096A11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09B2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EE467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37ED38">
            <w:pPr>
              <w:jc w:val="center"/>
            </w:pPr>
            <w:r>
              <w:rPr>
                <w:rFonts w:ascii="宋体" w:hAnsi="宋体" w:eastAsia="宋体"/>
                <w:sz w:val="16"/>
              </w:rPr>
              <w:t>292.00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8C011A">
            <w:pPr>
              <w:jc w:val="center"/>
            </w:pPr>
            <w:r>
              <w:rPr>
                <w:rFonts w:ascii="宋体" w:hAnsi="宋体" w:eastAsia="宋体"/>
                <w:sz w:val="16"/>
              </w:rPr>
              <w:t>279.39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72D74">
            <w:pPr>
              <w:jc w:val="center"/>
            </w:pPr>
            <w:r>
              <w:rPr>
                <w:rFonts w:ascii="宋体" w:hAnsi="宋体" w:eastAsia="宋体"/>
                <w:sz w:val="16"/>
              </w:rPr>
              <w:t>279.39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1278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8C98A7">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D9988">
            <w:pPr>
              <w:jc w:val="center"/>
            </w:pPr>
            <w:r>
              <w:rPr>
                <w:rFonts w:ascii="宋体" w:hAnsi="宋体" w:eastAsia="宋体"/>
                <w:sz w:val="16"/>
              </w:rPr>
              <w:t>10</w:t>
            </w:r>
          </w:p>
        </w:tc>
      </w:tr>
      <w:tr w14:paraId="20F94EE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B09EC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1DE50">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A027C6">
            <w:pPr>
              <w:jc w:val="center"/>
            </w:pPr>
            <w:r>
              <w:rPr>
                <w:rFonts w:ascii="宋体" w:hAnsi="宋体" w:eastAsia="宋体"/>
                <w:sz w:val="16"/>
              </w:rPr>
              <w:t>122.00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320C8D">
            <w:pPr>
              <w:jc w:val="center"/>
            </w:pPr>
            <w:r>
              <w:rPr>
                <w:rFonts w:ascii="宋体" w:hAnsi="宋体" w:eastAsia="宋体"/>
                <w:sz w:val="16"/>
              </w:rPr>
              <w:t>113.15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B15381">
            <w:pPr>
              <w:jc w:val="center"/>
            </w:pPr>
            <w:r>
              <w:rPr>
                <w:rFonts w:ascii="宋体" w:hAnsi="宋体" w:eastAsia="宋体"/>
                <w:sz w:val="16"/>
              </w:rPr>
              <w:t>113.15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C1C8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255C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DA7D30">
            <w:pPr>
              <w:jc w:val="center"/>
            </w:pPr>
            <w:r>
              <w:rPr>
                <w:rFonts w:ascii="宋体" w:hAnsi="宋体" w:eastAsia="宋体"/>
                <w:sz w:val="16"/>
              </w:rPr>
              <w:t>—</w:t>
            </w:r>
          </w:p>
        </w:tc>
      </w:tr>
      <w:tr w14:paraId="0B298CB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48C33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0014E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DAB5C2">
            <w:pPr>
              <w:jc w:val="center"/>
            </w:pPr>
            <w:r>
              <w:rPr>
                <w:rFonts w:ascii="宋体" w:hAnsi="宋体" w:eastAsia="宋体"/>
                <w:sz w:val="16"/>
              </w:rPr>
              <w:t>170.00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87F031">
            <w:pPr>
              <w:jc w:val="center"/>
            </w:pPr>
            <w:r>
              <w:rPr>
                <w:rFonts w:ascii="宋体" w:hAnsi="宋体" w:eastAsia="宋体"/>
                <w:sz w:val="16"/>
              </w:rPr>
              <w:t>166.24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E1E11">
            <w:pPr>
              <w:jc w:val="center"/>
            </w:pPr>
            <w:r>
              <w:rPr>
                <w:rFonts w:ascii="宋体" w:hAnsi="宋体" w:eastAsia="宋体"/>
                <w:sz w:val="16"/>
              </w:rPr>
              <w:t>166.24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D8F3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13B7E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599551">
            <w:pPr>
              <w:jc w:val="center"/>
            </w:pPr>
            <w:r>
              <w:rPr>
                <w:rFonts w:ascii="宋体" w:hAnsi="宋体" w:eastAsia="宋体"/>
                <w:sz w:val="16"/>
              </w:rPr>
              <w:t>—</w:t>
            </w:r>
          </w:p>
        </w:tc>
      </w:tr>
      <w:tr w14:paraId="65E0E99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32C29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1D50A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30BB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1B55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5FA90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27FCC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95AAF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3F0DB">
            <w:pPr>
              <w:jc w:val="center"/>
            </w:pPr>
            <w:r>
              <w:rPr>
                <w:rFonts w:ascii="宋体" w:hAnsi="宋体" w:eastAsia="宋体"/>
                <w:sz w:val="16"/>
              </w:rPr>
              <w:t>—</w:t>
            </w:r>
          </w:p>
        </w:tc>
      </w:tr>
      <w:tr w14:paraId="1E8B76A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7AD5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10E10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0B20D7">
            <w:pPr>
              <w:jc w:val="center"/>
              <w:rPr>
                <w:rFonts w:hint="eastAsia" w:eastAsia="宋体"/>
                <w:lang w:eastAsia="zh-CN"/>
              </w:rPr>
            </w:pPr>
            <w:r>
              <w:rPr>
                <w:rFonts w:hint="eastAsia" w:ascii="宋体" w:hAnsi="宋体"/>
                <w:sz w:val="16"/>
                <w:lang w:eastAsia="zh-CN"/>
              </w:rPr>
              <w:t>实际完成情况</w:t>
            </w:r>
          </w:p>
        </w:tc>
      </w:tr>
      <w:tr w14:paraId="7148958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6E1F8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4126C5">
            <w:pPr>
              <w:jc w:val="both"/>
            </w:pPr>
            <w:r>
              <w:rPr>
                <w:rFonts w:ascii="宋体" w:hAnsi="宋体" w:eastAsia="宋体"/>
                <w:sz w:val="16"/>
              </w:rPr>
              <w:t>提高彩民群体对福彩公益熟悉与娱乐属性并存的认知度，规范全州彩票销售市场秩序，支持基层彩票销售网点发展，夯实市场运维服务基础，提升福利彩票宣传力度和销售网点标准化建设水平，进一步完成2024年福利彩票销售额，最大限度筹集彩票</w:t>
            </w:r>
            <w:r>
              <w:rPr>
                <w:rFonts w:hint="eastAsia" w:ascii="宋体" w:hAnsi="宋体"/>
                <w:sz w:val="16"/>
                <w:lang w:eastAsia="zh-CN"/>
              </w:rPr>
              <w:t>公益金</w:t>
            </w:r>
            <w:r>
              <w:rPr>
                <w:rFonts w:ascii="宋体" w:hAnsi="宋体" w:eastAsia="宋体"/>
                <w:sz w:val="16"/>
              </w:rPr>
              <w:t>。努力推动福利彩票转型发展取得新成效，开创福利彩票高质量发展新局面，确保克州福利彩票工作稳步、健康、高质量发展。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3FAC17">
            <w:pPr>
              <w:jc w:val="both"/>
            </w:pPr>
            <w:r>
              <w:rPr>
                <w:rFonts w:ascii="宋体" w:hAnsi="宋体" w:eastAsia="宋体"/>
                <w:sz w:val="16"/>
              </w:rPr>
              <w:t>截至2024年12月31日，　　2024年我州共有68个福彩销售网点，全年共销售福利彩票14906万元，与去年同期相比</w:t>
            </w:r>
            <w:r>
              <w:rPr>
                <w:rFonts w:hint="eastAsia" w:ascii="宋体" w:hAnsi="宋体"/>
                <w:sz w:val="16"/>
                <w:lang w:eastAsia="zh-CN"/>
              </w:rPr>
              <w:t>增长</w:t>
            </w:r>
            <w:r>
              <w:rPr>
                <w:rFonts w:ascii="宋体" w:hAnsi="宋体" w:eastAsia="宋体"/>
                <w:sz w:val="16"/>
              </w:rPr>
              <w:t>了2511万元，增幅20%。为州本级筹集公益金1079万元。通过以上工作的实施，保障了</w:t>
            </w:r>
            <w:r>
              <w:rPr>
                <w:rFonts w:hint="eastAsia" w:ascii="宋体" w:hAnsi="宋体"/>
                <w:sz w:val="16"/>
                <w:lang w:eastAsia="zh-CN"/>
              </w:rPr>
              <w:t>本单位</w:t>
            </w:r>
            <w:r>
              <w:rPr>
                <w:rFonts w:ascii="宋体" w:hAnsi="宋体" w:eastAsia="宋体"/>
                <w:sz w:val="16"/>
              </w:rPr>
              <w:t>6名职工的工资、福利及社保正常发放及缴纳，确保民生工作落实到位；保障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1辆公务用车的运行及维护，保障单位各项工作的正常运转，确保机构运转正常；2024年建设县级兑奖点3个，全年共兑付常规奖122笔485.7万元，代扣代缴偶然所得税35万元，处理各类投诉4起，耗材配送3500卷。持续完善相关工作机制，组织做好彩票兑奖与适用</w:t>
            </w:r>
            <w:r>
              <w:rPr>
                <w:rFonts w:hint="eastAsia" w:ascii="宋体" w:hAnsi="宋体"/>
                <w:sz w:val="16"/>
                <w:lang w:eastAsia="zh-CN"/>
              </w:rPr>
              <w:t>税收政策</w:t>
            </w:r>
            <w:r>
              <w:rPr>
                <w:rFonts w:ascii="宋体" w:hAnsi="宋体" w:eastAsia="宋体"/>
                <w:sz w:val="16"/>
              </w:rPr>
              <w:t>调整业务专题培训。确保销售员及时掌握新政策内容，执行口径精准统一。</w:t>
            </w:r>
            <w:r>
              <w:rPr>
                <w:rFonts w:ascii="宋体" w:hAnsi="宋体" w:eastAsia="宋体"/>
                <w:sz w:val="16"/>
              </w:rPr>
              <w:br w:type="textWrapping"/>
            </w:r>
            <w:r>
              <w:rPr>
                <w:rFonts w:ascii="宋体" w:hAnsi="宋体" w:eastAsia="宋体"/>
                <w:sz w:val="16"/>
              </w:rPr>
              <w:t>　　使用自治区福彩中心39.79万元，标准化建设销售网点18个；结合区福彩中心标准化建设项目，使用州本级市场调控资金15万元，标</w:t>
            </w:r>
            <w:r>
              <w:rPr>
                <w:rFonts w:hint="eastAsia" w:ascii="宋体" w:hAnsi="宋体"/>
                <w:sz w:val="16"/>
                <w:lang w:eastAsia="zh-CN"/>
              </w:rPr>
              <w:t>准化</w:t>
            </w:r>
            <w:r>
              <w:rPr>
                <w:rFonts w:ascii="宋体" w:hAnsi="宋体" w:eastAsia="宋体"/>
                <w:sz w:val="16"/>
              </w:rPr>
              <w:t>建设销售网点20个；使用了州本级发行费7.7万元建设22个福彩爱心公益驿站，提升了福利彩票的公益属性和品牌影响力；使用本级发行费4.8万元，制作即开票刮奖片，刮奖片双面印制福彩公益宣传图片；全面提高福利彩票形象和品牌效益和投注站健康安全运行。</w:t>
            </w:r>
            <w:r>
              <w:rPr>
                <w:rFonts w:ascii="宋体" w:hAnsi="宋体" w:eastAsia="宋体"/>
                <w:sz w:val="16"/>
              </w:rPr>
              <w:br w:type="textWrapping"/>
            </w:r>
            <w:r>
              <w:rPr>
                <w:rFonts w:ascii="宋体" w:hAnsi="宋体" w:eastAsia="宋体"/>
                <w:sz w:val="16"/>
              </w:rPr>
              <w:t>　　彩票市场呈现多点、多渠道拓展销售的良好态势。稳定市场和发展销售，以先进带动后进，促进销售。通过树典型、立榜样，以经营服务优、即开票、电脑票销售位居前列的销售员为榜样。通过培训会，现场分享经验，激发并带动所有销售员的积极性。拓展公益宣传方式，增强品牌发展动力。为了更好地弘扬福利彩票的公益、慈善精神，促进克州福利彩票事业的发展；筹集更多的福彩公益金，确保完成今年上级下达的销售任务，我中心使用30.24万元市场调控资金，在60部电梯广告和18个道闸广告上进行宣传，有效提高克州彩民群体对福彩公益属性与娱乐属性的认知度。做好各项管理服务工作，为福彩事业高质量发展筑牢根基，同步开展好兑奖服务、营销活动组织策划、市场规划开发、投诉处理、设备维护、耗材配送等相关业务工作。</w:t>
            </w:r>
          </w:p>
        </w:tc>
      </w:tr>
      <w:tr w14:paraId="2173E2B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A8227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43E04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D197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355660">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F00F7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BC61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982D5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8E0E8">
            <w:pPr>
              <w:jc w:val="center"/>
            </w:pPr>
            <w:r>
              <w:rPr>
                <w:rFonts w:ascii="宋体" w:hAnsi="宋体" w:eastAsia="宋体"/>
                <w:sz w:val="16"/>
              </w:rPr>
              <w:t>得分</w:t>
            </w:r>
          </w:p>
        </w:tc>
      </w:tr>
      <w:tr w14:paraId="3E4613C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C41B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F031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5BBB4A">
            <w:pPr>
              <w:jc w:val="center"/>
            </w:pPr>
            <w:r>
              <w:rPr>
                <w:rFonts w:ascii="宋体" w:hAnsi="宋体" w:eastAsia="宋体"/>
                <w:sz w:val="16"/>
              </w:rPr>
              <w:t>全年福彩销售额（万元）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6031F4">
            <w:pPr>
              <w:jc w:val="center"/>
            </w:pPr>
            <w:r>
              <w:rPr>
                <w:rFonts w:ascii="宋体" w:hAnsi="宋体" w:eastAsia="宋体"/>
                <w:sz w:val="16"/>
              </w:rPr>
              <w:t>&gt;=8000万元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B12501">
            <w:pPr>
              <w:jc w:val="center"/>
            </w:pPr>
            <w:r>
              <w:rPr>
                <w:rFonts w:ascii="宋体" w:hAnsi="宋体" w:eastAsia="宋体"/>
                <w:sz w:val="16"/>
              </w:rPr>
              <w:t>新民发</w:t>
            </w:r>
            <w:r>
              <w:rPr>
                <w:rFonts w:hint="eastAsia" w:ascii="宋体" w:hAnsi="宋体"/>
                <w:sz w:val="16"/>
                <w:lang w:eastAsia="zh-CN"/>
              </w:rPr>
              <w:t>〔2023〕58号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1E8FF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5CCE3F">
            <w:pPr>
              <w:jc w:val="center"/>
            </w:pPr>
            <w:r>
              <w:rPr>
                <w:rFonts w:ascii="宋体" w:hAnsi="宋体" w:eastAsia="宋体"/>
                <w:sz w:val="16"/>
              </w:rPr>
              <w:t>14906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8F3CF">
            <w:pPr>
              <w:jc w:val="center"/>
            </w:pPr>
            <w:r>
              <w:rPr>
                <w:rFonts w:ascii="宋体" w:hAnsi="宋体" w:eastAsia="宋体"/>
                <w:sz w:val="16"/>
              </w:rPr>
              <w:t>30</w:t>
            </w:r>
          </w:p>
        </w:tc>
      </w:tr>
      <w:tr w14:paraId="4935B70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3791B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3F4EB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2B2A31">
            <w:pPr>
              <w:jc w:val="center"/>
            </w:pPr>
            <w:r>
              <w:rPr>
                <w:rFonts w:ascii="宋体" w:hAnsi="宋体" w:eastAsia="宋体"/>
                <w:sz w:val="16"/>
              </w:rPr>
              <w:t>支持彩票销售网点数量（个）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00FCD">
            <w:pPr>
              <w:jc w:val="center"/>
            </w:pPr>
            <w:r>
              <w:rPr>
                <w:rFonts w:ascii="宋体" w:hAnsi="宋体" w:eastAsia="宋体"/>
                <w:sz w:val="16"/>
              </w:rPr>
              <w:t>&gt;=61个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9D036">
            <w:pPr>
              <w:jc w:val="center"/>
            </w:pPr>
            <w:r>
              <w:rPr>
                <w:rFonts w:ascii="宋体" w:hAnsi="宋体" w:eastAsia="宋体"/>
                <w:sz w:val="16"/>
              </w:rPr>
              <w:t>克州福彩投注站明细表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FFA92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51FF6B">
            <w:pPr>
              <w:jc w:val="center"/>
            </w:pPr>
            <w:r>
              <w:rPr>
                <w:rFonts w:ascii="宋体" w:hAnsi="宋体" w:eastAsia="宋体"/>
                <w:sz w:val="16"/>
              </w:rPr>
              <w:t>68个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75719">
            <w:pPr>
              <w:jc w:val="center"/>
            </w:pPr>
            <w:r>
              <w:rPr>
                <w:rFonts w:ascii="宋体" w:hAnsi="宋体" w:eastAsia="宋体"/>
                <w:sz w:val="16"/>
              </w:rPr>
              <w:t>30</w:t>
            </w:r>
          </w:p>
        </w:tc>
      </w:tr>
      <w:tr w14:paraId="66EDFB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570E1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79C00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0A31CA">
            <w:pPr>
              <w:jc w:val="center"/>
            </w:pPr>
            <w:r>
              <w:rPr>
                <w:rFonts w:ascii="宋体" w:hAnsi="宋体" w:eastAsia="宋体"/>
                <w:sz w:val="16"/>
              </w:rPr>
              <w:t>2024年福利彩票公益金筹集量（万元）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B9F0E8">
            <w:pPr>
              <w:jc w:val="center"/>
            </w:pPr>
            <w:r>
              <w:rPr>
                <w:rFonts w:ascii="宋体" w:hAnsi="宋体" w:eastAsia="宋体"/>
                <w:sz w:val="16"/>
              </w:rPr>
              <w:t>&gt;=600万元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F729F1">
            <w:pPr>
              <w:jc w:val="center"/>
            </w:pPr>
            <w:r>
              <w:rPr>
                <w:rFonts w:ascii="宋体" w:hAnsi="宋体" w:eastAsia="宋体"/>
                <w:sz w:val="16"/>
              </w:rPr>
              <w:t>提取彩票公益金情况说明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DF72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FF90E">
            <w:pPr>
              <w:jc w:val="center"/>
            </w:pPr>
            <w:r>
              <w:rPr>
                <w:rFonts w:ascii="宋体" w:hAnsi="宋体" w:eastAsia="宋体"/>
                <w:sz w:val="16"/>
              </w:rPr>
              <w:t>1068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3B7EB">
            <w:pPr>
              <w:jc w:val="center"/>
            </w:pPr>
            <w:r>
              <w:rPr>
                <w:rFonts w:ascii="宋体" w:hAnsi="宋体" w:eastAsia="宋体"/>
                <w:sz w:val="16"/>
              </w:rPr>
              <w:t>30</w:t>
            </w:r>
          </w:p>
        </w:tc>
      </w:tr>
    </w:tbl>
    <w:p w14:paraId="1BEAAF9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696"/>
        <w:gridCol w:w="625"/>
        <w:gridCol w:w="630"/>
        <w:gridCol w:w="626"/>
        <w:gridCol w:w="626"/>
        <w:gridCol w:w="626"/>
        <w:gridCol w:w="776"/>
        <w:gridCol w:w="631"/>
        <w:gridCol w:w="617"/>
        <w:gridCol w:w="632"/>
      </w:tblGrid>
      <w:tr w14:paraId="1A5E3B4C">
        <w:tblPrEx>
          <w:tblCellMar>
            <w:top w:w="0" w:type="dxa"/>
            <w:left w:w="108" w:type="dxa"/>
            <w:bottom w:w="0" w:type="dxa"/>
            <w:right w:w="108" w:type="dxa"/>
          </w:tblCellMar>
        </w:tblPrEx>
        <w:tc>
          <w:tcPr>
            <w:tcW w:w="8848" w:type="dxa"/>
            <w:gridSpan w:val="14"/>
            <w:vAlign w:val="center"/>
          </w:tcPr>
          <w:p w14:paraId="00265DEF">
            <w:pPr>
              <w:jc w:val="center"/>
            </w:pPr>
            <w:r>
              <w:rPr>
                <w:rFonts w:ascii="宋体" w:hAnsi="宋体" w:eastAsia="宋体"/>
                <w:sz w:val="24"/>
              </w:rPr>
              <w:t>项目支出绩效自评表</w:t>
            </w:r>
          </w:p>
        </w:tc>
      </w:tr>
      <w:tr w14:paraId="62E7F289">
        <w:tblPrEx>
          <w:tblCellMar>
            <w:top w:w="0" w:type="dxa"/>
            <w:left w:w="108" w:type="dxa"/>
            <w:bottom w:w="0" w:type="dxa"/>
            <w:right w:w="108" w:type="dxa"/>
          </w:tblCellMar>
        </w:tblPrEx>
        <w:tc>
          <w:tcPr>
            <w:tcW w:w="8848" w:type="dxa"/>
            <w:gridSpan w:val="14"/>
            <w:vAlign w:val="center"/>
          </w:tcPr>
          <w:p w14:paraId="77648385">
            <w:pPr>
              <w:jc w:val="center"/>
            </w:pPr>
            <w:r>
              <w:rPr>
                <w:rFonts w:ascii="宋体" w:hAnsi="宋体" w:eastAsia="宋体"/>
                <w:sz w:val="24"/>
              </w:rPr>
              <w:t>(2024年度)</w:t>
            </w:r>
          </w:p>
        </w:tc>
      </w:tr>
      <w:tr w14:paraId="01E56E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08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D2C2B2">
            <w:pPr>
              <w:jc w:val="center"/>
            </w:pPr>
            <w:r>
              <w:rPr>
                <w:rFonts w:ascii="宋体" w:hAnsi="宋体" w:eastAsia="宋体"/>
                <w:sz w:val="16"/>
              </w:rPr>
              <w:t>2024年彩票市场调控资金</w:t>
            </w:r>
          </w:p>
        </w:tc>
      </w:tr>
      <w:tr w14:paraId="4A222A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B9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CF76D7">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3A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AA0626">
            <w:pPr>
              <w:jc w:val="center"/>
            </w:pPr>
            <w:r>
              <w:rPr>
                <w:rFonts w:ascii="宋体" w:hAnsi="宋体" w:eastAsia="宋体"/>
                <w:sz w:val="16"/>
              </w:rPr>
              <w:t>克孜勒苏柯尔克孜自治州福利彩票发行中心</w:t>
            </w:r>
          </w:p>
        </w:tc>
      </w:tr>
      <w:tr w14:paraId="3F245B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D4B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504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FE9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F90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183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0CC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78D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8487">
            <w:pPr>
              <w:jc w:val="center"/>
            </w:pPr>
            <w:r>
              <w:rPr>
                <w:rFonts w:ascii="宋体" w:hAnsi="宋体" w:eastAsia="宋体"/>
                <w:sz w:val="16"/>
              </w:rPr>
              <w:t>得分</w:t>
            </w:r>
          </w:p>
        </w:tc>
      </w:tr>
      <w:tr w14:paraId="502367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E5F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008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58D17">
            <w:pPr>
              <w:jc w:val="center"/>
            </w:pPr>
            <w:r>
              <w:rPr>
                <w:rFonts w:ascii="宋体" w:hAnsi="宋体" w:eastAsia="宋体"/>
                <w:sz w:val="16"/>
              </w:rPr>
              <w:t>122.00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4DBBD">
            <w:pPr>
              <w:jc w:val="center"/>
            </w:pPr>
            <w:r>
              <w:rPr>
                <w:rFonts w:ascii="宋体" w:hAnsi="宋体" w:eastAsia="宋体"/>
                <w:sz w:val="16"/>
              </w:rPr>
              <w:t>122.00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3896B">
            <w:pPr>
              <w:jc w:val="center"/>
            </w:pPr>
            <w:r>
              <w:rPr>
                <w:rFonts w:ascii="宋体" w:hAnsi="宋体" w:eastAsia="宋体"/>
                <w:sz w:val="16"/>
              </w:rPr>
              <w:t>113.15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F1A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E0016">
            <w:pPr>
              <w:jc w:val="center"/>
            </w:pPr>
            <w:r>
              <w:rPr>
                <w:rFonts w:ascii="宋体" w:hAnsi="宋体" w:eastAsia="宋体"/>
                <w:sz w:val="16"/>
              </w:rPr>
              <w:t>92.8%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A996">
            <w:pPr>
              <w:jc w:val="center"/>
            </w:pPr>
            <w:r>
              <w:rPr>
                <w:rFonts w:ascii="宋体" w:hAnsi="宋体" w:eastAsia="宋体"/>
                <w:sz w:val="16"/>
              </w:rPr>
              <w:t>10.00分</w:t>
            </w:r>
          </w:p>
        </w:tc>
      </w:tr>
      <w:tr w14:paraId="131A1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7B3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1FC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8205E">
            <w:pPr>
              <w:jc w:val="center"/>
            </w:pPr>
            <w:r>
              <w:rPr>
                <w:rFonts w:ascii="宋体" w:hAnsi="宋体" w:eastAsia="宋体"/>
                <w:sz w:val="16"/>
              </w:rPr>
              <w:t>122.00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6B90C">
            <w:pPr>
              <w:jc w:val="center"/>
            </w:pPr>
            <w:r>
              <w:rPr>
                <w:rFonts w:ascii="宋体" w:hAnsi="宋体" w:eastAsia="宋体"/>
                <w:sz w:val="16"/>
              </w:rPr>
              <w:t>122.00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C1EF1">
            <w:pPr>
              <w:jc w:val="center"/>
            </w:pPr>
            <w:r>
              <w:rPr>
                <w:rFonts w:ascii="宋体" w:hAnsi="宋体" w:eastAsia="宋体"/>
                <w:sz w:val="16"/>
              </w:rPr>
              <w:t>113.15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639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644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D0C4">
            <w:pPr>
              <w:jc w:val="center"/>
            </w:pPr>
            <w:r>
              <w:rPr>
                <w:rFonts w:ascii="宋体" w:hAnsi="宋体" w:eastAsia="宋体"/>
                <w:sz w:val="16"/>
              </w:rPr>
              <w:t>—</w:t>
            </w:r>
          </w:p>
        </w:tc>
      </w:tr>
      <w:tr w14:paraId="346D8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FCD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BA9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E6E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65C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5DC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79F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C7A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624A">
            <w:pPr>
              <w:jc w:val="center"/>
            </w:pPr>
            <w:r>
              <w:rPr>
                <w:rFonts w:ascii="宋体" w:hAnsi="宋体" w:eastAsia="宋体"/>
                <w:sz w:val="16"/>
              </w:rPr>
              <w:t>—</w:t>
            </w:r>
          </w:p>
        </w:tc>
      </w:tr>
      <w:tr w14:paraId="17CF68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90A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A7D4C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B590E1">
            <w:pPr>
              <w:jc w:val="center"/>
              <w:rPr>
                <w:rFonts w:hint="eastAsia" w:eastAsia="宋体"/>
                <w:lang w:eastAsia="zh-CN"/>
              </w:rPr>
            </w:pPr>
            <w:r>
              <w:rPr>
                <w:rFonts w:hint="eastAsia" w:ascii="宋体" w:hAnsi="宋体"/>
                <w:sz w:val="16"/>
                <w:lang w:eastAsia="zh-CN"/>
              </w:rPr>
              <w:t>实际完成情况</w:t>
            </w:r>
          </w:p>
        </w:tc>
      </w:tr>
      <w:tr w14:paraId="78603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0DD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64C1FC">
            <w:pPr>
              <w:jc w:val="both"/>
            </w:pPr>
            <w:r>
              <w:rPr>
                <w:rFonts w:ascii="宋体" w:hAnsi="宋体" w:eastAsia="宋体"/>
                <w:sz w:val="16"/>
              </w:rPr>
              <w:t>根据《财政部关于印发&lt;彩票市场调控资金管理办法&gt;的通知</w:t>
            </w:r>
            <w:r>
              <w:rPr>
                <w:rFonts w:hint="eastAsia" w:ascii="宋体" w:hAnsi="宋体"/>
                <w:sz w:val="16"/>
                <w:lang w:eastAsia="zh-CN"/>
              </w:rPr>
              <w:t>》的</w:t>
            </w:r>
            <w:r>
              <w:rPr>
                <w:rFonts w:ascii="宋体" w:hAnsi="宋体" w:eastAsia="宋体"/>
                <w:sz w:val="16"/>
              </w:rPr>
              <w:t>规定及要求，通过彩票市场调控资金项目支出，规范全区彩票销售市场秩序，支持基层</w:t>
            </w:r>
            <w:r>
              <w:rPr>
                <w:rFonts w:hint="eastAsia" w:ascii="宋体" w:hAnsi="宋体"/>
                <w:sz w:val="16"/>
                <w:lang w:eastAsia="zh-CN"/>
              </w:rPr>
              <w:t>彩票</w:t>
            </w:r>
            <w:r>
              <w:rPr>
                <w:rFonts w:ascii="宋体" w:hAnsi="宋体" w:eastAsia="宋体"/>
                <w:sz w:val="16"/>
              </w:rPr>
              <w:t>销售网点发展，夯实市场运维管理服务基础，提升福利彩票公益性宣传力度和销售网点标准化建设水平，拓展福利彩票渠道建设。完成2024年福利彩票销售目标任务，完成2024年公益金筹集。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015C23">
            <w:pPr>
              <w:jc w:val="both"/>
            </w:pPr>
            <w:r>
              <w:rPr>
                <w:rFonts w:ascii="宋体" w:hAnsi="宋体" w:eastAsia="宋体"/>
                <w:sz w:val="16"/>
              </w:rPr>
              <w:t>截至2024年12月31日，支持彩票销售网点数量11个，通过彩票市场调控资金项目支出，规范全区彩票销售市场秩序，支持基层</w:t>
            </w:r>
            <w:r>
              <w:rPr>
                <w:rFonts w:hint="eastAsia" w:ascii="宋体" w:hAnsi="宋体"/>
                <w:sz w:val="16"/>
                <w:lang w:eastAsia="zh-CN"/>
              </w:rPr>
              <w:t>彩票</w:t>
            </w:r>
            <w:r>
              <w:rPr>
                <w:rFonts w:ascii="宋体" w:hAnsi="宋体" w:eastAsia="宋体"/>
                <w:sz w:val="16"/>
              </w:rPr>
              <w:t>销售网点发展，夯实市场运维管理服务基础，提升福利彩票公益性宣传力度和销售网点标准化建设水平，拓展福利彩票渠道建设。完成2024年福利彩票销售目标任务，完成2024年公益金筹集。</w:t>
            </w:r>
            <w:r>
              <w:rPr>
                <w:rFonts w:ascii="宋体" w:hAnsi="宋体" w:eastAsia="宋体"/>
                <w:sz w:val="16"/>
              </w:rPr>
              <w:tab/>
            </w:r>
          </w:p>
        </w:tc>
      </w:tr>
      <w:tr w14:paraId="4554D7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C11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BB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68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EB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EE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7A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B65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9B4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9F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48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A8A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19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79AA4">
            <w:pPr>
              <w:jc w:val="center"/>
            </w:pPr>
            <w:r>
              <w:rPr>
                <w:rFonts w:ascii="宋体" w:hAnsi="宋体" w:eastAsia="宋体"/>
                <w:sz w:val="16"/>
              </w:rPr>
              <w:t>偏差原因分析及改进措施</w:t>
            </w:r>
          </w:p>
        </w:tc>
      </w:tr>
      <w:tr w14:paraId="236717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4B7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4131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49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425C">
            <w:pPr>
              <w:jc w:val="center"/>
            </w:pPr>
            <w:r>
              <w:rPr>
                <w:rFonts w:ascii="宋体" w:hAnsi="宋体" w:eastAsia="宋体"/>
                <w:sz w:val="16"/>
              </w:rPr>
              <w:t>支持彩票销售网点数量（个）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F48E">
            <w:pPr>
              <w:jc w:val="center"/>
            </w:pPr>
            <w:r>
              <w:rPr>
                <w:rFonts w:ascii="宋体" w:hAnsi="宋体" w:eastAsia="宋体"/>
                <w:sz w:val="16"/>
              </w:rPr>
              <w:t>&gt;=61个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2B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72DA">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04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1E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E5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F1AC">
            <w:pPr>
              <w:jc w:val="center"/>
            </w:pPr>
            <w:r>
              <w:rPr>
                <w:rFonts w:ascii="宋体" w:hAnsi="宋体" w:eastAsia="宋体"/>
                <w:sz w:val="16"/>
              </w:rPr>
              <w:t>=68个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C7BF">
            <w:pPr>
              <w:jc w:val="center"/>
            </w:pPr>
            <w:r>
              <w:rPr>
                <w:rFonts w:ascii="宋体" w:hAnsi="宋体" w:eastAsia="宋体"/>
                <w:sz w:val="16"/>
              </w:rPr>
              <w:t>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66CDF">
            <w:pPr>
              <w:jc w:val="center"/>
            </w:pPr>
            <w:r>
              <w:rPr>
                <w:rFonts w:ascii="宋体" w:hAnsi="宋体" w:eastAsia="宋体"/>
                <w:sz w:val="16"/>
              </w:rPr>
              <w:t>偏差原因：为了完成销售任务，进行大量布机，致使投注站数量增加；改进措施：今后进一步加强管理，提高绩效管理水平</w:t>
            </w:r>
          </w:p>
        </w:tc>
      </w:tr>
      <w:tr w14:paraId="7D6BD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34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2DB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51C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D88A">
            <w:pPr>
              <w:jc w:val="center"/>
            </w:pPr>
            <w:r>
              <w:rPr>
                <w:rFonts w:ascii="宋体" w:hAnsi="宋体" w:eastAsia="宋体"/>
                <w:sz w:val="16"/>
              </w:rPr>
              <w:t>彩票销售网点运维服务覆盖率（%）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A40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0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A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2E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F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22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04E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09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9D578">
            <w:pPr>
              <w:jc w:val="center"/>
            </w:pPr>
          </w:p>
        </w:tc>
      </w:tr>
      <w:tr w14:paraId="4438D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43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DB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26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81CD">
            <w:pPr>
              <w:jc w:val="center"/>
            </w:pPr>
            <w:r>
              <w:rPr>
                <w:rFonts w:ascii="宋体" w:hAnsi="宋体" w:eastAsia="宋体"/>
                <w:sz w:val="16"/>
              </w:rPr>
              <w:t>彩票销售网络通讯覆盖率（%）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38E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7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33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C4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1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92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7F7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26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1D586">
            <w:pPr>
              <w:jc w:val="center"/>
            </w:pPr>
          </w:p>
        </w:tc>
      </w:tr>
      <w:tr w14:paraId="5DAD5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0F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CAC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6F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1153">
            <w:pPr>
              <w:jc w:val="center"/>
            </w:pPr>
            <w:r>
              <w:rPr>
                <w:rFonts w:ascii="宋体" w:hAnsi="宋体" w:eastAsia="宋体"/>
                <w:sz w:val="16"/>
              </w:rPr>
              <w:t>彩票市场调控资金使用完成时间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574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58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F362">
            <w:pPr>
              <w:jc w:val="center"/>
            </w:pPr>
            <w:r>
              <w:rPr>
                <w:rFonts w:ascii="宋体" w:hAnsi="宋体" w:eastAsia="宋体"/>
                <w:sz w:val="16"/>
              </w:rPr>
              <w:t>2023年12月底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94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64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F0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7D1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88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7F80E">
            <w:pPr>
              <w:jc w:val="center"/>
            </w:pPr>
          </w:p>
        </w:tc>
      </w:tr>
      <w:tr w14:paraId="5CC18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E97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FE4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AFE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C396">
            <w:pPr>
              <w:jc w:val="center"/>
            </w:pPr>
            <w:r>
              <w:rPr>
                <w:rFonts w:ascii="宋体" w:hAnsi="宋体" w:eastAsia="宋体"/>
                <w:sz w:val="16"/>
              </w:rPr>
              <w:t>彩票市场调控资金（万元）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8340">
            <w:pPr>
              <w:jc w:val="center"/>
            </w:pPr>
            <w:r>
              <w:rPr>
                <w:rFonts w:ascii="宋体" w:hAnsi="宋体" w:eastAsia="宋体"/>
                <w:sz w:val="16"/>
              </w:rPr>
              <w:t>&lt;=122万元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9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53CE">
            <w:pPr>
              <w:jc w:val="center"/>
            </w:pPr>
            <w:r>
              <w:rPr>
                <w:rFonts w:ascii="宋体" w:hAnsi="宋体" w:eastAsia="宋体"/>
                <w:sz w:val="16"/>
              </w:rPr>
              <w: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32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97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27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B767">
            <w:pPr>
              <w:jc w:val="center"/>
            </w:pPr>
            <w:r>
              <w:rPr>
                <w:rFonts w:ascii="宋体" w:hAnsi="宋体" w:eastAsia="宋体"/>
                <w:sz w:val="16"/>
              </w:rPr>
              <w:t>=113.15万元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C9C1">
            <w:pPr>
              <w:jc w:val="center"/>
            </w:pPr>
            <w:r>
              <w:rPr>
                <w:rFonts w:ascii="宋体" w:hAnsi="宋体" w:eastAsia="宋体"/>
                <w:sz w:val="16"/>
              </w:rPr>
              <w:t>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CDB07">
            <w:pPr>
              <w:jc w:val="center"/>
            </w:pPr>
            <w:r>
              <w:rPr>
                <w:rFonts w:ascii="宋体" w:hAnsi="宋体" w:eastAsia="宋体"/>
                <w:sz w:val="16"/>
              </w:rPr>
              <w:t>偏差原因：因销售提成比例由0.7%下调至0.4%致使资金结余；改进措施：今后进一步加强管理，提高绩效管理水平</w:t>
            </w:r>
          </w:p>
        </w:tc>
      </w:tr>
      <w:tr w14:paraId="0AA95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4B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1A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8C2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0C83">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EB6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84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8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3B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E6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0C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01A9">
            <w:pPr>
              <w:jc w:val="center"/>
            </w:pPr>
            <w:r>
              <w:rPr>
                <w:rFonts w:ascii="宋体" w:hAnsi="宋体" w:eastAsia="宋体"/>
                <w:sz w:val="16"/>
              </w:rPr>
              <w:t>=92.75%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B914">
            <w:pPr>
              <w:jc w:val="center"/>
            </w:pPr>
            <w:r>
              <w:rPr>
                <w:rFonts w:ascii="宋体" w:hAnsi="宋体" w:eastAsia="宋体"/>
                <w:sz w:val="16"/>
              </w:rPr>
              <w:t>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832C6">
            <w:pPr>
              <w:jc w:val="center"/>
            </w:pPr>
            <w:r>
              <w:rPr>
                <w:rFonts w:ascii="宋体" w:hAnsi="宋体" w:eastAsia="宋体"/>
                <w:sz w:val="16"/>
              </w:rPr>
              <w:t>偏差原因：销量同比增幅较高，筹集彩票公益金也较预期增幅较高。改进措施：今后进一步加强管理，提高绩效管理水平</w:t>
            </w:r>
          </w:p>
        </w:tc>
      </w:tr>
      <w:tr w14:paraId="0147A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C3B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444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B35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B2D4">
            <w:pPr>
              <w:jc w:val="center"/>
            </w:pPr>
            <w:r>
              <w:rPr>
                <w:rFonts w:ascii="宋体" w:hAnsi="宋体" w:eastAsia="宋体"/>
                <w:sz w:val="16"/>
              </w:rPr>
              <w:t>全年福利彩票销售额（万元）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A01B">
            <w:pPr>
              <w:jc w:val="center"/>
            </w:pPr>
            <w:r>
              <w:rPr>
                <w:rFonts w:ascii="宋体" w:hAnsi="宋体" w:eastAsia="宋体"/>
                <w:sz w:val="16"/>
              </w:rPr>
              <w:t>&gt;=8000万元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C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D636">
            <w:pPr>
              <w:jc w:val="center"/>
            </w:pPr>
            <w:r>
              <w:rPr>
                <w:rFonts w:ascii="宋体" w:hAnsi="宋体" w:eastAsia="宋体"/>
                <w:sz w:val="16"/>
              </w:rPr>
              <w:t>上年销售额的90%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BD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34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C3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D3CA">
            <w:pPr>
              <w:jc w:val="center"/>
            </w:pPr>
            <w:r>
              <w:rPr>
                <w:rFonts w:ascii="宋体" w:hAnsi="宋体" w:eastAsia="宋体"/>
                <w:sz w:val="16"/>
              </w:rPr>
              <w:t>=14906万元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99C5">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DE7B6">
            <w:pPr>
              <w:jc w:val="center"/>
            </w:pPr>
            <w:r>
              <w:rPr>
                <w:rFonts w:ascii="宋体" w:hAnsi="宋体" w:eastAsia="宋体"/>
                <w:sz w:val="16"/>
              </w:rPr>
              <w:t>偏差原因：为了完成销售任务，进行大量布机，销量同比增幅较高。改进措施：今后进一步加强管理，提高绩效管理水平</w:t>
            </w:r>
          </w:p>
        </w:tc>
      </w:tr>
      <w:tr w14:paraId="7BA8B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88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D44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4A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D1BF">
            <w:pPr>
              <w:jc w:val="center"/>
            </w:pPr>
            <w:r>
              <w:rPr>
                <w:rFonts w:ascii="宋体" w:hAnsi="宋体" w:eastAsia="宋体"/>
                <w:sz w:val="16"/>
              </w:rPr>
              <w:t>全年彩票公益金筹集量（万元）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A796">
            <w:pPr>
              <w:jc w:val="center"/>
            </w:pPr>
            <w:r>
              <w:rPr>
                <w:rFonts w:ascii="宋体" w:hAnsi="宋体" w:eastAsia="宋体"/>
                <w:sz w:val="16"/>
              </w:rPr>
              <w:t>&gt;=600万元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5A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321F">
            <w:pPr>
              <w:jc w:val="center"/>
            </w:pPr>
            <w:r>
              <w:rPr>
                <w:rFonts w:ascii="宋体" w:hAnsi="宋体" w:eastAsia="宋体"/>
                <w:sz w:val="16"/>
              </w:rPr>
              <w:t>上年筹集数的90%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A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F0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94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9BB5">
            <w:pPr>
              <w:jc w:val="center"/>
            </w:pPr>
            <w:r>
              <w:rPr>
                <w:rFonts w:ascii="宋体" w:hAnsi="宋体" w:eastAsia="宋体"/>
                <w:sz w:val="16"/>
              </w:rPr>
              <w:t>=1068万元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F0A5">
            <w:pPr>
              <w:jc w:val="center"/>
            </w:pPr>
            <w:r>
              <w:rPr>
                <w:rFonts w:ascii="宋体" w:hAnsi="宋体" w:eastAsia="宋体"/>
                <w:sz w:val="16"/>
              </w:rPr>
              <w:t>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16474">
            <w:pPr>
              <w:jc w:val="center"/>
            </w:pPr>
            <w:r>
              <w:rPr>
                <w:rFonts w:ascii="宋体" w:hAnsi="宋体" w:eastAsia="宋体"/>
                <w:sz w:val="16"/>
              </w:rPr>
              <w:t>偏差原因：销量同比增幅较高，筹集彩票公益金也较预期增幅较高。改进措施：今后进一步加强管理，提高绩效管理水平</w:t>
            </w:r>
          </w:p>
        </w:tc>
      </w:tr>
      <w:tr w14:paraId="72604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04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55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E3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A40B5">
            <w:pPr>
              <w:jc w:val="center"/>
            </w:pPr>
            <w:r>
              <w:rPr>
                <w:rFonts w:ascii="宋体" w:hAnsi="宋体" w:eastAsia="宋体"/>
                <w:sz w:val="16"/>
              </w:rPr>
              <w:t>销售网点满意度（%）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4A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56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85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14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A0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A0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D4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F7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C354F">
            <w:pPr>
              <w:jc w:val="center"/>
            </w:pPr>
          </w:p>
        </w:tc>
      </w:tr>
      <w:tr w14:paraId="05F108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513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1A1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C48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EAC325">
            <w:pPr>
              <w:jc w:val="center"/>
            </w:pPr>
            <w:r>
              <w:rPr>
                <w:rFonts w:ascii="宋体" w:hAnsi="宋体" w:eastAsia="宋体"/>
                <w:sz w:val="16"/>
              </w:rPr>
              <w:t>78.88分</w:t>
            </w:r>
          </w:p>
        </w:tc>
      </w:tr>
    </w:tbl>
    <w:p w14:paraId="35A7235E">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96"/>
        <w:gridCol w:w="624"/>
        <w:gridCol w:w="629"/>
        <w:gridCol w:w="624"/>
        <w:gridCol w:w="624"/>
        <w:gridCol w:w="624"/>
        <w:gridCol w:w="856"/>
        <w:gridCol w:w="631"/>
        <w:gridCol w:w="613"/>
        <w:gridCol w:w="633"/>
      </w:tblGrid>
      <w:tr w14:paraId="76C4A124">
        <w:tblPrEx>
          <w:tblCellMar>
            <w:top w:w="0" w:type="dxa"/>
            <w:left w:w="108" w:type="dxa"/>
            <w:bottom w:w="0" w:type="dxa"/>
            <w:right w:w="108" w:type="dxa"/>
          </w:tblCellMar>
        </w:tblPrEx>
        <w:tc>
          <w:tcPr>
            <w:tcW w:w="8848" w:type="dxa"/>
            <w:gridSpan w:val="14"/>
            <w:vAlign w:val="center"/>
          </w:tcPr>
          <w:p w14:paraId="00C31E27">
            <w:pPr>
              <w:jc w:val="center"/>
            </w:pPr>
            <w:r>
              <w:rPr>
                <w:rFonts w:ascii="宋体" w:hAnsi="宋体" w:eastAsia="宋体"/>
                <w:sz w:val="24"/>
              </w:rPr>
              <w:t>项目支出绩效自评表</w:t>
            </w:r>
          </w:p>
        </w:tc>
      </w:tr>
      <w:tr w14:paraId="6A872BB3">
        <w:tblPrEx>
          <w:tblCellMar>
            <w:top w:w="0" w:type="dxa"/>
            <w:left w:w="108" w:type="dxa"/>
            <w:bottom w:w="0" w:type="dxa"/>
            <w:right w:w="108" w:type="dxa"/>
          </w:tblCellMar>
        </w:tblPrEx>
        <w:tc>
          <w:tcPr>
            <w:tcW w:w="8848" w:type="dxa"/>
            <w:gridSpan w:val="14"/>
            <w:vAlign w:val="center"/>
          </w:tcPr>
          <w:p w14:paraId="598D7A91">
            <w:pPr>
              <w:jc w:val="center"/>
            </w:pPr>
            <w:r>
              <w:rPr>
                <w:rFonts w:ascii="宋体" w:hAnsi="宋体" w:eastAsia="宋体"/>
                <w:sz w:val="24"/>
              </w:rPr>
              <w:t>(2024年度)</w:t>
            </w:r>
          </w:p>
        </w:tc>
      </w:tr>
      <w:tr w14:paraId="36E050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D8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E1232F">
            <w:pPr>
              <w:jc w:val="center"/>
            </w:pPr>
            <w:r>
              <w:rPr>
                <w:rFonts w:ascii="宋体" w:hAnsi="宋体" w:eastAsia="宋体"/>
                <w:sz w:val="16"/>
              </w:rPr>
              <w:t>业务经费项目</w:t>
            </w:r>
          </w:p>
        </w:tc>
      </w:tr>
      <w:tr w14:paraId="2EC5F6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18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DEB033">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54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765449">
            <w:pPr>
              <w:jc w:val="center"/>
            </w:pPr>
            <w:r>
              <w:rPr>
                <w:rFonts w:ascii="宋体" w:hAnsi="宋体" w:eastAsia="宋体"/>
                <w:sz w:val="16"/>
              </w:rPr>
              <w:t>克孜勒苏柯尔克孜自治州福利彩票发行中心</w:t>
            </w:r>
          </w:p>
        </w:tc>
      </w:tr>
      <w:tr w14:paraId="0E1288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8FE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A64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F8B1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F26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E72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84C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3A0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C651">
            <w:pPr>
              <w:jc w:val="center"/>
            </w:pPr>
            <w:r>
              <w:rPr>
                <w:rFonts w:ascii="宋体" w:hAnsi="宋体" w:eastAsia="宋体"/>
                <w:sz w:val="16"/>
              </w:rPr>
              <w:t>得分</w:t>
            </w:r>
          </w:p>
        </w:tc>
      </w:tr>
      <w:tr w14:paraId="5CC0A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A1F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6F7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88D4E">
            <w:pPr>
              <w:jc w:val="center"/>
            </w:pPr>
            <w:r>
              <w:rPr>
                <w:rFonts w:ascii="宋体" w:hAnsi="宋体" w:eastAsia="宋体"/>
                <w:sz w:val="16"/>
              </w:rPr>
              <w:t>170.00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804D6">
            <w:pPr>
              <w:jc w:val="center"/>
            </w:pPr>
            <w:r>
              <w:rPr>
                <w:rFonts w:ascii="宋体" w:hAnsi="宋体" w:eastAsia="宋体"/>
                <w:sz w:val="16"/>
              </w:rPr>
              <w:t>170.00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CA93F">
            <w:pPr>
              <w:jc w:val="center"/>
            </w:pPr>
            <w:r>
              <w:rPr>
                <w:rFonts w:ascii="宋体" w:hAnsi="宋体" w:eastAsia="宋体"/>
                <w:sz w:val="16"/>
              </w:rPr>
              <w:t>166.24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CE2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EB2ED">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2295">
            <w:pPr>
              <w:jc w:val="center"/>
            </w:pPr>
            <w:r>
              <w:rPr>
                <w:rFonts w:ascii="宋体" w:hAnsi="宋体" w:eastAsia="宋体"/>
                <w:sz w:val="16"/>
              </w:rPr>
              <w:t>10.00分</w:t>
            </w:r>
          </w:p>
        </w:tc>
      </w:tr>
      <w:tr w14:paraId="50313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816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C9B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7D4E2">
            <w:pPr>
              <w:jc w:val="center"/>
            </w:pPr>
            <w:r>
              <w:rPr>
                <w:rFonts w:ascii="宋体" w:hAnsi="宋体" w:eastAsia="宋体"/>
                <w:sz w:val="16"/>
              </w:rPr>
              <w:t>170.00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D5CD6">
            <w:pPr>
              <w:jc w:val="center"/>
            </w:pPr>
            <w:r>
              <w:rPr>
                <w:rFonts w:ascii="宋体" w:hAnsi="宋体" w:eastAsia="宋体"/>
                <w:sz w:val="16"/>
              </w:rPr>
              <w:t>170.00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479DD">
            <w:pPr>
              <w:jc w:val="center"/>
            </w:pPr>
            <w:r>
              <w:rPr>
                <w:rFonts w:ascii="宋体" w:hAnsi="宋体" w:eastAsia="宋体"/>
                <w:sz w:val="16"/>
              </w:rPr>
              <w:t>166.24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E5D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B1B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C31C">
            <w:pPr>
              <w:jc w:val="center"/>
            </w:pPr>
            <w:r>
              <w:rPr>
                <w:rFonts w:ascii="宋体" w:hAnsi="宋体" w:eastAsia="宋体"/>
                <w:sz w:val="16"/>
              </w:rPr>
              <w:t>—</w:t>
            </w:r>
          </w:p>
        </w:tc>
      </w:tr>
      <w:tr w14:paraId="02548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E51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1A8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383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F8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958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7FD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904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5185">
            <w:pPr>
              <w:jc w:val="center"/>
            </w:pPr>
            <w:r>
              <w:rPr>
                <w:rFonts w:ascii="宋体" w:hAnsi="宋体" w:eastAsia="宋体"/>
                <w:sz w:val="16"/>
              </w:rPr>
              <w:t>—</w:t>
            </w:r>
          </w:p>
        </w:tc>
      </w:tr>
      <w:tr w14:paraId="5183AE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9902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7897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BCC208">
            <w:pPr>
              <w:jc w:val="center"/>
              <w:rPr>
                <w:rFonts w:hint="eastAsia" w:eastAsia="宋体"/>
                <w:lang w:eastAsia="zh-CN"/>
              </w:rPr>
            </w:pPr>
            <w:r>
              <w:rPr>
                <w:rFonts w:hint="eastAsia" w:ascii="宋体" w:hAnsi="宋体"/>
                <w:sz w:val="16"/>
                <w:lang w:eastAsia="zh-CN"/>
              </w:rPr>
              <w:t>实际完成情况</w:t>
            </w:r>
          </w:p>
        </w:tc>
      </w:tr>
      <w:tr w14:paraId="0AE15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7C5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43A5EA">
            <w:pPr>
              <w:jc w:val="both"/>
            </w:pPr>
            <w:r>
              <w:rPr>
                <w:rFonts w:ascii="宋体" w:hAnsi="宋体" w:eastAsia="宋体"/>
                <w:sz w:val="16"/>
              </w:rPr>
              <w:t>本项目计划投入170万元，主要用于保障福彩中心正常运行，保障本单位人员支出、日常公用支出等支出，推动福利彩票事业的发展，增加福利彩票销售额，筹集更多的彩票公益金，提升福利彩票社会公信力，促进克州本级彩票公益金事业的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0AAF94">
            <w:pPr>
              <w:jc w:val="both"/>
            </w:pPr>
            <w:r>
              <w:rPr>
                <w:rFonts w:ascii="宋体" w:hAnsi="宋体" w:eastAsia="宋体"/>
                <w:sz w:val="16"/>
              </w:rPr>
              <w:t>截至2024年12月31日，保障在职在编办公人员数量3人，保障办公聘用人员数量3人，公务保障用车数1辆，通过该项目的实施，筹集更多的彩票公益金，提升福利彩票社会公信力，促进克州本级彩票公益金事业的健康发展。</w:t>
            </w:r>
          </w:p>
        </w:tc>
      </w:tr>
      <w:tr w14:paraId="787D53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725F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CA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0F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2C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4AA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CD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22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12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89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AC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AB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D3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1F177">
            <w:pPr>
              <w:jc w:val="center"/>
            </w:pPr>
            <w:r>
              <w:rPr>
                <w:rFonts w:ascii="宋体" w:hAnsi="宋体" w:eastAsia="宋体"/>
                <w:sz w:val="16"/>
              </w:rPr>
              <w:t>偏差原因分析及改进措施</w:t>
            </w:r>
          </w:p>
        </w:tc>
      </w:tr>
      <w:tr w14:paraId="4237CE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913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7F81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322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4B2AF">
            <w:pPr>
              <w:jc w:val="center"/>
            </w:pPr>
            <w:r>
              <w:rPr>
                <w:rFonts w:ascii="宋体" w:hAnsi="宋体" w:eastAsia="宋体"/>
                <w:sz w:val="16"/>
              </w:rPr>
              <w:t>保障在职在编办公人员数量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423C">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47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F4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7B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3A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5D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415D">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11D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AA5C4">
            <w:pPr>
              <w:jc w:val="center"/>
            </w:pPr>
          </w:p>
        </w:tc>
      </w:tr>
      <w:tr w14:paraId="4B9E6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2B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A9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33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4828">
            <w:pPr>
              <w:jc w:val="center"/>
            </w:pPr>
            <w:r>
              <w:rPr>
                <w:rFonts w:ascii="宋体" w:hAnsi="宋体" w:eastAsia="宋体"/>
                <w:sz w:val="16"/>
              </w:rPr>
              <w:t>保障办公聘用人员数量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717C">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E6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E2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57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4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A4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45D0">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8A1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7C2DB">
            <w:pPr>
              <w:jc w:val="center"/>
            </w:pPr>
          </w:p>
        </w:tc>
      </w:tr>
      <w:tr w14:paraId="06D85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45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D7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55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41D4">
            <w:pPr>
              <w:jc w:val="center"/>
            </w:pPr>
            <w:r>
              <w:rPr>
                <w:rFonts w:ascii="宋体" w:hAnsi="宋体" w:eastAsia="宋体"/>
                <w:sz w:val="16"/>
              </w:rPr>
              <w:t>公务保障用车数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E928">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7D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405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4F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B8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4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0A2E">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3CB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27291">
            <w:pPr>
              <w:jc w:val="center"/>
            </w:pPr>
          </w:p>
        </w:tc>
      </w:tr>
      <w:tr w14:paraId="6F359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BB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C1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C9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4092">
            <w:pPr>
              <w:jc w:val="center"/>
            </w:pPr>
            <w:r>
              <w:rPr>
                <w:rFonts w:ascii="宋体" w:hAnsi="宋体" w:eastAsia="宋体"/>
                <w:sz w:val="16"/>
              </w:rPr>
              <w:t>办公人员出勤率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59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4B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51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FE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44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8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8A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435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5194A">
            <w:pPr>
              <w:jc w:val="center"/>
            </w:pPr>
          </w:p>
        </w:tc>
      </w:tr>
      <w:tr w14:paraId="5E7D5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FE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732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D4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C22C">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B7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7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9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66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F3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A1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12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737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0A053">
            <w:pPr>
              <w:jc w:val="center"/>
            </w:pPr>
          </w:p>
        </w:tc>
      </w:tr>
      <w:tr w14:paraId="6BBF4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487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ACAC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B70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FDF4">
            <w:pPr>
              <w:jc w:val="center"/>
            </w:pPr>
            <w:r>
              <w:rPr>
                <w:rFonts w:ascii="宋体" w:hAnsi="宋体" w:eastAsia="宋体"/>
                <w:sz w:val="16"/>
              </w:rPr>
              <w:t>在职人员工资经费（万元）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35C7">
            <w:pPr>
              <w:jc w:val="center"/>
            </w:pPr>
            <w:r>
              <w:rPr>
                <w:rFonts w:ascii="宋体" w:hAnsi="宋体" w:eastAsia="宋体"/>
                <w:sz w:val="16"/>
              </w:rPr>
              <w:t>&lt;=85万元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10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33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88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7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07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8F0C">
            <w:pPr>
              <w:jc w:val="center"/>
            </w:pPr>
            <w:r>
              <w:rPr>
                <w:rFonts w:ascii="宋体" w:hAnsi="宋体" w:eastAsia="宋体"/>
                <w:sz w:val="16"/>
              </w:rPr>
              <w:t>=70.9万元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33D0">
            <w:pPr>
              <w:jc w:val="center"/>
            </w:pPr>
            <w:r>
              <w:rPr>
                <w:rFonts w:ascii="宋体" w:hAnsi="宋体" w:eastAsia="宋体"/>
                <w:sz w:val="16"/>
              </w:rPr>
              <w:t>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15EB3">
            <w:pPr>
              <w:jc w:val="center"/>
            </w:pPr>
            <w:r>
              <w:rPr>
                <w:rFonts w:ascii="宋体" w:hAnsi="宋体" w:eastAsia="宋体"/>
                <w:sz w:val="16"/>
              </w:rPr>
              <w:t>偏差原因：人员经费控制，优化预算指标；改进措施：今后进一步加强管理，提高绩效管理水平</w:t>
            </w:r>
          </w:p>
        </w:tc>
      </w:tr>
      <w:tr w14:paraId="6B696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152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5B0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06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496B">
            <w:pPr>
              <w:jc w:val="center"/>
            </w:pPr>
            <w:r>
              <w:rPr>
                <w:rFonts w:ascii="宋体" w:hAnsi="宋体" w:eastAsia="宋体"/>
                <w:sz w:val="16"/>
              </w:rPr>
              <w:t>聘用人员工资经费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7E0A">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8E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4A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DF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0C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07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9853">
            <w:pPr>
              <w:jc w:val="center"/>
            </w:pPr>
            <w:r>
              <w:rPr>
                <w:rFonts w:ascii="宋体" w:hAnsi="宋体" w:eastAsia="宋体"/>
                <w:sz w:val="16"/>
              </w:rPr>
              <w:t>=36.64万元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B710">
            <w:pPr>
              <w:jc w:val="center"/>
            </w:pPr>
            <w:r>
              <w:rPr>
                <w:rFonts w:ascii="宋体" w:hAnsi="宋体" w:eastAsia="宋体"/>
                <w:sz w:val="16"/>
              </w:rPr>
              <w:t>2.67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55FA">
            <w:pPr>
              <w:jc w:val="center"/>
            </w:pPr>
            <w:r>
              <w:rPr>
                <w:rFonts w:ascii="宋体" w:hAnsi="宋体" w:eastAsia="宋体"/>
                <w:sz w:val="16"/>
              </w:rPr>
              <w:t>偏差原因：人员经费控制，优化预算指标；改进措施：今后进一步加强管理，提高绩效管理水平</w:t>
            </w:r>
          </w:p>
        </w:tc>
      </w:tr>
      <w:tr w14:paraId="7A4880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FE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69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36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FE90">
            <w:pPr>
              <w:jc w:val="center"/>
            </w:pPr>
            <w:r>
              <w:rPr>
                <w:rFonts w:ascii="宋体" w:hAnsi="宋体" w:eastAsia="宋体"/>
                <w:sz w:val="16"/>
              </w:rPr>
              <w:t>公务用车经费数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0A9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E4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A1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39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6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59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77C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4BD6">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2971B">
            <w:pPr>
              <w:jc w:val="center"/>
            </w:pPr>
            <w:r>
              <w:rPr>
                <w:rFonts w:ascii="宋体" w:hAnsi="宋体" w:eastAsia="宋体"/>
                <w:sz w:val="16"/>
              </w:rPr>
              <w:t>偏差原因：因车辆维修致使经费增加；改进措施：今后进一步加强管理，提高绩效管理水平</w:t>
            </w:r>
          </w:p>
        </w:tc>
      </w:tr>
      <w:tr w14:paraId="182F2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47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CE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BA8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3454">
            <w:pPr>
              <w:jc w:val="center"/>
            </w:pPr>
            <w:r>
              <w:rPr>
                <w:rFonts w:ascii="宋体" w:hAnsi="宋体" w:eastAsia="宋体"/>
                <w:sz w:val="16"/>
              </w:rPr>
              <w:t>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5D24">
            <w:pPr>
              <w:jc w:val="center"/>
            </w:pPr>
            <w:r>
              <w:rPr>
                <w:rFonts w:ascii="宋体" w:hAnsi="宋体" w:eastAsia="宋体"/>
                <w:sz w:val="16"/>
              </w:rPr>
              <w:t>&lt;=58万元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62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FB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F3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7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0F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89DF">
            <w:pPr>
              <w:jc w:val="center"/>
            </w:pPr>
            <w:r>
              <w:rPr>
                <w:rFonts w:ascii="宋体" w:hAnsi="宋体" w:eastAsia="宋体"/>
                <w:sz w:val="16"/>
              </w:rPr>
              <w:t>=55.7万元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C2E6">
            <w:pPr>
              <w:jc w:val="center"/>
            </w:pPr>
            <w:r>
              <w:rPr>
                <w:rFonts w:ascii="宋体" w:hAnsi="宋体" w:eastAsia="宋体"/>
                <w:sz w:val="16"/>
              </w:rPr>
              <w:t>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47F16">
            <w:pPr>
              <w:jc w:val="center"/>
            </w:pPr>
            <w:r>
              <w:rPr>
                <w:rFonts w:ascii="宋体" w:hAnsi="宋体" w:eastAsia="宋体"/>
                <w:sz w:val="16"/>
              </w:rPr>
              <w:t>偏差原因：因一人委派制驻村，</w:t>
            </w:r>
            <w:r>
              <w:rPr>
                <w:rFonts w:hint="eastAsia" w:ascii="宋体" w:hAnsi="宋体"/>
                <w:sz w:val="16"/>
                <w:lang w:eastAsia="zh-CN"/>
              </w:rPr>
              <w:t>致使</w:t>
            </w:r>
            <w:r>
              <w:rPr>
                <w:rFonts w:ascii="宋体" w:hAnsi="宋体" w:eastAsia="宋体"/>
                <w:sz w:val="16"/>
              </w:rPr>
              <w:t>用办公经费减少；改进措施：今后进一步加强管理，提高绩效管理水平</w:t>
            </w:r>
          </w:p>
        </w:tc>
      </w:tr>
      <w:tr w14:paraId="6746E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75C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B376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9DA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86AB">
            <w:pPr>
              <w:jc w:val="center"/>
            </w:pPr>
            <w:r>
              <w:rPr>
                <w:rFonts w:ascii="宋体" w:hAnsi="宋体" w:eastAsia="宋体"/>
                <w:sz w:val="16"/>
              </w:rPr>
              <w:t>全年彩票销售总额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4966">
            <w:pPr>
              <w:jc w:val="center"/>
            </w:pPr>
            <w:r>
              <w:rPr>
                <w:rFonts w:ascii="宋体" w:hAnsi="宋体" w:eastAsia="宋体"/>
                <w:sz w:val="16"/>
              </w:rPr>
              <w:t>&gt;=8000万元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A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67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C7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1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8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9541">
            <w:pPr>
              <w:jc w:val="center"/>
            </w:pPr>
            <w:r>
              <w:rPr>
                <w:rFonts w:ascii="宋体" w:hAnsi="宋体" w:eastAsia="宋体"/>
                <w:sz w:val="16"/>
              </w:rPr>
              <w:t>=14906.7万元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EBFF">
            <w:pPr>
              <w:jc w:val="center"/>
            </w:pPr>
            <w:r>
              <w:rPr>
                <w:rFonts w:ascii="宋体" w:hAnsi="宋体" w:eastAsia="宋体"/>
                <w:sz w:val="16"/>
              </w:rPr>
              <w:t>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7B584">
            <w:pPr>
              <w:jc w:val="center"/>
            </w:pPr>
            <w:r>
              <w:rPr>
                <w:rFonts w:ascii="宋体" w:hAnsi="宋体" w:eastAsia="宋体"/>
                <w:sz w:val="16"/>
              </w:rPr>
              <w:t>偏差原因：为了完成全年销售任务，进行大量布机，销售超过预期；改进措施：今后进一步加强管理，提高绩效管理水平</w:t>
            </w:r>
          </w:p>
        </w:tc>
      </w:tr>
      <w:tr w14:paraId="5B654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51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BA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46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EB38">
            <w:pPr>
              <w:jc w:val="center"/>
            </w:pPr>
            <w:r>
              <w:rPr>
                <w:rFonts w:ascii="宋体" w:hAnsi="宋体" w:eastAsia="宋体"/>
                <w:sz w:val="16"/>
              </w:rPr>
              <w:t>全年彩票公益金筹集量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6644">
            <w:pPr>
              <w:jc w:val="center"/>
            </w:pPr>
            <w:r>
              <w:rPr>
                <w:rFonts w:ascii="宋体" w:hAnsi="宋体" w:eastAsia="宋体"/>
                <w:sz w:val="16"/>
              </w:rPr>
              <w:t>&gt;=600万元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0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D6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A4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13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AA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9DA5">
            <w:pPr>
              <w:jc w:val="center"/>
            </w:pPr>
            <w:r>
              <w:rPr>
                <w:rFonts w:ascii="宋体" w:hAnsi="宋体" w:eastAsia="宋体"/>
                <w:sz w:val="16"/>
              </w:rPr>
              <w:t>=968万元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A194">
            <w:pPr>
              <w:jc w:val="center"/>
            </w:pPr>
            <w:r>
              <w:rPr>
                <w:rFonts w:ascii="宋体" w:hAnsi="宋体" w:eastAsia="宋体"/>
                <w:sz w:val="16"/>
              </w:rPr>
              <w:t>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90DE">
            <w:pPr>
              <w:jc w:val="center"/>
            </w:pPr>
            <w:r>
              <w:rPr>
                <w:rFonts w:ascii="宋体" w:hAnsi="宋体" w:eastAsia="宋体"/>
                <w:sz w:val="16"/>
              </w:rPr>
              <w:t>偏差原因：为了完成销售任务，销量同比增幅较高，致使筹集彩票公益金较高；改进措施：今后进一步加强管理，提高绩效管理水平</w:t>
            </w:r>
          </w:p>
        </w:tc>
      </w:tr>
      <w:tr w14:paraId="5AB43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DB6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4552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DCC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3D02">
            <w:pPr>
              <w:jc w:val="center"/>
            </w:pPr>
            <w:r>
              <w:rPr>
                <w:rFonts w:ascii="宋体" w:hAnsi="宋体" w:eastAsia="宋体"/>
                <w:sz w:val="16"/>
              </w:rPr>
              <w:t>销售网点满意度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4A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C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45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0A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FED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6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B7B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A6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82F8B">
            <w:pPr>
              <w:jc w:val="center"/>
            </w:pPr>
          </w:p>
        </w:tc>
      </w:tr>
      <w:tr w14:paraId="2E413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C39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5E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DC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9D15">
            <w:pPr>
              <w:jc w:val="center"/>
            </w:pPr>
            <w:r>
              <w:rPr>
                <w:rFonts w:ascii="宋体" w:hAnsi="宋体" w:eastAsia="宋体"/>
                <w:sz w:val="16"/>
              </w:rPr>
              <w:t>彩民满意度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C2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37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7B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7E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E6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30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39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DD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55DB8">
            <w:pPr>
              <w:jc w:val="center"/>
            </w:pPr>
          </w:p>
        </w:tc>
      </w:tr>
      <w:tr w14:paraId="22EB51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701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AF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3AD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85D1BB">
            <w:pPr>
              <w:jc w:val="center"/>
            </w:pPr>
            <w:r>
              <w:rPr>
                <w:rFonts w:ascii="宋体" w:hAnsi="宋体" w:eastAsia="宋体"/>
                <w:sz w:val="16"/>
              </w:rPr>
              <w:t>81.2分</w:t>
            </w:r>
          </w:p>
        </w:tc>
      </w:tr>
    </w:tbl>
    <w:p w14:paraId="6A43213D">
      <w:r>
        <w:br w:type="page"/>
      </w:r>
    </w:p>
    <w:p w14:paraId="21D0AB73">
      <w:pPr>
        <w:spacing w:line="640" w:lineRule="exact"/>
        <w:ind w:firstLine="640"/>
        <w:jc w:val="both"/>
        <w:outlineLvl w:val="2"/>
      </w:pPr>
      <w:r>
        <w:rPr>
          <w:rFonts w:ascii="黑体" w:hAnsi="黑体" w:eastAsia="黑体"/>
          <w:sz w:val="32"/>
        </w:rPr>
        <w:t>十二、其他需说明的事项</w:t>
      </w:r>
    </w:p>
    <w:p w14:paraId="7FF80388">
      <w:pPr>
        <w:spacing w:line="580" w:lineRule="exact"/>
        <w:ind w:firstLine="640"/>
        <w:jc w:val="both"/>
      </w:pPr>
      <w:r>
        <w:rPr>
          <w:rFonts w:ascii="仿宋_GB2312" w:hAnsi="仿宋_GB2312" w:eastAsia="仿宋_GB2312"/>
          <w:b w:val="0"/>
          <w:sz w:val="32"/>
        </w:rPr>
        <w:t>本单位无其他需说明的事项。</w:t>
      </w:r>
    </w:p>
    <w:p w14:paraId="3D0684BD">
      <w:r>
        <w:br w:type="page"/>
      </w:r>
    </w:p>
    <w:p w14:paraId="6165F508">
      <w:pPr>
        <w:spacing w:line="240" w:lineRule="auto"/>
        <w:jc w:val="center"/>
        <w:outlineLvl w:val="1"/>
      </w:pPr>
      <w:r>
        <w:rPr>
          <w:rFonts w:ascii="黑体" w:hAnsi="黑体" w:eastAsia="黑体"/>
          <w:sz w:val="32"/>
        </w:rPr>
        <w:t>第三部分 专业名词解释</w:t>
      </w:r>
    </w:p>
    <w:p w14:paraId="0236DED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759BCF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F93EAC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4D44DA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2930A1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81389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F2D1D1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2F231E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730F7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F70128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12E392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B0BC5C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630BCB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3888A6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04F5967">
      <w:r>
        <w:br w:type="page"/>
      </w:r>
    </w:p>
    <w:p w14:paraId="262C480D">
      <w:pPr>
        <w:spacing w:line="240" w:lineRule="auto"/>
        <w:jc w:val="center"/>
        <w:outlineLvl w:val="1"/>
      </w:pPr>
      <w:r>
        <w:rPr>
          <w:rFonts w:ascii="黑体" w:hAnsi="黑体" w:eastAsia="黑体"/>
          <w:sz w:val="32"/>
        </w:rPr>
        <w:t>第四部分 部门决算报表（见附表）</w:t>
      </w:r>
    </w:p>
    <w:p w14:paraId="247DDB53">
      <w:pPr>
        <w:spacing w:line="240" w:lineRule="auto"/>
        <w:ind w:firstLine="640"/>
        <w:jc w:val="both"/>
      </w:pPr>
      <w:r>
        <w:rPr>
          <w:rFonts w:ascii="仿宋_GB2312" w:hAnsi="仿宋_GB2312" w:eastAsia="仿宋_GB2312"/>
          <w:b w:val="0"/>
          <w:sz w:val="32"/>
        </w:rPr>
        <w:t>一、《收入支出决算总表》</w:t>
      </w:r>
    </w:p>
    <w:p w14:paraId="6D646795">
      <w:pPr>
        <w:spacing w:line="240" w:lineRule="auto"/>
        <w:ind w:firstLine="640"/>
        <w:jc w:val="both"/>
      </w:pPr>
      <w:r>
        <w:rPr>
          <w:rFonts w:ascii="仿宋_GB2312" w:hAnsi="仿宋_GB2312" w:eastAsia="仿宋_GB2312"/>
          <w:b w:val="0"/>
          <w:sz w:val="32"/>
        </w:rPr>
        <w:t>二、《收入决算表》</w:t>
      </w:r>
    </w:p>
    <w:p w14:paraId="5859B78A">
      <w:pPr>
        <w:spacing w:line="240" w:lineRule="auto"/>
        <w:ind w:firstLine="640"/>
        <w:jc w:val="both"/>
      </w:pPr>
      <w:r>
        <w:rPr>
          <w:rFonts w:ascii="仿宋_GB2312" w:hAnsi="仿宋_GB2312" w:eastAsia="仿宋_GB2312"/>
          <w:b w:val="0"/>
          <w:sz w:val="32"/>
        </w:rPr>
        <w:t>三、《支出决算表》</w:t>
      </w:r>
    </w:p>
    <w:p w14:paraId="241C0DB0">
      <w:pPr>
        <w:spacing w:line="240" w:lineRule="auto"/>
        <w:ind w:firstLine="640"/>
        <w:jc w:val="both"/>
      </w:pPr>
      <w:r>
        <w:rPr>
          <w:rFonts w:ascii="仿宋_GB2312" w:hAnsi="仿宋_GB2312" w:eastAsia="仿宋_GB2312"/>
          <w:b w:val="0"/>
          <w:sz w:val="32"/>
        </w:rPr>
        <w:t>四、《财政拨款收入支出决算总表》</w:t>
      </w:r>
    </w:p>
    <w:p w14:paraId="6BA4F829">
      <w:pPr>
        <w:spacing w:line="240" w:lineRule="auto"/>
        <w:ind w:firstLine="640"/>
        <w:jc w:val="both"/>
      </w:pPr>
      <w:r>
        <w:rPr>
          <w:rFonts w:ascii="仿宋_GB2312" w:hAnsi="仿宋_GB2312" w:eastAsia="仿宋_GB2312"/>
          <w:b w:val="0"/>
          <w:sz w:val="32"/>
        </w:rPr>
        <w:t>五、《一般公共预算财政拨款支出决算表》</w:t>
      </w:r>
    </w:p>
    <w:p w14:paraId="1CC2E9C1">
      <w:pPr>
        <w:spacing w:line="240" w:lineRule="auto"/>
        <w:ind w:firstLine="640"/>
        <w:jc w:val="both"/>
      </w:pPr>
      <w:r>
        <w:rPr>
          <w:rFonts w:ascii="仿宋_GB2312" w:hAnsi="仿宋_GB2312" w:eastAsia="仿宋_GB2312"/>
          <w:b w:val="0"/>
          <w:sz w:val="32"/>
        </w:rPr>
        <w:t>六、《一般公共预算财政拨款基本支出决算表》</w:t>
      </w:r>
    </w:p>
    <w:p w14:paraId="470BB466">
      <w:pPr>
        <w:spacing w:line="240" w:lineRule="auto"/>
        <w:ind w:firstLine="640"/>
        <w:jc w:val="both"/>
      </w:pPr>
      <w:r>
        <w:rPr>
          <w:rFonts w:ascii="仿宋_GB2312" w:hAnsi="仿宋_GB2312" w:eastAsia="仿宋_GB2312"/>
          <w:b w:val="0"/>
          <w:sz w:val="32"/>
        </w:rPr>
        <w:t>七、《政府性基金预算财政拨款收入支出决算表》</w:t>
      </w:r>
    </w:p>
    <w:p w14:paraId="4AA30D89">
      <w:pPr>
        <w:spacing w:line="240" w:lineRule="auto"/>
        <w:ind w:firstLine="640"/>
        <w:jc w:val="both"/>
      </w:pPr>
      <w:r>
        <w:rPr>
          <w:rFonts w:ascii="仿宋_GB2312" w:hAnsi="仿宋_GB2312" w:eastAsia="仿宋_GB2312"/>
          <w:b w:val="0"/>
          <w:sz w:val="32"/>
        </w:rPr>
        <w:t>八、《国有资本经营预算财政拨款收入支出决算表》</w:t>
      </w:r>
    </w:p>
    <w:p w14:paraId="0581DC7C">
      <w:pPr>
        <w:spacing w:line="240" w:lineRule="auto"/>
        <w:ind w:firstLine="640"/>
        <w:jc w:val="both"/>
      </w:pPr>
      <w:r>
        <w:rPr>
          <w:rFonts w:ascii="仿宋_GB2312" w:hAnsi="仿宋_GB2312" w:eastAsia="仿宋_GB2312"/>
          <w:b w:val="0"/>
          <w:sz w:val="32"/>
        </w:rPr>
        <w:t>九、《财政拨款“三公”经费支出决算表》</w:t>
      </w:r>
    </w:p>
    <w:p w14:paraId="51A3F95D">
      <w:pPr>
        <w:spacing w:line="240" w:lineRule="auto"/>
        <w:ind w:firstLine="640"/>
        <w:jc w:val="both"/>
      </w:pPr>
    </w:p>
    <w:p w14:paraId="5855E5FA">
      <w:pPr>
        <w:spacing w:line="240" w:lineRule="auto"/>
        <w:ind w:firstLine="640"/>
        <w:jc w:val="both"/>
      </w:pPr>
    </w:p>
    <w:p w14:paraId="7ACBE988">
      <w:pPr>
        <w:spacing w:line="240" w:lineRule="auto"/>
        <w:ind w:firstLine="640"/>
        <w:jc w:val="both"/>
      </w:pPr>
    </w:p>
    <w:p w14:paraId="7DC13251">
      <w:pPr>
        <w:spacing w:line="240" w:lineRule="auto"/>
        <w:ind w:firstLine="640"/>
        <w:jc w:val="both"/>
      </w:pPr>
    </w:p>
    <w:p w14:paraId="2D39AF2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5EA7B30-5F71-4F9B-BE09-A89873ACECF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992A4FA-4CBA-4EAA-8DBF-83E7037700DB}"/>
  </w:font>
  <w:font w:name="仿宋_GB2312">
    <w:panose1 w:val="02010609030101010101"/>
    <w:charset w:val="86"/>
    <w:family w:val="auto"/>
    <w:pitch w:val="default"/>
    <w:sig w:usb0="00000001" w:usb1="080E0000" w:usb2="00000000" w:usb3="00000000" w:csb0="00040000" w:csb1="00000000"/>
    <w:embedRegular r:id="rId3" w:fontKey="{039C7351-7168-4B5F-983E-645918354535}"/>
  </w:font>
  <w:font w:name="楷体_GB2312">
    <w:panose1 w:val="02010609030101010101"/>
    <w:charset w:val="86"/>
    <w:family w:val="auto"/>
    <w:pitch w:val="default"/>
    <w:sig w:usb0="00000001" w:usb1="080E0000" w:usb2="00000000" w:usb3="00000000" w:csb0="00040000" w:csb1="00000000"/>
    <w:embedRegular r:id="rId4" w:fontKey="{587A06B7-CEB3-4186-BA8A-288FE510D724}"/>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7CE31B"/>
    <w:multiLevelType w:val="singleLevel"/>
    <w:tmpl w:val="837CE31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0B34EE"/>
    <w:rsid w:val="19071D6C"/>
    <w:rsid w:val="19B5554D"/>
    <w:rsid w:val="1B8F2D19"/>
    <w:rsid w:val="1C317E4F"/>
    <w:rsid w:val="1C472464"/>
    <w:rsid w:val="1DAF458D"/>
    <w:rsid w:val="1E086ACE"/>
    <w:rsid w:val="1E4B5CA5"/>
    <w:rsid w:val="1E59246E"/>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2B170E"/>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570C4F"/>
    <w:rsid w:val="4B4C0111"/>
    <w:rsid w:val="4BB23021"/>
    <w:rsid w:val="4F3F074E"/>
    <w:rsid w:val="50DB5F45"/>
    <w:rsid w:val="52F92565"/>
    <w:rsid w:val="543D17CB"/>
    <w:rsid w:val="54E73587"/>
    <w:rsid w:val="55DA564E"/>
    <w:rsid w:val="56E07045"/>
    <w:rsid w:val="583059FA"/>
    <w:rsid w:val="587E6212"/>
    <w:rsid w:val="598B6021"/>
    <w:rsid w:val="5AFC6609"/>
    <w:rsid w:val="5FA17648"/>
    <w:rsid w:val="5FD320BD"/>
    <w:rsid w:val="60DE4D57"/>
    <w:rsid w:val="613409CB"/>
    <w:rsid w:val="61A46A97"/>
    <w:rsid w:val="62DD7D21"/>
    <w:rsid w:val="65D97752"/>
    <w:rsid w:val="661108C1"/>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4413</Words>
  <Characters>4979</Characters>
  <Lines>0</Lines>
  <Paragraphs>0</Paragraphs>
  <TotalTime>3</TotalTime>
  <ScaleCrop>false</ScaleCrop>
  <LinksUpToDate>false</LinksUpToDate>
  <CharactersWithSpaces>4987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2025-09-04T04:14:53Z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