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克孜勒苏柯尔克孜自治州司法局2024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50F8C95">
      <w:r>
        <w:br w:type="page"/>
      </w:r>
    </w:p>
    <w:p w14:paraId="5392FD6E">
      <w:pPr>
        <w:spacing w:line="640" w:lineRule="exact"/>
        <w:jc w:val="center"/>
        <w:outlineLvl w:val="1"/>
      </w:pPr>
      <w:r>
        <w:rPr>
          <w:rFonts w:ascii="黑体" w:hAnsi="黑体" w:eastAsia="黑体"/>
          <w:sz w:val="32"/>
        </w:rPr>
        <w:t>第一部分 单位概况</w:t>
      </w:r>
    </w:p>
    <w:p w14:paraId="271C265A">
      <w:pPr>
        <w:spacing w:line="640" w:lineRule="exact"/>
        <w:ind w:firstLine="640"/>
        <w:jc w:val="both"/>
        <w:outlineLvl w:val="2"/>
      </w:pPr>
      <w:r>
        <w:rPr>
          <w:rFonts w:ascii="黑体" w:hAnsi="黑体" w:eastAsia="黑体"/>
          <w:sz w:val="32"/>
        </w:rPr>
        <w:t>一、主要职能</w:t>
      </w:r>
    </w:p>
    <w:p w14:paraId="4E42D007">
      <w:pPr>
        <w:spacing w:line="580" w:lineRule="exact"/>
        <w:ind w:firstLine="640"/>
        <w:jc w:val="both"/>
        <w:rPr>
          <w:rFonts w:hint="eastAsia" w:eastAsia="仿宋_GB2312"/>
          <w:lang w:eastAsia="zh-CN"/>
        </w:rPr>
      </w:pPr>
      <w:r>
        <w:rPr>
          <w:rFonts w:ascii="仿宋_GB2312" w:hAnsi="仿宋_GB2312" w:eastAsia="仿宋_GB2312"/>
          <w:sz w:val="32"/>
        </w:rPr>
        <w:t>克孜勒苏柯尔克孜自治州司法局是自治州人民政府组成部门，为正县级。负责贯彻落实自治州党委关于全面依法治州的决策部署，在履行职责过程中坚持和加强党对全面依法治州的集中统一领导。主要职责是</w:t>
      </w:r>
      <w:r>
        <w:rPr>
          <w:rFonts w:hint="eastAsia" w:ascii="仿宋_GB2312" w:hAnsi="仿宋_GB2312" w:eastAsia="仿宋_GB2312"/>
          <w:sz w:val="32"/>
          <w:lang w:eastAsia="zh-CN"/>
        </w:rPr>
        <w:t>：</w:t>
      </w:r>
    </w:p>
    <w:p w14:paraId="6B9778D1">
      <w:pPr>
        <w:spacing w:line="580" w:lineRule="exact"/>
        <w:ind w:firstLine="640"/>
        <w:jc w:val="both"/>
      </w:pPr>
      <w:r>
        <w:rPr>
          <w:rFonts w:ascii="仿宋_GB2312" w:hAnsi="仿宋_GB2312" w:eastAsia="仿宋_GB2312"/>
          <w:sz w:val="32"/>
        </w:rPr>
        <w:t>(1)承担全面依法治州重大问题的政策研究，协调有关方面提出全面依法治州中长期规划建议，负责有关重大决策部署</w:t>
      </w:r>
      <w:r>
        <w:rPr>
          <w:rFonts w:hint="eastAsia" w:ascii="仿宋_GB2312" w:hAnsi="仿宋_GB2312" w:eastAsia="仿宋_GB2312"/>
          <w:sz w:val="32"/>
          <w:lang w:eastAsia="zh-CN"/>
        </w:rPr>
        <w:t>督查</w:t>
      </w:r>
      <w:r>
        <w:rPr>
          <w:rFonts w:ascii="仿宋_GB2312" w:hAnsi="仿宋_GB2312" w:eastAsia="仿宋_GB2312"/>
          <w:sz w:val="32"/>
        </w:rPr>
        <w:t>工作。</w:t>
      </w:r>
    </w:p>
    <w:p w14:paraId="71BF2AE3">
      <w:pPr>
        <w:spacing w:line="580" w:lineRule="exact"/>
        <w:ind w:firstLine="640"/>
        <w:jc w:val="both"/>
      </w:pPr>
      <w:r>
        <w:rPr>
          <w:rFonts w:ascii="仿宋_GB2312" w:hAnsi="仿宋_GB2312" w:eastAsia="仿宋_GB2312"/>
          <w:sz w:val="32"/>
        </w:rPr>
        <w:t>(2)承担统筹规划立法工作的责任。协调有关方面提出立法规划和年度立法工作计划的建议，负责跟踪了解各部门对立法工作计划的落实情况，加强组织协调和督促指导，研究提出立法与改革决策相衔接的意见、措施。负责面向社会征集地方性法规、政府规章制定项目建议。</w:t>
      </w:r>
    </w:p>
    <w:p w14:paraId="28D362BB">
      <w:pPr>
        <w:spacing w:line="580" w:lineRule="exact"/>
        <w:ind w:firstLine="640"/>
        <w:jc w:val="both"/>
      </w:pPr>
      <w:r>
        <w:rPr>
          <w:rFonts w:ascii="仿宋_GB2312" w:hAnsi="仿宋_GB2312" w:eastAsia="仿宋_GB2312"/>
          <w:sz w:val="32"/>
        </w:rPr>
        <w:t>(3)负责起草或者组织起草有关地方性法规、政府规章草案。承办各部门报送自治州人民政府的地方性法规、政府规章草案审查工作。承办法律草案、行政法规草案、地方性法规草案征求意见工作。负责立法协调。</w:t>
      </w:r>
    </w:p>
    <w:p w14:paraId="4C8A9B8E">
      <w:pPr>
        <w:spacing w:line="580" w:lineRule="exact"/>
        <w:ind w:firstLine="640"/>
        <w:jc w:val="both"/>
      </w:pPr>
      <w:r>
        <w:rPr>
          <w:rFonts w:ascii="仿宋_GB2312" w:hAnsi="仿宋_GB2312" w:eastAsia="仿宋_GB2312"/>
          <w:sz w:val="32"/>
        </w:rPr>
        <w:t>(4)承办政府规章的解释、立法后评估工作。负责协调实施政府规章中的有关争议和问题。承办政府规章清理、编纂工作。承担自治州人民政府规章报备工作。负责各县（市）人民政府规章备案审查工作。负责行政规范性文件合法性审核、备案审查工作。组织开展政府规章和行政规范性文件清理工作。</w:t>
      </w:r>
    </w:p>
    <w:p w14:paraId="0157BA88">
      <w:pPr>
        <w:spacing w:line="580" w:lineRule="exact"/>
        <w:ind w:firstLine="640"/>
        <w:jc w:val="both"/>
      </w:pPr>
      <w:r>
        <w:rPr>
          <w:rFonts w:ascii="仿宋_GB2312" w:hAnsi="仿宋_GB2312" w:eastAsia="仿宋_GB2312"/>
          <w:sz w:val="32"/>
        </w:rPr>
        <w:t>(5)承担统筹推进法治政府建设的责任。指导、监督自治州人民政府各部门、各县（市）人民政府依法行政工作。负责行政执法的监督管理、综合协调工作，承担推进行政执法体制改革有关工作，推进严格规范公正文明执法。指导、监督全州行政复议和行政应诉工作。负责行政复议和应诉案件办理工作。</w:t>
      </w:r>
    </w:p>
    <w:p w14:paraId="5971FCC8">
      <w:pPr>
        <w:spacing w:line="580" w:lineRule="exact"/>
        <w:ind w:firstLine="640"/>
        <w:jc w:val="both"/>
      </w:pPr>
      <w:r>
        <w:rPr>
          <w:rFonts w:ascii="仿宋_GB2312" w:hAnsi="仿宋_GB2312" w:eastAsia="仿宋_GB2312"/>
          <w:sz w:val="32"/>
        </w:rPr>
        <w:t>(6)承担统筹规划法治社会建设的责任。负责拟订法治宣传教育规划，组织实施普法宣传工作，组织对外法治宣传。推动人民参与和促进法治建设。指导依法治理和法治创建工作。负责人民监督员选任管理工作。指导、监督人民调解、行政调解、人民陪审员选任工作，推进司法所建设。负责促进和谐预防犯罪宣传教育工作。</w:t>
      </w:r>
    </w:p>
    <w:p w14:paraId="70B9F89C">
      <w:pPr>
        <w:spacing w:line="580" w:lineRule="exact"/>
        <w:ind w:firstLine="640"/>
        <w:jc w:val="both"/>
      </w:pPr>
      <w:r>
        <w:rPr>
          <w:rFonts w:ascii="仿宋_GB2312" w:hAnsi="仿宋_GB2312" w:eastAsia="仿宋_GB2312"/>
          <w:sz w:val="32"/>
        </w:rPr>
        <w:t>(7)指导、管理社区矫正工作。</w:t>
      </w:r>
    </w:p>
    <w:p w14:paraId="5876106D">
      <w:pPr>
        <w:spacing w:line="580" w:lineRule="exact"/>
        <w:ind w:firstLine="640"/>
        <w:jc w:val="both"/>
      </w:pPr>
      <w:r>
        <w:rPr>
          <w:rFonts w:ascii="仿宋_GB2312" w:hAnsi="仿宋_GB2312" w:eastAsia="仿宋_GB2312"/>
          <w:sz w:val="32"/>
        </w:rPr>
        <w:t>(8)负责拟订公共法律服务体系建设规划并指导实施，统筹和布局城乡、区域法律服务资源。指导、监督律师、法律援助、司法鉴定、公证、仲裁和基层法律服务管理工作。</w:t>
      </w:r>
    </w:p>
    <w:p w14:paraId="4D1D843F">
      <w:pPr>
        <w:spacing w:line="580" w:lineRule="exact"/>
        <w:ind w:firstLine="640"/>
        <w:jc w:val="both"/>
      </w:pPr>
      <w:r>
        <w:rPr>
          <w:rFonts w:ascii="仿宋_GB2312" w:hAnsi="仿宋_GB2312" w:eastAsia="仿宋_GB2312"/>
          <w:sz w:val="32"/>
        </w:rPr>
        <w:t>(9)负责国家统一法律职业资格考试的组织实施工作。负责国家统一法律职业资格审查、复核、报批和证书管理工作。负责规划和指导法律职业人员入职前培训工作。</w:t>
      </w:r>
    </w:p>
    <w:p w14:paraId="4B6AB56F">
      <w:pPr>
        <w:spacing w:line="580" w:lineRule="exact"/>
        <w:ind w:firstLine="640"/>
        <w:jc w:val="both"/>
      </w:pPr>
      <w:r>
        <w:rPr>
          <w:rFonts w:ascii="仿宋_GB2312" w:hAnsi="仿宋_GB2312" w:eastAsia="仿宋_GB2312"/>
          <w:sz w:val="32"/>
        </w:rPr>
        <w:t>(10)负责自治州法治对外合作工作。组织开展法治对外合作交流。承办涉港澳台的法律事务。参与有关国际司法协助。</w:t>
      </w:r>
    </w:p>
    <w:p w14:paraId="023B66D1">
      <w:pPr>
        <w:spacing w:line="580" w:lineRule="exact"/>
        <w:ind w:firstLine="640"/>
        <w:jc w:val="both"/>
      </w:pPr>
      <w:r>
        <w:rPr>
          <w:rFonts w:ascii="仿宋_GB2312" w:hAnsi="仿宋_GB2312" w:eastAsia="仿宋_GB2312"/>
          <w:sz w:val="32"/>
        </w:rPr>
        <w:t>(11)负责自治州司法行政系统枪支、弹药、服装和警车管理工作，指导、监督自治州司法行政系统财务、装备、设施、场所等保障工作。</w:t>
      </w:r>
    </w:p>
    <w:p w14:paraId="1ABE4208">
      <w:pPr>
        <w:spacing w:line="580" w:lineRule="exact"/>
        <w:ind w:firstLine="640"/>
        <w:jc w:val="both"/>
      </w:pPr>
      <w:r>
        <w:rPr>
          <w:rFonts w:ascii="仿宋_GB2312" w:hAnsi="仿宋_GB2312" w:eastAsia="仿宋_GB2312"/>
          <w:sz w:val="32"/>
        </w:rPr>
        <w:t>(12)规划、协调、指导法治人才队伍建设相关工作，指导、监督自治州司法行政系统队伍建设。负责自治州司法行政系统警务管理和警务督察工作。协助各县（市）管理司法局领导干部。</w:t>
      </w:r>
    </w:p>
    <w:p w14:paraId="401EC961">
      <w:pPr>
        <w:spacing w:line="580" w:lineRule="exact"/>
        <w:ind w:firstLine="640"/>
        <w:jc w:val="both"/>
      </w:pPr>
      <w:r>
        <w:rPr>
          <w:rFonts w:ascii="仿宋_GB2312" w:hAnsi="仿宋_GB2312" w:eastAsia="仿宋_GB2312"/>
          <w:sz w:val="32"/>
        </w:rPr>
        <w:t>(13)按照“管行业必须管安全、管业务必须管安全”的要求，对本行业领域安全生产负行业监管（行业主管）职责，组织开展本行业领域安全生产宣传教育、监督检查及应急管理工作。</w:t>
      </w:r>
    </w:p>
    <w:p w14:paraId="2EF45924">
      <w:pPr>
        <w:spacing w:line="580" w:lineRule="exact"/>
        <w:ind w:firstLine="640"/>
        <w:jc w:val="both"/>
      </w:pPr>
      <w:r>
        <w:rPr>
          <w:rFonts w:ascii="仿宋_GB2312" w:hAnsi="仿宋_GB2312" w:eastAsia="仿宋_GB2312"/>
          <w:sz w:val="32"/>
        </w:rPr>
        <w:t>(14)完成自治州党委、自治州人民政府和自治区司法厅交办的其他任务。</w:t>
      </w:r>
    </w:p>
    <w:p w14:paraId="2109F507">
      <w:pPr>
        <w:spacing w:line="640" w:lineRule="exact"/>
        <w:ind w:firstLine="640"/>
        <w:jc w:val="both"/>
        <w:outlineLvl w:val="2"/>
      </w:pPr>
      <w:r>
        <w:rPr>
          <w:rFonts w:ascii="黑体" w:hAnsi="黑体" w:eastAsia="黑体"/>
          <w:sz w:val="32"/>
        </w:rPr>
        <w:t>二、机构设置及人员情况</w:t>
      </w:r>
    </w:p>
    <w:p w14:paraId="3EAC879F">
      <w:pPr>
        <w:spacing w:line="580" w:lineRule="exact"/>
        <w:ind w:firstLine="640"/>
        <w:jc w:val="both"/>
      </w:pPr>
      <w:r>
        <w:rPr>
          <w:rFonts w:ascii="仿宋_GB2312" w:hAnsi="仿宋_GB2312" w:eastAsia="仿宋_GB2312"/>
          <w:sz w:val="32"/>
        </w:rPr>
        <w:t>克孜勒苏柯尔克孜自治州司法局2024年度，实有人数72人，其中：在职人员38人，增加6人；离休人员1人，增加0人；退休人员33人,增加3人。</w:t>
      </w:r>
    </w:p>
    <w:p w14:paraId="1C8A244D">
      <w:pPr>
        <w:spacing w:line="580" w:lineRule="exact"/>
        <w:ind w:firstLine="640"/>
        <w:jc w:val="both"/>
      </w:pPr>
      <w:r>
        <w:rPr>
          <w:rFonts w:ascii="仿宋_GB2312" w:hAnsi="仿宋_GB2312" w:eastAsia="仿宋_GB2312"/>
          <w:sz w:val="32"/>
        </w:rPr>
        <w:t>克孜勒苏柯尔克孜自治州司法局无下属预算单位，下设10个科室，分别是：办公室、政工科、依法治州办秘书科、立法科、社区矫正（安置帮教）科、行政执法协调监督科、普法与依法治理科、人民参与和促进法治科、公共法律服务科、法律援助中心。</w:t>
      </w:r>
    </w:p>
    <w:p w14:paraId="10290AC1">
      <w:r>
        <w:br w:type="page"/>
      </w:r>
    </w:p>
    <w:p w14:paraId="4A9E60C3">
      <w:pPr>
        <w:spacing w:line="240" w:lineRule="auto"/>
        <w:jc w:val="center"/>
        <w:outlineLvl w:val="1"/>
      </w:pPr>
      <w:r>
        <w:rPr>
          <w:rFonts w:ascii="黑体" w:hAnsi="黑体" w:eastAsia="黑体"/>
          <w:sz w:val="32"/>
        </w:rPr>
        <w:t>第二部分 部门决算情况说明</w:t>
      </w:r>
    </w:p>
    <w:p w14:paraId="768C448E">
      <w:pPr>
        <w:spacing w:line="640" w:lineRule="exact"/>
        <w:ind w:firstLine="640"/>
        <w:jc w:val="both"/>
        <w:outlineLvl w:val="2"/>
      </w:pPr>
      <w:r>
        <w:rPr>
          <w:rFonts w:ascii="黑体" w:hAnsi="黑体" w:eastAsia="黑体"/>
          <w:sz w:val="32"/>
        </w:rPr>
        <w:t>一、收入支出决算总体情况说明</w:t>
      </w:r>
    </w:p>
    <w:p w14:paraId="426169D5">
      <w:pPr>
        <w:spacing w:line="580" w:lineRule="exact"/>
        <w:ind w:firstLine="640"/>
        <w:jc w:val="both"/>
      </w:pPr>
      <w:r>
        <w:rPr>
          <w:rFonts w:ascii="仿宋_GB2312" w:hAnsi="仿宋_GB2312" w:eastAsia="仿宋_GB2312"/>
          <w:b/>
          <w:sz w:val="32"/>
        </w:rPr>
        <w:t>2024年度收入总计1,202.48万元，</w:t>
      </w:r>
      <w:r>
        <w:rPr>
          <w:rFonts w:ascii="仿宋_GB2312" w:hAnsi="仿宋_GB2312" w:eastAsia="仿宋_GB2312"/>
          <w:b w:val="0"/>
          <w:sz w:val="32"/>
        </w:rPr>
        <w:t>其中：本年收入合计1,174.17万元，使用非财政拨款结余（含专用结余）0.00万元，年初结转和结余28.31万元。</w:t>
      </w:r>
    </w:p>
    <w:p w14:paraId="56A1A698">
      <w:pPr>
        <w:spacing w:line="580" w:lineRule="exact"/>
        <w:ind w:firstLine="640"/>
        <w:jc w:val="both"/>
      </w:pPr>
      <w:r>
        <w:rPr>
          <w:rFonts w:ascii="仿宋_GB2312" w:hAnsi="仿宋_GB2312" w:eastAsia="仿宋_GB2312"/>
          <w:b/>
          <w:sz w:val="32"/>
        </w:rPr>
        <w:t>2024年度支出总计1,202.48万元，</w:t>
      </w:r>
      <w:r>
        <w:rPr>
          <w:rFonts w:ascii="仿宋_GB2312" w:hAnsi="仿宋_GB2312" w:eastAsia="仿宋_GB2312"/>
          <w:b w:val="0"/>
          <w:sz w:val="32"/>
        </w:rPr>
        <w:t>其中：本年支出合计1,198.35万元，结余分配0.00万元，年末结转和结余4.13万元。</w:t>
      </w:r>
    </w:p>
    <w:p w14:paraId="3E5CD1B0">
      <w:pPr>
        <w:spacing w:line="580" w:lineRule="exact"/>
        <w:ind w:firstLine="640"/>
        <w:jc w:val="both"/>
      </w:pPr>
      <w:r>
        <w:rPr>
          <w:rFonts w:ascii="仿宋_GB2312" w:hAnsi="仿宋_GB2312" w:eastAsia="仿宋_GB2312"/>
          <w:b w:val="0"/>
          <w:sz w:val="32"/>
        </w:rPr>
        <w:t>收入支出总体与上年相比，减少19.13万元，下降1.57%，主要原因是：本年转移支付项目资金较上年减少。</w:t>
      </w:r>
    </w:p>
    <w:p w14:paraId="5C22F6D3">
      <w:pPr>
        <w:spacing w:line="640" w:lineRule="exact"/>
        <w:ind w:firstLine="640"/>
        <w:jc w:val="both"/>
        <w:outlineLvl w:val="2"/>
      </w:pPr>
      <w:r>
        <w:rPr>
          <w:rFonts w:ascii="黑体" w:hAnsi="黑体" w:eastAsia="黑体"/>
          <w:sz w:val="32"/>
        </w:rPr>
        <w:t>二、收入决算情况说明</w:t>
      </w:r>
    </w:p>
    <w:p w14:paraId="4CC0C0FB">
      <w:pPr>
        <w:spacing w:line="580" w:lineRule="exact"/>
        <w:ind w:firstLine="640"/>
        <w:jc w:val="both"/>
      </w:pPr>
      <w:r>
        <w:rPr>
          <w:rFonts w:ascii="仿宋_GB2312" w:hAnsi="仿宋_GB2312" w:eastAsia="仿宋_GB2312"/>
          <w:b/>
          <w:sz w:val="32"/>
        </w:rPr>
        <w:t>本年收入1,174.17万元，</w:t>
      </w:r>
      <w:r>
        <w:rPr>
          <w:rFonts w:ascii="仿宋_GB2312" w:hAnsi="仿宋_GB2312" w:eastAsia="仿宋_GB2312"/>
          <w:b w:val="0"/>
          <w:sz w:val="32"/>
        </w:rPr>
        <w:t>其中：财政拨款收入1,173.50万元，占99.94%；上级补助收入0.00万元，占0.00%；事业收入0.00万元，占0.00%；经营收入0.00万元，占0.00%；附属单位上缴收入0.00万元，占0.00%；其他收入0.68万元，占0.06%。</w:t>
      </w:r>
    </w:p>
    <w:p w14:paraId="07982686">
      <w:pPr>
        <w:spacing w:line="640" w:lineRule="exact"/>
        <w:ind w:firstLine="640"/>
        <w:jc w:val="both"/>
        <w:outlineLvl w:val="2"/>
      </w:pPr>
      <w:r>
        <w:rPr>
          <w:rFonts w:ascii="黑体" w:hAnsi="黑体" w:eastAsia="黑体"/>
          <w:sz w:val="32"/>
        </w:rPr>
        <w:t>三、支出决算情况说明</w:t>
      </w:r>
    </w:p>
    <w:p w14:paraId="1F8AD195">
      <w:pPr>
        <w:spacing w:line="580" w:lineRule="exact"/>
        <w:ind w:firstLine="640"/>
        <w:jc w:val="both"/>
      </w:pPr>
      <w:r>
        <w:rPr>
          <w:rFonts w:ascii="仿宋_GB2312" w:hAnsi="仿宋_GB2312" w:eastAsia="仿宋_GB2312"/>
          <w:b/>
          <w:sz w:val="32"/>
        </w:rPr>
        <w:t>本年支出1,198.35万元，</w:t>
      </w:r>
      <w:r>
        <w:rPr>
          <w:rFonts w:ascii="仿宋_GB2312" w:hAnsi="仿宋_GB2312" w:eastAsia="仿宋_GB2312"/>
          <w:b w:val="0"/>
          <w:sz w:val="32"/>
        </w:rPr>
        <w:t>其中：基本支出834.67万元，占69.65%；项目支出363.68万元，占30.35%；上缴上级支出0.00万元，占0.00%；经营支出0.00万元，占0.00%；对附属单位补助支出0.00万元，占0.00%。</w:t>
      </w:r>
    </w:p>
    <w:p w14:paraId="0F916545">
      <w:pPr>
        <w:spacing w:line="640" w:lineRule="exact"/>
        <w:ind w:firstLine="640"/>
        <w:jc w:val="both"/>
        <w:outlineLvl w:val="2"/>
      </w:pPr>
      <w:r>
        <w:rPr>
          <w:rFonts w:ascii="黑体" w:hAnsi="黑体" w:eastAsia="黑体"/>
          <w:sz w:val="32"/>
        </w:rPr>
        <w:t>四、财政拨款收入支出决算总体情况说明</w:t>
      </w:r>
    </w:p>
    <w:p w14:paraId="3709196D">
      <w:pPr>
        <w:spacing w:line="580" w:lineRule="exact"/>
        <w:ind w:firstLine="640"/>
        <w:jc w:val="both"/>
      </w:pPr>
      <w:r>
        <w:rPr>
          <w:rFonts w:ascii="仿宋_GB2312" w:hAnsi="仿宋_GB2312" w:eastAsia="仿宋_GB2312"/>
          <w:b/>
          <w:sz w:val="32"/>
        </w:rPr>
        <w:t>2024年度财政拨款收入总计1,173.50万元，</w:t>
      </w:r>
      <w:r>
        <w:rPr>
          <w:rFonts w:ascii="仿宋_GB2312" w:hAnsi="仿宋_GB2312" w:eastAsia="仿宋_GB2312"/>
          <w:b w:val="0"/>
          <w:sz w:val="32"/>
        </w:rPr>
        <w:t>其中：年初财政拨款结转和结余0.00万元，本年财政拨款收入1,173.50万元。</w:t>
      </w:r>
      <w:r>
        <w:rPr>
          <w:rFonts w:ascii="仿宋_GB2312" w:hAnsi="仿宋_GB2312" w:eastAsia="仿宋_GB2312"/>
          <w:b/>
          <w:sz w:val="32"/>
        </w:rPr>
        <w:t>财政拨款支出总计1,173.50万元，</w:t>
      </w:r>
      <w:r>
        <w:rPr>
          <w:rFonts w:ascii="仿宋_GB2312" w:hAnsi="仿宋_GB2312" w:eastAsia="仿宋_GB2312"/>
          <w:b w:val="0"/>
          <w:sz w:val="32"/>
        </w:rPr>
        <w:t>其中：年末财政拨款结转和结余0.00万元，本年财政拨款支出1,173.50万元。</w:t>
      </w:r>
    </w:p>
    <w:p w14:paraId="217859B4">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减少12.99万元，下降1.09%，主要原因是：本年转移支付项目资金较上年减少。</w:t>
      </w:r>
      <w:r>
        <w:rPr>
          <w:rFonts w:ascii="仿宋_GB2312" w:hAnsi="仿宋_GB2312" w:eastAsia="仿宋_GB2312"/>
          <w:b/>
          <w:sz w:val="32"/>
        </w:rPr>
        <w:t>与年初预算相比，</w:t>
      </w:r>
      <w:r>
        <w:rPr>
          <w:rFonts w:ascii="仿宋_GB2312" w:hAnsi="仿宋_GB2312" w:eastAsia="仿宋_GB2312"/>
          <w:b w:val="0"/>
          <w:sz w:val="32"/>
        </w:rPr>
        <w:t>年初预算数1,078.15万元，决算数1,173.50万元，预决算差异率8.84%，主要原因是：本年在职人员增加，年中追加人员经费及人员工资、社保、公积金基数调增部分资金，导致预决算差异。</w:t>
      </w:r>
    </w:p>
    <w:p w14:paraId="4A1AEDED">
      <w:pPr>
        <w:spacing w:line="640" w:lineRule="exact"/>
        <w:ind w:firstLine="640"/>
        <w:jc w:val="both"/>
        <w:outlineLvl w:val="2"/>
      </w:pPr>
      <w:r>
        <w:rPr>
          <w:rFonts w:ascii="黑体" w:hAnsi="黑体" w:eastAsia="黑体"/>
          <w:sz w:val="32"/>
        </w:rPr>
        <w:t>五、一般公共预算财政拨款支出决算情况说明</w:t>
      </w:r>
    </w:p>
    <w:p w14:paraId="0D289D69">
      <w:pPr>
        <w:spacing w:line="640" w:lineRule="exact"/>
        <w:ind w:firstLine="640"/>
        <w:jc w:val="both"/>
        <w:outlineLvl w:val="3"/>
      </w:pPr>
      <w:r>
        <w:rPr>
          <w:rFonts w:ascii="楷体_GB2312" w:hAnsi="楷体_GB2312" w:eastAsia="楷体_GB2312"/>
          <w:b/>
          <w:sz w:val="32"/>
        </w:rPr>
        <w:t>（一）一般公共预算财政拨款支出决算总体情况</w:t>
      </w:r>
    </w:p>
    <w:p w14:paraId="1679C142">
      <w:pPr>
        <w:spacing w:line="580" w:lineRule="exact"/>
        <w:ind w:firstLine="640"/>
        <w:jc w:val="both"/>
      </w:pPr>
      <w:r>
        <w:rPr>
          <w:rFonts w:ascii="仿宋_GB2312" w:hAnsi="仿宋_GB2312" w:eastAsia="仿宋_GB2312"/>
          <w:b/>
          <w:sz w:val="32"/>
        </w:rPr>
        <w:t>2024年度一般公共预算财政拨款支出1,173.50万元，</w:t>
      </w:r>
      <w:r>
        <w:rPr>
          <w:rFonts w:ascii="仿宋_GB2312" w:hAnsi="仿宋_GB2312" w:eastAsia="仿宋_GB2312"/>
          <w:b w:val="0"/>
          <w:sz w:val="32"/>
        </w:rPr>
        <w:t>占本年支出合计的97.93%。</w:t>
      </w:r>
      <w:r>
        <w:rPr>
          <w:rFonts w:ascii="仿宋_GB2312" w:hAnsi="仿宋_GB2312" w:eastAsia="仿宋_GB2312"/>
          <w:b/>
          <w:sz w:val="32"/>
        </w:rPr>
        <w:t>与上年相比，</w:t>
      </w:r>
      <w:r>
        <w:rPr>
          <w:rFonts w:ascii="仿宋_GB2312" w:hAnsi="仿宋_GB2312" w:eastAsia="仿宋_GB2312"/>
          <w:b w:val="0"/>
          <w:sz w:val="32"/>
        </w:rPr>
        <w:t>减少12.99万元，下降1.09%，主要原因是：本年转移支付项目资金较上年减少。</w:t>
      </w:r>
      <w:r>
        <w:rPr>
          <w:rFonts w:ascii="仿宋_GB2312" w:hAnsi="仿宋_GB2312" w:eastAsia="仿宋_GB2312"/>
          <w:b/>
          <w:sz w:val="32"/>
        </w:rPr>
        <w:t>与年初预算相比,</w:t>
      </w:r>
      <w:r>
        <w:rPr>
          <w:rFonts w:ascii="仿宋_GB2312" w:hAnsi="仿宋_GB2312" w:eastAsia="仿宋_GB2312"/>
          <w:b w:val="0"/>
          <w:sz w:val="32"/>
        </w:rPr>
        <w:t>年初预算数1,078.15万元，决算数1,173.50万元，预决算差异率8.84%，主要原因是：本年在职人员增加，年中追加人员经费及人员工资、社保、公积金基数调增部分资金，导致预决算差异。</w:t>
      </w:r>
    </w:p>
    <w:p w14:paraId="5EA42A88">
      <w:pPr>
        <w:spacing w:line="640" w:lineRule="exact"/>
        <w:ind w:firstLine="640"/>
        <w:jc w:val="both"/>
        <w:outlineLvl w:val="3"/>
      </w:pPr>
      <w:r>
        <w:rPr>
          <w:rFonts w:ascii="楷体_GB2312" w:hAnsi="楷体_GB2312" w:eastAsia="楷体_GB2312"/>
          <w:b/>
          <w:sz w:val="32"/>
        </w:rPr>
        <w:t>（二）一般公共预算财政拨款支出决算结构情况</w:t>
      </w:r>
    </w:p>
    <w:p w14:paraId="460A4DDE">
      <w:pPr>
        <w:spacing w:line="580" w:lineRule="exact"/>
        <w:ind w:firstLine="640"/>
        <w:jc w:val="both"/>
      </w:pPr>
      <w:r>
        <w:rPr>
          <w:rFonts w:ascii="仿宋_GB2312" w:hAnsi="仿宋_GB2312" w:eastAsia="仿宋_GB2312"/>
          <w:b w:val="0"/>
          <w:sz w:val="32"/>
        </w:rPr>
        <w:t>1.公共安全支出(类)1,032.70万元,占88.00%。</w:t>
      </w:r>
    </w:p>
    <w:p w14:paraId="7C08B2FE">
      <w:pPr>
        <w:spacing w:line="580" w:lineRule="exact"/>
        <w:ind w:firstLine="640"/>
        <w:jc w:val="both"/>
      </w:pPr>
      <w:r>
        <w:rPr>
          <w:rFonts w:ascii="仿宋_GB2312" w:hAnsi="仿宋_GB2312" w:eastAsia="仿宋_GB2312"/>
          <w:b w:val="0"/>
          <w:sz w:val="32"/>
        </w:rPr>
        <w:t>2.社会保障和就业支出(类)140.79万元,占12.00%。</w:t>
      </w:r>
    </w:p>
    <w:p w14:paraId="7804CD2B">
      <w:pPr>
        <w:spacing w:line="640" w:lineRule="exact"/>
        <w:ind w:firstLine="640"/>
        <w:jc w:val="both"/>
        <w:outlineLvl w:val="3"/>
      </w:pPr>
      <w:r>
        <w:rPr>
          <w:rFonts w:ascii="楷体_GB2312" w:hAnsi="楷体_GB2312" w:eastAsia="楷体_GB2312"/>
          <w:b/>
          <w:sz w:val="32"/>
        </w:rPr>
        <w:t>（三）一般公共预算财政拨款支出决算具体情况</w:t>
      </w:r>
    </w:p>
    <w:p w14:paraId="433B2F76">
      <w:pPr>
        <w:spacing w:line="580" w:lineRule="exact"/>
        <w:ind w:firstLine="640"/>
        <w:jc w:val="both"/>
      </w:pPr>
      <w:r>
        <w:rPr>
          <w:rFonts w:ascii="仿宋_GB2312" w:hAnsi="仿宋_GB2312" w:eastAsia="仿宋_GB2312"/>
          <w:b w:val="0"/>
          <w:sz w:val="32"/>
        </w:rPr>
        <w:t>1.公共安全支出(类)司法(款)行政运行(项):支出决算数为533.12万元，比上年决算增加34.99万元，增长7.02%,主要原因是：本年新增在职人员，人员经费增加，导致经费较上年有所增加。</w:t>
      </w:r>
    </w:p>
    <w:p w14:paraId="7FCF1209">
      <w:pPr>
        <w:spacing w:line="580" w:lineRule="exact"/>
        <w:ind w:firstLine="640"/>
        <w:jc w:val="both"/>
      </w:pPr>
      <w:r>
        <w:rPr>
          <w:rFonts w:ascii="仿宋_GB2312" w:hAnsi="仿宋_GB2312" w:eastAsia="仿宋_GB2312"/>
          <w:b w:val="0"/>
          <w:sz w:val="32"/>
        </w:rPr>
        <w:t>2.公共安全支出(类)司法(款)普法宣传(项):支出决算数为20.00万元，比上年决算减少0.84万元，下降4.03%,主要原因是：本年降低普法宣传品成本，普法等工作经费项目支出较上年有所减少。</w:t>
      </w:r>
    </w:p>
    <w:p w14:paraId="223A179E">
      <w:pPr>
        <w:spacing w:line="580" w:lineRule="exact"/>
        <w:ind w:firstLine="640"/>
        <w:jc w:val="both"/>
      </w:pPr>
      <w:r>
        <w:rPr>
          <w:rFonts w:ascii="仿宋_GB2312" w:hAnsi="仿宋_GB2312" w:eastAsia="仿宋_GB2312"/>
          <w:b w:val="0"/>
          <w:sz w:val="32"/>
        </w:rPr>
        <w:t>3.公共安全支出(类)司法(款)事业运行(项):支出决算数为160.76万元，比上年决算增加27.60万元，增长20.73%,主要原因是：本年新增在职人员，人员经费增加，导致经费较上年有所增加。</w:t>
      </w:r>
    </w:p>
    <w:p w14:paraId="0DABCEB0">
      <w:pPr>
        <w:spacing w:line="580" w:lineRule="exact"/>
        <w:ind w:firstLine="640"/>
        <w:jc w:val="both"/>
      </w:pPr>
      <w:r>
        <w:rPr>
          <w:rFonts w:ascii="仿宋_GB2312" w:hAnsi="仿宋_GB2312" w:eastAsia="仿宋_GB2312"/>
          <w:b w:val="0"/>
          <w:sz w:val="32"/>
        </w:rPr>
        <w:t>4.公共安全支出(类)司法(款)其他司法支出(项):支出决算数为318.82万元，比上年决算减少63.79万元，下降16.67%,主要原因是：本年转移支付项目资金较上年减少。</w:t>
      </w:r>
    </w:p>
    <w:p w14:paraId="245B06F0">
      <w:pPr>
        <w:spacing w:line="580" w:lineRule="exact"/>
        <w:ind w:firstLine="640"/>
        <w:jc w:val="both"/>
      </w:pPr>
      <w:r>
        <w:rPr>
          <w:rFonts w:ascii="仿宋_GB2312" w:hAnsi="仿宋_GB2312" w:eastAsia="仿宋_GB2312"/>
          <w:b w:val="0"/>
          <w:sz w:val="32"/>
        </w:rPr>
        <w:t>5.社会保障和就业支出(类)行政事业单位养老支出(款)行政单位离退休(项):支出决算数为68.44万元，比上年决算增加10.97万元，增长19.09%,主要原因是：本年行政退休人员增加，退休费支出增加。</w:t>
      </w:r>
    </w:p>
    <w:p w14:paraId="7C05BC79">
      <w:pPr>
        <w:spacing w:line="580" w:lineRule="exact"/>
        <w:ind w:firstLine="640"/>
        <w:jc w:val="both"/>
      </w:pPr>
      <w:r>
        <w:rPr>
          <w:rFonts w:ascii="仿宋_GB2312" w:hAnsi="仿宋_GB2312" w:eastAsia="仿宋_GB2312"/>
          <w:b w:val="0"/>
          <w:sz w:val="32"/>
        </w:rPr>
        <w:t>6.社会保障和就业支出(类)行政事业单位养老支出(款)事业单位离退休(项):支出决算数为3.06万元，比上年决算增加0.63万元，增长25.93%,主要原因是：本年增加事业退休人员基础绩效奖，退休费支出增加。</w:t>
      </w:r>
    </w:p>
    <w:p w14:paraId="496C0713">
      <w:pPr>
        <w:spacing w:line="580" w:lineRule="exact"/>
        <w:ind w:firstLine="640"/>
        <w:jc w:val="both"/>
      </w:pPr>
      <w:r>
        <w:rPr>
          <w:rFonts w:ascii="仿宋_GB2312" w:hAnsi="仿宋_GB2312" w:eastAsia="仿宋_GB2312"/>
          <w:b w:val="0"/>
          <w:sz w:val="32"/>
        </w:rPr>
        <w:t>7.社会保障和就业支出(类)行政事业单位养老支出(款)机关事业单位基本养老保险缴费支出(项):支出决算数为69.30万元，比上年决算增加5.80万元，增长9.13%,主要原因是：本年在职人员增加，养老保险缴费较上年增加。</w:t>
      </w:r>
    </w:p>
    <w:p w14:paraId="68C30E96">
      <w:pPr>
        <w:spacing w:line="580" w:lineRule="exact"/>
        <w:ind w:firstLine="640"/>
        <w:jc w:val="both"/>
      </w:pPr>
      <w:r>
        <w:rPr>
          <w:rFonts w:ascii="仿宋_GB2312" w:hAnsi="仿宋_GB2312" w:eastAsia="仿宋_GB2312"/>
          <w:b w:val="0"/>
          <w:sz w:val="32"/>
        </w:rPr>
        <w:t>8.社会保障和就业支出(类)行政事业单位养老支出(款)机关事业单位职业年金缴费支出(项):支出决算数为0.00万元，比上年决算减少28.33万元，下降100.00%,主要原因是：本年功能科目调整，机关事业单位职业年金缴费上年度单独列支，本年调整至主科目列支，导致经费较上年减少。</w:t>
      </w:r>
    </w:p>
    <w:p w14:paraId="46209458">
      <w:pPr>
        <w:spacing w:line="640" w:lineRule="exact"/>
        <w:ind w:firstLine="640"/>
        <w:jc w:val="both"/>
        <w:outlineLvl w:val="2"/>
      </w:pPr>
      <w:r>
        <w:rPr>
          <w:rFonts w:ascii="黑体" w:hAnsi="黑体" w:eastAsia="黑体"/>
          <w:sz w:val="32"/>
        </w:rPr>
        <w:t>六、一般公共预算财政拨款基本支出决算情况说明</w:t>
      </w:r>
    </w:p>
    <w:p w14:paraId="05AE6164">
      <w:pPr>
        <w:spacing w:line="580" w:lineRule="exact"/>
        <w:ind w:firstLine="640"/>
        <w:jc w:val="both"/>
      </w:pPr>
      <w:r>
        <w:rPr>
          <w:rFonts w:ascii="仿宋_GB2312" w:hAnsi="仿宋_GB2312" w:eastAsia="仿宋_GB2312"/>
          <w:b w:val="0"/>
          <w:sz w:val="32"/>
        </w:rPr>
        <w:t>2024年度一般公共预算财政拨款基本支出834.67万元，其中：</w:t>
      </w:r>
      <w:r>
        <w:rPr>
          <w:rFonts w:ascii="仿宋_GB2312" w:hAnsi="仿宋_GB2312" w:eastAsia="仿宋_GB2312"/>
          <w:b/>
          <w:sz w:val="32"/>
        </w:rPr>
        <w:t>人员经费813.81万元，</w:t>
      </w:r>
      <w:r>
        <w:rPr>
          <w:rFonts w:ascii="仿宋_GB2312" w:hAnsi="仿宋_GB2312" w:eastAsia="仿宋_GB2312"/>
          <w:b w:val="0"/>
          <w:sz w:val="32"/>
        </w:rPr>
        <w:t>包括：基本工资、津贴补贴、奖金、机关事业单位基本养老保险缴费、职业年金缴费、职工基本医疗保险缴费、其他社会保障缴费、住房公积金、其他工资福利支出、离休费、退休费、生活补助、奖励金、其他对个人和家庭的补助。</w:t>
      </w:r>
    </w:p>
    <w:p w14:paraId="09CBD518">
      <w:pPr>
        <w:spacing w:line="580" w:lineRule="exact"/>
        <w:ind w:firstLine="640"/>
        <w:jc w:val="both"/>
      </w:pPr>
      <w:r>
        <w:rPr>
          <w:rFonts w:ascii="仿宋_GB2312" w:hAnsi="仿宋_GB2312" w:eastAsia="仿宋_GB2312"/>
          <w:b/>
          <w:sz w:val="32"/>
        </w:rPr>
        <w:t>公用经费20.86万元，</w:t>
      </w:r>
      <w:r>
        <w:rPr>
          <w:rFonts w:ascii="仿宋_GB2312" w:hAnsi="仿宋_GB2312" w:eastAsia="仿宋_GB2312"/>
          <w:b w:val="0"/>
          <w:sz w:val="32"/>
        </w:rPr>
        <w:t>包括：办公费、印刷费、邮电费、物业管理费、差旅费、公务接待费、劳务费、工会经费、福利费、公务用车运行维护费、其他商品和服务支出。</w:t>
      </w:r>
    </w:p>
    <w:p w14:paraId="5F9A4A98">
      <w:pPr>
        <w:spacing w:line="640" w:lineRule="exact"/>
        <w:ind w:firstLine="640"/>
        <w:jc w:val="both"/>
        <w:outlineLvl w:val="2"/>
      </w:pPr>
      <w:r>
        <w:rPr>
          <w:rFonts w:ascii="黑体" w:hAnsi="黑体" w:eastAsia="黑体"/>
          <w:sz w:val="32"/>
        </w:rPr>
        <w:t>七、政府性基金预算财政拨款收入支出决算情况说明</w:t>
      </w:r>
    </w:p>
    <w:p w14:paraId="5A7B7009">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1DDC17AA">
      <w:pPr>
        <w:spacing w:line="640" w:lineRule="exact"/>
        <w:ind w:firstLine="640"/>
        <w:jc w:val="both"/>
        <w:outlineLvl w:val="2"/>
      </w:pPr>
      <w:r>
        <w:rPr>
          <w:rFonts w:ascii="黑体" w:hAnsi="黑体" w:eastAsia="黑体"/>
          <w:sz w:val="32"/>
        </w:rPr>
        <w:t>八、国有资本经营预算财政拨款收入支出决算情况说明</w:t>
      </w:r>
    </w:p>
    <w:p w14:paraId="7EA003CF">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16376CA9">
      <w:pPr>
        <w:spacing w:line="640" w:lineRule="exact"/>
        <w:ind w:firstLine="640"/>
        <w:jc w:val="both"/>
        <w:outlineLvl w:val="2"/>
      </w:pPr>
      <w:r>
        <w:rPr>
          <w:rFonts w:ascii="黑体" w:hAnsi="黑体" w:eastAsia="黑体"/>
          <w:sz w:val="32"/>
        </w:rPr>
        <w:t>九、财政拨款“三公”经费支出决算情况说明</w:t>
      </w:r>
    </w:p>
    <w:p w14:paraId="13670E50">
      <w:pPr>
        <w:spacing w:line="580" w:lineRule="exact"/>
        <w:ind w:firstLine="640"/>
        <w:jc w:val="both"/>
      </w:pPr>
      <w:r>
        <w:rPr>
          <w:rFonts w:ascii="仿宋_GB2312" w:hAnsi="仿宋_GB2312" w:eastAsia="仿宋_GB2312"/>
          <w:b/>
          <w:sz w:val="32"/>
        </w:rPr>
        <w:t>2024年度财政拨款“三公”经费支出5.86万元，</w:t>
      </w:r>
      <w:r>
        <w:rPr>
          <w:rFonts w:ascii="仿宋_GB2312" w:hAnsi="仿宋_GB2312" w:eastAsia="仿宋_GB2312"/>
          <w:b w:val="0"/>
          <w:sz w:val="32"/>
        </w:rPr>
        <w:t>比上年减少18.69万元，下降76.10%，主要原因是：本年未购入公务用车，公务用车购置费较上年减少；严格落实中央八项规定精神，厉行节约，减少公务接待费。其中：因公出国（境）费支出0.00万元，占0.00%，比上年增加0.00万元，增长0.00%，主要原因是：2023年与2024年均未安排因公出国（境）费支出。公务用车购置及运行维护费支出4.88万元，占83.28%，比上年减少18.30万元，下降78.95%，主要原因是：本年未购入公务用车，公务用车购置费较上年减少。公务接待费支出0.99万元，占16.89%，比上年减少0.39万元，下降28.26%，主要原因是：严格落实中央八项规定精神，厉行节约，减少公务接待费。</w:t>
      </w:r>
    </w:p>
    <w:p w14:paraId="3101CEDD">
      <w:pPr>
        <w:spacing w:line="580" w:lineRule="exact"/>
        <w:ind w:firstLine="640"/>
        <w:jc w:val="both"/>
      </w:pPr>
      <w:r>
        <w:rPr>
          <w:rFonts w:ascii="仿宋_GB2312" w:hAnsi="仿宋_GB2312" w:eastAsia="仿宋_GB2312"/>
          <w:b/>
          <w:sz w:val="32"/>
        </w:rPr>
        <w:t>具体情况如下：</w:t>
      </w:r>
    </w:p>
    <w:p w14:paraId="30CAB4F4">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5BB93431">
      <w:pPr>
        <w:spacing w:line="580" w:lineRule="exact"/>
        <w:ind w:firstLine="640"/>
        <w:jc w:val="both"/>
      </w:pPr>
      <w:r>
        <w:rPr>
          <w:rFonts w:ascii="仿宋_GB2312" w:hAnsi="仿宋_GB2312" w:eastAsia="仿宋_GB2312"/>
          <w:b w:val="0"/>
          <w:sz w:val="32"/>
        </w:rPr>
        <w:t>公务用车购置及运行维护费4.88万元，其中：公务用车购置费0.00万元，公务用车运行维护费4.88万元。公务用车运行维护费开支内容包括车辆加油费、保险费、过路费、维修费。公务用车购置数0辆，公务用车保有量10辆。国有资产占用情况中固定资产车辆10辆，与公务用车保有量差异原因是：本单位固定资产车辆与公务用车保有量一致无差异。</w:t>
      </w:r>
    </w:p>
    <w:p w14:paraId="437AD430">
      <w:pPr>
        <w:spacing w:line="580" w:lineRule="exact"/>
        <w:ind w:firstLine="640"/>
        <w:jc w:val="both"/>
      </w:pPr>
      <w:r>
        <w:rPr>
          <w:rFonts w:ascii="仿宋_GB2312" w:hAnsi="仿宋_GB2312" w:eastAsia="仿宋_GB2312"/>
          <w:b w:val="0"/>
          <w:sz w:val="32"/>
        </w:rPr>
        <w:t>公务接待费0.99万元，开支内容包括接待上级领导考察开展调研及业务活动、交流学习时产生的餐费。单位全年安排的国内公务接待16批次，70人次。</w:t>
      </w:r>
    </w:p>
    <w:p w14:paraId="2A9890A8">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5.86万元，决算数5.86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4.88万元，决算数4.88万元，预决算差异率0.00%，主要原因是：严格按照预算执行，预决算无差异。公务接待费全年预算数0.99万元，决算数0.99万元，预决算差异率0.00%，主要原因是：严格按照预算执行，预决算无差异。</w:t>
      </w:r>
    </w:p>
    <w:p w14:paraId="7E96EAFE">
      <w:pPr>
        <w:spacing w:line="640" w:lineRule="exact"/>
        <w:ind w:firstLine="640"/>
        <w:jc w:val="both"/>
        <w:outlineLvl w:val="2"/>
      </w:pPr>
      <w:r>
        <w:rPr>
          <w:rFonts w:ascii="黑体" w:hAnsi="黑体" w:eastAsia="黑体"/>
          <w:sz w:val="32"/>
        </w:rPr>
        <w:t>十、其他重要事项的情况说明</w:t>
      </w:r>
    </w:p>
    <w:p w14:paraId="1CF99663">
      <w:pPr>
        <w:spacing w:line="640" w:lineRule="exact"/>
        <w:ind w:firstLine="640"/>
        <w:jc w:val="both"/>
        <w:outlineLvl w:val="3"/>
      </w:pPr>
      <w:r>
        <w:rPr>
          <w:rFonts w:ascii="楷体_GB2312" w:hAnsi="楷体_GB2312" w:eastAsia="楷体_GB2312"/>
          <w:b/>
          <w:sz w:val="32"/>
        </w:rPr>
        <w:t>（一）机关运行经费及公用经费支出情况</w:t>
      </w:r>
    </w:p>
    <w:p w14:paraId="521F43DF">
      <w:pPr>
        <w:spacing w:line="580" w:lineRule="exact"/>
        <w:ind w:firstLine="640"/>
        <w:jc w:val="both"/>
      </w:pPr>
      <w:r>
        <w:rPr>
          <w:rFonts w:ascii="仿宋_GB2312" w:hAnsi="仿宋_GB2312" w:eastAsia="仿宋_GB2312"/>
          <w:b w:val="0"/>
          <w:sz w:val="32"/>
        </w:rPr>
        <w:t>2024年度克孜勒苏柯尔克孜自治州司法局（行政单位和参照公务员法管理事业单位）机关运行经费支出20.86万元，比上年减少13.32万元，下降38.97%，主要原因是：严格控制公用经费，合理节约办公用品，</w:t>
      </w:r>
      <w:r>
        <w:rPr>
          <w:rFonts w:hint="eastAsia" w:ascii="仿宋_GB2312" w:hAnsi="仿宋_GB2312" w:eastAsia="仿宋_GB2312"/>
          <w:b w:val="0"/>
          <w:sz w:val="32"/>
          <w:lang w:val="en-US" w:eastAsia="zh-CN"/>
        </w:rPr>
        <w:t>办公费、劳务费支出较上年减少</w:t>
      </w:r>
      <w:r>
        <w:rPr>
          <w:rFonts w:ascii="仿宋_GB2312" w:hAnsi="仿宋_GB2312" w:eastAsia="仿宋_GB2312"/>
          <w:b w:val="0"/>
          <w:sz w:val="32"/>
        </w:rPr>
        <w:t>。</w:t>
      </w:r>
    </w:p>
    <w:p w14:paraId="655F9B90">
      <w:pPr>
        <w:spacing w:line="640" w:lineRule="exact"/>
        <w:ind w:firstLine="640"/>
        <w:jc w:val="both"/>
        <w:outlineLvl w:val="3"/>
      </w:pPr>
      <w:r>
        <w:rPr>
          <w:rFonts w:ascii="楷体_GB2312" w:hAnsi="楷体_GB2312" w:eastAsia="楷体_GB2312"/>
          <w:b/>
          <w:sz w:val="32"/>
        </w:rPr>
        <w:t>（二）政府采购情况</w:t>
      </w:r>
    </w:p>
    <w:p w14:paraId="3A1F0995">
      <w:pPr>
        <w:spacing w:line="580" w:lineRule="exact"/>
        <w:ind w:firstLine="640"/>
        <w:jc w:val="both"/>
      </w:pPr>
      <w:r>
        <w:rPr>
          <w:rFonts w:ascii="仿宋_GB2312" w:hAnsi="仿宋_GB2312" w:eastAsia="仿宋_GB2312"/>
          <w:b w:val="0"/>
          <w:sz w:val="32"/>
        </w:rPr>
        <w:t>2024年度政府采购支出总额59.43万元，其中：政府采购货物支出34.01万元、政府采购工程支出10.69万元、政府采购服务支出14.73万元。</w:t>
      </w:r>
    </w:p>
    <w:p w14:paraId="2E25A41A">
      <w:pPr>
        <w:spacing w:line="580" w:lineRule="exact"/>
        <w:ind w:firstLine="640"/>
        <w:jc w:val="both"/>
      </w:pPr>
      <w:r>
        <w:rPr>
          <w:rFonts w:ascii="仿宋_GB2312" w:hAnsi="仿宋_GB2312" w:eastAsia="仿宋_GB2312"/>
          <w:b w:val="0"/>
          <w:sz w:val="32"/>
        </w:rPr>
        <w:t>授予中小企业合同金额54.92万元，占政府采购支出总额的92.41%，其中：授予小微企业合同金额29.68万元，占政府采购支出总额的49.94%。</w:t>
      </w:r>
    </w:p>
    <w:p w14:paraId="3D05D9CF">
      <w:pPr>
        <w:spacing w:line="640" w:lineRule="exact"/>
        <w:ind w:firstLine="640"/>
        <w:jc w:val="both"/>
        <w:outlineLvl w:val="3"/>
      </w:pPr>
      <w:r>
        <w:rPr>
          <w:rFonts w:ascii="楷体_GB2312" w:hAnsi="楷体_GB2312" w:eastAsia="楷体_GB2312"/>
          <w:b/>
          <w:sz w:val="32"/>
        </w:rPr>
        <w:t>（三）国有资产占用情况说明</w:t>
      </w:r>
    </w:p>
    <w:p w14:paraId="5C8D671A">
      <w:pPr>
        <w:spacing w:line="580" w:lineRule="exact"/>
        <w:ind w:firstLine="640"/>
        <w:jc w:val="both"/>
      </w:pPr>
      <w:r>
        <w:rPr>
          <w:rFonts w:ascii="仿宋_GB2312" w:hAnsi="仿宋_GB2312" w:eastAsia="仿宋_GB2312"/>
          <w:b w:val="0"/>
          <w:sz w:val="32"/>
        </w:rPr>
        <w:t>截至2024年12月31日，房屋80.00平方米，价值20.00万元。车辆10辆，价值234.59万元，其中：副部（省）级及以上领导用车0辆、主要负责人用车0辆、机要通信用车0辆、应急保障用车0辆、执法执勤用车5辆、特种专业技术用车4辆、离退休干部服务用车0辆、其他用车1辆，其他用车主要是：一般公务用车。单价100万元（含）以上设备（不含车辆）0台（套）。</w:t>
      </w:r>
    </w:p>
    <w:p w14:paraId="3FAC3474">
      <w:pPr>
        <w:spacing w:line="640" w:lineRule="exact"/>
        <w:ind w:firstLine="640"/>
        <w:jc w:val="both"/>
        <w:outlineLvl w:val="2"/>
      </w:pPr>
      <w:r>
        <w:rPr>
          <w:rFonts w:ascii="黑体" w:hAnsi="黑体" w:eastAsia="黑体"/>
          <w:sz w:val="32"/>
        </w:rPr>
        <w:t>十一、预算绩效的情况说明</w:t>
      </w:r>
    </w:p>
    <w:p w14:paraId="10D37175">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根据预算绩效管理要求，本单位2024年度预算绩效管理形成整体支出绩效自评表1个，全年预算总额1,202.48万元，实际执行总额1,198.35万元；预算绩效评价项目</w:t>
      </w:r>
      <w:r>
        <w:rPr>
          <w:rFonts w:hint="eastAsia" w:ascii="仿宋_GB2312" w:hAnsi="仿宋_GB2312" w:eastAsia="仿宋_GB2312"/>
          <w:b w:val="0"/>
          <w:sz w:val="32"/>
          <w:lang w:val="en-US" w:eastAsia="zh-CN"/>
        </w:rPr>
        <w:t>6</w:t>
      </w:r>
      <w:r>
        <w:rPr>
          <w:rFonts w:ascii="仿宋_GB2312" w:hAnsi="仿宋_GB2312" w:eastAsia="仿宋_GB2312"/>
          <w:b w:val="0"/>
          <w:sz w:val="32"/>
        </w:rPr>
        <w:t>个，全年预算数</w:t>
      </w:r>
      <w:r>
        <w:rPr>
          <w:rFonts w:hint="eastAsia" w:ascii="仿宋_GB2312" w:hAnsi="仿宋_GB2312" w:eastAsia="仿宋_GB2312"/>
          <w:b w:val="0"/>
          <w:sz w:val="32"/>
        </w:rPr>
        <w:t>382.67</w:t>
      </w:r>
      <w:r>
        <w:rPr>
          <w:rFonts w:ascii="仿宋_GB2312" w:hAnsi="仿宋_GB2312" w:eastAsia="仿宋_GB2312"/>
          <w:b w:val="0"/>
          <w:sz w:val="32"/>
        </w:rPr>
        <w:t>万元，全年执行数</w:t>
      </w:r>
      <w:r>
        <w:rPr>
          <w:rFonts w:hint="eastAsia" w:ascii="仿宋_GB2312" w:hAnsi="仿宋_GB2312" w:eastAsia="仿宋_GB2312"/>
          <w:b w:val="0"/>
          <w:sz w:val="32"/>
        </w:rPr>
        <w:t>363.68</w:t>
      </w:r>
      <w:r>
        <w:rPr>
          <w:rFonts w:ascii="仿宋_GB2312" w:hAnsi="仿宋_GB2312" w:eastAsia="仿宋_GB2312"/>
          <w:b w:val="0"/>
          <w:sz w:val="32"/>
        </w:rPr>
        <w:t>万元。预算绩效管理取得的成效：一是本单位以绩效目标实现为导向，加强制度建设，提升预算执行质量，预算绩效管理取得一定成效。预算绩效管理取得的成效，科学制定目标，促进绩效目标顺利实现。二是自落实预算绩效管理工作以来，本单位在项目资金的使用上都有了更明确、更清晰</w:t>
      </w:r>
      <w:r>
        <w:rPr>
          <w:rFonts w:hint="eastAsia" w:ascii="仿宋_GB2312" w:hAnsi="仿宋_GB2312" w:eastAsia="仿宋_GB2312"/>
          <w:b w:val="0"/>
          <w:sz w:val="32"/>
          <w:lang w:eastAsia="zh-CN"/>
        </w:rPr>
        <w:t>地</w:t>
      </w:r>
      <w:r>
        <w:rPr>
          <w:rFonts w:ascii="仿宋_GB2312" w:hAnsi="仿宋_GB2312" w:eastAsia="仿宋_GB2312"/>
          <w:b w:val="0"/>
          <w:sz w:val="32"/>
        </w:rPr>
        <w:t>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一是存在的问题财政绩效管理有待提高。相关绩效管理方面专业知识的系统性学习有待加强。二是原因分析按照财政支出绩效管理的要求，建立科学的财政资金效益考评制度体系，不断完善绩效评价的评价体系及工作流程，提高财政资金使用管理的水平和效率。对预算绩效管理、绩效理念尚未真正贯穿于实践工作，相关工作人员经验不足，绩效管理</w:t>
      </w:r>
      <w:r>
        <w:rPr>
          <w:rFonts w:hint="eastAsia" w:ascii="仿宋_GB2312" w:hAnsi="仿宋_GB2312" w:eastAsia="仿宋_GB2312"/>
          <w:b w:val="0"/>
          <w:sz w:val="32"/>
          <w:lang w:eastAsia="zh-CN"/>
        </w:rPr>
        <w:t>意识不强</w:t>
      </w:r>
      <w:r>
        <w:rPr>
          <w:rFonts w:ascii="仿宋_GB2312" w:hAnsi="仿宋_GB2312" w:eastAsia="仿宋_GB2312"/>
          <w:b w:val="0"/>
          <w:sz w:val="32"/>
        </w:rPr>
        <w:t>，对于指标的编制还不够完善。评价工作还存在自我审定的局限性，影响评价质量。下一步改进措施：一是对绩效目标偏差问题缺乏有效分析，从而导致填报的内容相对简单。二是在部门整体支出的资金安排和使用上仍有不可预见性，在经费支出科学化精细化管理上还有待加强。具体附整体支出绩效自评表，项目支出绩效自评表和评价报告。</w:t>
      </w:r>
    </w:p>
    <w:p w14:paraId="4FCE0ACE">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60"/>
        <w:gridCol w:w="945"/>
        <w:gridCol w:w="1105"/>
        <w:gridCol w:w="160"/>
        <w:gridCol w:w="945"/>
        <w:gridCol w:w="1105"/>
        <w:gridCol w:w="1105"/>
      </w:tblGrid>
      <w:tr w14:paraId="4453ACD2">
        <w:tblPrEx>
          <w:tblCellMar>
            <w:top w:w="0" w:type="dxa"/>
            <w:left w:w="108" w:type="dxa"/>
            <w:bottom w:w="0" w:type="dxa"/>
            <w:right w:w="108" w:type="dxa"/>
          </w:tblCellMar>
        </w:tblPrEx>
        <w:tc>
          <w:tcPr>
            <w:tcW w:w="8840" w:type="dxa"/>
            <w:gridSpan w:val="10"/>
            <w:vAlign w:val="center"/>
          </w:tcPr>
          <w:p w14:paraId="6F021FAD">
            <w:pPr>
              <w:jc w:val="center"/>
            </w:pPr>
            <w:r>
              <w:rPr>
                <w:rFonts w:ascii="宋体" w:hAnsi="宋体" w:eastAsia="宋体"/>
                <w:sz w:val="24"/>
              </w:rPr>
              <w:t>单位整体支出绩效自评表</w:t>
            </w:r>
          </w:p>
        </w:tc>
      </w:tr>
      <w:tr w14:paraId="448286CD">
        <w:tblPrEx>
          <w:tblCellMar>
            <w:top w:w="0" w:type="dxa"/>
            <w:left w:w="108" w:type="dxa"/>
            <w:bottom w:w="0" w:type="dxa"/>
            <w:right w:w="108" w:type="dxa"/>
          </w:tblCellMar>
        </w:tblPrEx>
        <w:tc>
          <w:tcPr>
            <w:tcW w:w="8840" w:type="dxa"/>
            <w:gridSpan w:val="10"/>
            <w:vAlign w:val="center"/>
          </w:tcPr>
          <w:p w14:paraId="2A86D22F">
            <w:pPr>
              <w:jc w:val="center"/>
            </w:pPr>
            <w:r>
              <w:rPr>
                <w:rFonts w:ascii="宋体" w:hAnsi="宋体" w:eastAsia="宋体"/>
                <w:sz w:val="24"/>
              </w:rPr>
              <w:t>（2024年度）</w:t>
            </w:r>
          </w:p>
        </w:tc>
      </w:tr>
      <w:tr w14:paraId="2894B0CB">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979FCE">
            <w:pPr>
              <w:jc w:val="center"/>
            </w:pPr>
            <w:r>
              <w:rPr>
                <w:rFonts w:ascii="宋体" w:hAnsi="宋体" w:eastAsia="宋体"/>
                <w:sz w:val="16"/>
              </w:rPr>
              <w:t>单位名称</w:t>
            </w:r>
          </w:p>
        </w:tc>
        <w:tc>
          <w:tcPr>
            <w:tcW w:w="7735" w:type="dxa"/>
            <w:gridSpan w:val="9"/>
            <w:tcBorders>
              <w:top w:val="single" w:color="auto" w:sz="10" w:space="0"/>
              <w:left w:val="single" w:color="auto" w:sz="10" w:space="0"/>
              <w:bottom w:val="single" w:color="auto" w:sz="10" w:space="0"/>
              <w:right w:val="single" w:color="auto" w:sz="10" w:space="0"/>
              <w:insideV w:val="single" w:sz="10" w:space="0"/>
            </w:tcBorders>
            <w:vAlign w:val="center"/>
          </w:tcPr>
          <w:p w14:paraId="188C8638">
            <w:pPr>
              <w:jc w:val="center"/>
            </w:pPr>
            <w:r>
              <w:rPr>
                <w:rFonts w:ascii="宋体" w:hAnsi="宋体" w:eastAsia="宋体"/>
                <w:sz w:val="16"/>
              </w:rPr>
              <w:t>克孜勒苏柯尔克孜自治州司法局</w:t>
            </w:r>
          </w:p>
        </w:tc>
      </w:tr>
      <w:tr w14:paraId="4E5A1FB8">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551679">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092AC1">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817946">
            <w:pPr>
              <w:jc w:val="center"/>
            </w:pPr>
            <w:r>
              <w:rPr>
                <w:rFonts w:ascii="宋体" w:hAnsi="宋体" w:eastAsia="宋体"/>
                <w:sz w:val="16"/>
              </w:rPr>
              <w:t>年初预算数</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94FFF7">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C08A34">
            <w:pPr>
              <w:jc w:val="center"/>
            </w:pPr>
            <w:r>
              <w:rPr>
                <w:rFonts w:ascii="宋体" w:hAnsi="宋体" w:eastAsia="宋体"/>
                <w:sz w:val="16"/>
              </w:rPr>
              <w:t>执行数</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2E805B">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D6EDF5">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268265">
            <w:pPr>
              <w:jc w:val="center"/>
            </w:pPr>
            <w:r>
              <w:rPr>
                <w:rFonts w:ascii="宋体" w:hAnsi="宋体" w:eastAsia="宋体"/>
                <w:sz w:val="16"/>
              </w:rPr>
              <w:t>得分</w:t>
            </w:r>
          </w:p>
        </w:tc>
      </w:tr>
      <w:tr w14:paraId="1795EB8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9F5B09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6779C8">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BAF244">
            <w:pPr>
              <w:jc w:val="center"/>
            </w:pPr>
            <w:r>
              <w:rPr>
                <w:rFonts w:ascii="宋体" w:hAnsi="宋体" w:eastAsia="宋体"/>
                <w:sz w:val="16"/>
              </w:rPr>
              <w:t>1,121.76</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5F27AF">
            <w:pPr>
              <w:jc w:val="center"/>
            </w:pPr>
            <w:r>
              <w:rPr>
                <w:rFonts w:ascii="宋体" w:hAnsi="宋体" w:eastAsia="宋体"/>
                <w:sz w:val="16"/>
              </w:rPr>
              <w:t>1,202.48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72C1A1">
            <w:pPr>
              <w:jc w:val="center"/>
            </w:pPr>
            <w:r>
              <w:rPr>
                <w:rFonts w:ascii="宋体" w:hAnsi="宋体" w:eastAsia="宋体"/>
                <w:sz w:val="16"/>
              </w:rPr>
              <w:t>1,198.35</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8A7C27">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396D1F">
            <w:pPr>
              <w:jc w:val="center"/>
            </w:pPr>
            <w:r>
              <w:rPr>
                <w:rFonts w:ascii="宋体" w:hAnsi="宋体" w:eastAsia="宋体"/>
                <w:sz w:val="16"/>
              </w:rPr>
              <w:t>99.66%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705CD5">
            <w:pPr>
              <w:jc w:val="center"/>
            </w:pPr>
            <w:r>
              <w:rPr>
                <w:rFonts w:ascii="宋体" w:hAnsi="宋体" w:eastAsia="宋体"/>
                <w:sz w:val="16"/>
              </w:rPr>
              <w:t>9</w:t>
            </w:r>
            <w:r>
              <w:rPr>
                <w:rFonts w:hint="eastAsia" w:ascii="宋体" w:hAnsi="宋体"/>
                <w:sz w:val="16"/>
                <w:lang w:val="en-US" w:eastAsia="zh-CN"/>
              </w:rPr>
              <w:t>.</w:t>
            </w:r>
            <w:r>
              <w:rPr>
                <w:rFonts w:ascii="宋体" w:hAnsi="宋体" w:eastAsia="宋体"/>
                <w:sz w:val="16"/>
              </w:rPr>
              <w:t>96</w:t>
            </w:r>
          </w:p>
        </w:tc>
      </w:tr>
      <w:tr w14:paraId="1BDF3C2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E4A95B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2CF573">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BCA2E7">
            <w:pPr>
              <w:jc w:val="center"/>
            </w:pPr>
            <w:r>
              <w:rPr>
                <w:rFonts w:ascii="宋体" w:hAnsi="宋体" w:eastAsia="宋体"/>
                <w:sz w:val="16"/>
              </w:rPr>
              <w:t>206.09</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59A257">
            <w:pPr>
              <w:jc w:val="center"/>
            </w:pPr>
            <w:r>
              <w:rPr>
                <w:rFonts w:ascii="宋体" w:hAnsi="宋体" w:eastAsia="宋体"/>
                <w:sz w:val="16"/>
              </w:rPr>
              <w:t>249.30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F413C0">
            <w:pPr>
              <w:jc w:val="center"/>
            </w:pPr>
            <w:r>
              <w:rPr>
                <w:rFonts w:ascii="宋体" w:hAnsi="宋体" w:eastAsia="宋体"/>
                <w:sz w:val="16"/>
              </w:rPr>
              <w:t>249.30</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68FEA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07BC1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A7BD79">
            <w:pPr>
              <w:jc w:val="center"/>
            </w:pPr>
            <w:r>
              <w:rPr>
                <w:rFonts w:ascii="宋体" w:hAnsi="宋体" w:eastAsia="宋体"/>
                <w:sz w:val="16"/>
              </w:rPr>
              <w:t>—</w:t>
            </w:r>
          </w:p>
        </w:tc>
      </w:tr>
      <w:tr w14:paraId="341652F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9A7A25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27C100">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34F735">
            <w:pPr>
              <w:jc w:val="center"/>
            </w:pPr>
            <w:r>
              <w:rPr>
                <w:rFonts w:ascii="宋体" w:hAnsi="宋体" w:eastAsia="宋体"/>
                <w:sz w:val="16"/>
              </w:rPr>
              <w:t>872.06</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A9F62A">
            <w:pPr>
              <w:jc w:val="center"/>
            </w:pPr>
            <w:r>
              <w:rPr>
                <w:rFonts w:ascii="宋体" w:hAnsi="宋体" w:eastAsia="宋体"/>
                <w:sz w:val="16"/>
              </w:rPr>
              <w:t>953.18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F0328A">
            <w:pPr>
              <w:jc w:val="center"/>
            </w:pPr>
            <w:r>
              <w:rPr>
                <w:rFonts w:ascii="宋体" w:hAnsi="宋体" w:eastAsia="宋体"/>
                <w:sz w:val="16"/>
              </w:rPr>
              <w:t>949.05</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0FBA97">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CC4EBC">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20E713">
            <w:pPr>
              <w:jc w:val="center"/>
            </w:pPr>
            <w:r>
              <w:rPr>
                <w:rFonts w:ascii="宋体" w:hAnsi="宋体" w:eastAsia="宋体"/>
                <w:sz w:val="16"/>
              </w:rPr>
              <w:t>—</w:t>
            </w:r>
          </w:p>
        </w:tc>
      </w:tr>
      <w:tr w14:paraId="6919014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7FBF14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07AD4F">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84F9F0">
            <w:pPr>
              <w:jc w:val="center"/>
            </w:pPr>
            <w:r>
              <w:rPr>
                <w:rFonts w:ascii="宋体" w:hAnsi="宋体" w:eastAsia="宋体"/>
                <w:sz w:val="16"/>
              </w:rPr>
              <w:t>43.61</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E684F5">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11F55E">
            <w:pPr>
              <w:jc w:val="center"/>
            </w:pPr>
            <w:r>
              <w:rPr>
                <w:rFonts w:ascii="宋体" w:hAnsi="宋体" w:eastAsia="宋体"/>
                <w:sz w:val="16"/>
              </w:rPr>
              <w:t>0.00</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BDA011">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305E41">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3D57AA">
            <w:pPr>
              <w:jc w:val="center"/>
            </w:pPr>
            <w:r>
              <w:rPr>
                <w:rFonts w:ascii="宋体" w:hAnsi="宋体" w:eastAsia="宋体"/>
                <w:sz w:val="16"/>
              </w:rPr>
              <w:t>—</w:t>
            </w:r>
          </w:p>
        </w:tc>
      </w:tr>
      <w:tr w14:paraId="59219286">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26DEB1">
            <w:pPr>
              <w:jc w:val="center"/>
            </w:pPr>
            <w:r>
              <w:rPr>
                <w:rFonts w:ascii="宋体" w:hAnsi="宋体" w:eastAsia="宋体"/>
                <w:sz w:val="16"/>
              </w:rPr>
              <w:t>年度总体目标</w:t>
            </w:r>
          </w:p>
        </w:tc>
        <w:tc>
          <w:tcPr>
            <w:tcW w:w="3315"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D2399DF">
            <w:pPr>
              <w:jc w:val="center"/>
            </w:pPr>
            <w:r>
              <w:rPr>
                <w:rFonts w:ascii="宋体" w:hAnsi="宋体" w:eastAsia="宋体"/>
                <w:sz w:val="16"/>
              </w:rPr>
              <w:t>预期目标</w:t>
            </w:r>
          </w:p>
        </w:tc>
        <w:tc>
          <w:tcPr>
            <w:tcW w:w="442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58C1A17">
            <w:pPr>
              <w:jc w:val="center"/>
            </w:pPr>
            <w:r>
              <w:rPr>
                <w:rFonts w:ascii="宋体" w:hAnsi="宋体" w:eastAsia="宋体"/>
                <w:sz w:val="16"/>
              </w:rPr>
              <w:t>实际完成情况</w:t>
            </w:r>
          </w:p>
        </w:tc>
      </w:tr>
      <w:tr w14:paraId="6BA4D52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ED830F2"/>
        </w:tc>
        <w:tc>
          <w:tcPr>
            <w:tcW w:w="3315"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39D9DCF">
            <w:pPr>
              <w:jc w:val="both"/>
            </w:pPr>
            <w:r>
              <w:rPr>
                <w:rFonts w:ascii="宋体" w:hAnsi="宋体" w:eastAsia="宋体"/>
                <w:sz w:val="16"/>
              </w:rPr>
              <w:t>坚定坚决贯彻落实党中央决策部署，各方面协调联动不断强化司法行政改革和主责主业。通过政府立法工作达到社会稳定长治久安、民生改善、节约能源资源、保护生态环境、维护社会经济秩序、提高行政管理效率、维护社会公共利益，及时解决社会稳定和经济社会生活中出现的各种问题，达到公正执法、保护人民群众合法权益，确保行政决策和行政决定科学、民主、有效的目标。</w:t>
            </w:r>
          </w:p>
        </w:tc>
        <w:tc>
          <w:tcPr>
            <w:tcW w:w="442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AED0C89">
            <w:pPr>
              <w:jc w:val="both"/>
            </w:pPr>
            <w:r>
              <w:rPr>
                <w:rFonts w:ascii="宋体" w:hAnsi="宋体" w:eastAsia="宋体"/>
                <w:sz w:val="16"/>
              </w:rPr>
              <w:t>截至2024年12月31日，司法所规范化建设达标率达100%，全州投入经费400余万元，着力夯实司法行政基层基础，对照司法所规范化建设三年行动目标，按照“一所一特色、一所一名牌”要求，有侧重点有计划性推进规范性司法所建设，目前全州39个司法所的办公场所、干部队伍、保障能力等均达到规范化建设标准，其中阿图什市松他克镇司法所荣获全国模范司法所称号，司法所成为基层社会治理主力军，指标完成率为111.11%；法律援助案件结案率达70%，“1+1”中国法律志愿者、青年律师西部锻炼等活动深入实施，有效缓解了全州法律服务人才不足的问题。在法律援助中心开设农民工、未成年人等弱势群体法律援助绿色通道，及时为受援群众提供法律服务，维护合法权益。全年受理法律援助案件762件，其中结案534件，结案率达70%，法律帮助980件，提供法律咨询服务3144人次、代写文书921件，实现了法律援助应援尽援，彰显法律公平正义；品牌调解室覆盖率达50%，人民调解案件补贴标准进一步提升，运用四级三层两联动两配合调解模式，打造“石榴籽”“巴仁杏”“老铁”等本土化、品牌化调解室12个，品牌调解室覆盖率达50%，同比增长12%，阿图什市“四联调解”、古力米日调解室“六字法、六步决”、全国优秀调解员母鹏“一把钥匙开一把锁”工作法在全州推广。“三调联动”机制规范运行，全年受理各类矛盾纠纷7271件，2024年受理人民调解案件7271件，同比增长66%，调解成功率94.3%，妇女维权、合同纠纷类案件增加幅度较大，基层群众矛盾诉求得到有效解决，社会稳定基础得到进一步夯实；立法项目数3部，今年以来，州委常委会、州政府常务会听取立法汇报4次，审议通过立法项目3部：《克孜勒苏柯尔克孜自治州绿色矿山建设促进条例》《克孜勒苏柯尔克孜自治州城市机动车停车场建设管理条例》《克孜勒苏柯尔克孜自治州餐饮服务业</w:t>
            </w:r>
            <w:r>
              <w:rPr>
                <w:rFonts w:hint="eastAsia" w:ascii="宋体" w:hAnsi="宋体"/>
                <w:sz w:val="16"/>
                <w:lang w:eastAsia="zh-CN"/>
              </w:rPr>
              <w:t>环境污染防治</w:t>
            </w:r>
            <w:r>
              <w:rPr>
                <w:rFonts w:ascii="宋体" w:hAnsi="宋体" w:eastAsia="宋体"/>
                <w:sz w:val="16"/>
              </w:rPr>
              <w:t>条例</w:t>
            </w:r>
            <w:r>
              <w:rPr>
                <w:rFonts w:hint="eastAsia" w:ascii="宋体" w:hAnsi="宋体"/>
                <w:sz w:val="16"/>
                <w:lang w:eastAsia="zh-CN"/>
              </w:rPr>
              <w:t>》</w:t>
            </w:r>
            <w:r>
              <w:rPr>
                <w:rFonts w:ascii="宋体" w:hAnsi="宋体" w:eastAsia="宋体"/>
                <w:sz w:val="16"/>
              </w:rPr>
              <w:t>；开展法治宣传教育活动5次，制定印发“法润天山·国旗下普法”“法润边关·法治同行”等实施方案，用好用活法治教育基层行等“七大普法平台”，在全州设立“法治小院”140余处，同比增加11%，</w:t>
            </w:r>
            <w:r>
              <w:rPr>
                <w:rFonts w:hint="eastAsia" w:ascii="宋体" w:hAnsi="宋体"/>
                <w:sz w:val="16"/>
                <w:lang w:eastAsia="zh-CN"/>
              </w:rPr>
              <w:t>BJ</w:t>
            </w:r>
            <w:r>
              <w:rPr>
                <w:rFonts w:ascii="宋体" w:hAnsi="宋体" w:eastAsia="宋体"/>
                <w:sz w:val="16"/>
              </w:rPr>
              <w:t>法治小屋、普法骑兵小分队等</w:t>
            </w:r>
            <w:r>
              <w:rPr>
                <w:rFonts w:hint="eastAsia" w:ascii="宋体" w:hAnsi="宋体"/>
                <w:sz w:val="16"/>
                <w:lang w:eastAsia="zh-CN"/>
              </w:rPr>
              <w:t>BJ</w:t>
            </w:r>
            <w:r>
              <w:rPr>
                <w:rFonts w:ascii="宋体" w:hAnsi="宋体" w:eastAsia="宋体"/>
                <w:sz w:val="16"/>
              </w:rPr>
              <w:t>特色法治宣传载体把法治声音传遍“最后一公里”、最远一家人</w:t>
            </w:r>
            <w:bookmarkStart w:id="0" w:name="_GoBack"/>
            <w:bookmarkEnd w:id="0"/>
            <w:r>
              <w:rPr>
                <w:rFonts w:hint="eastAsia" w:ascii="宋体" w:hAnsi="宋体"/>
                <w:sz w:val="16"/>
                <w:lang w:eastAsia="zh-CN"/>
              </w:rPr>
              <w:t>”</w:t>
            </w:r>
            <w:r>
              <w:rPr>
                <w:rFonts w:ascii="宋体" w:hAnsi="宋体" w:eastAsia="宋体"/>
                <w:sz w:val="16"/>
              </w:rPr>
              <w:t>，法治思想“飞入寻常百姓家”，全州开展普法宣传1.8万余场次，其中本单位组织开展普法宣传5次，入户释法2.3万户，受教育群众30万人次，为乡村振兴注入强劲法治动力，压实普法责任，深入推进法治社会建设，不断提升群众法治获得感；开展法律培训活动5，落实全面从严治党要求，建立干部竞争考核机制，司法行政干部队伍迸发新活力，突出讲政治、重担当的用人导向，注重在一线培养使用干部，积极组织开展行政执法人员培训1次，邀请司法厅行政执法处领导干部、行政执法优秀工作者前来授课、法律明白人培训1次邀请西北政法大学教授授课、克州律师队伍培训1次邀请优秀律师授课、行政复议人员培训1次由司法厅行政复议处领导讲解新修订的行政复议法、人民调解员培训1次邀请古丽米热、全国优秀调解员母鹏讲授调解经验共5场次培训1500余人参与；开展法治督查活动2次，将法治政府建设责任落实情况作为法治督察重点，推进严格执法，推动各级政府履行法治领导责任，落实行政执法“三项制度”，“健全工作架构、完善工作制度、细化工作举措”，推进行政执法质量三年行动走深走实。建立行政执法监督联系点4个，组建行政执法监督员队伍36人，落实“全方位、全过程、全领域”监督，开展2次法治督查活动，查看各类行政执法案卷1238卷。通过以上工作的实施，保障了我单位38名职工的工资、福利及社保正常发放及缴纳，确保民生工作落实到位；保障我单位10辆公务用车的运行及维护，保障单位各项工作的正常运转，确保机构运转正常；法治宣传教育润入心田。压实普法责任，深入推进法治社会建设，不断提升群众法治获得感，开展法治宣传教育活动5次，受教育8000人次，拓展“互联网+普法宣传”线上阵地，充分发挥新媒体信息扩散速度快、传播范围广、形式丰富、互动性强等优势，与自治州融媒体中心通力合作，开设“法润克州”微信公众号、抖音号，实现全天候“指尖普法”新格局，</w:t>
            </w:r>
            <w:r>
              <w:rPr>
                <w:rFonts w:hint="eastAsia" w:ascii="宋体" w:hAnsi="宋体"/>
                <w:sz w:val="16"/>
                <w:lang w:eastAsia="zh-CN"/>
              </w:rPr>
              <w:t>《中华人民共和国民法典》</w:t>
            </w:r>
            <w:r>
              <w:rPr>
                <w:rFonts w:ascii="宋体" w:hAnsi="宋体" w:eastAsia="宋体"/>
                <w:sz w:val="16"/>
              </w:rPr>
              <w:t>走进千家万户，</w:t>
            </w:r>
            <w:r>
              <w:rPr>
                <w:rFonts w:hint="eastAsia" w:ascii="宋体" w:hAnsi="宋体"/>
                <w:sz w:val="16"/>
                <w:lang w:eastAsia="zh-CN"/>
              </w:rPr>
              <w:t>尊法学法守法用法</w:t>
            </w:r>
            <w:r>
              <w:rPr>
                <w:rFonts w:ascii="宋体" w:hAnsi="宋体" w:eastAsia="宋体"/>
                <w:sz w:val="16"/>
              </w:rPr>
              <w:t>成为“新时尚”；依法行政水平稳步提高。以“树牢法治思维、规范执法行为、提高执法水平”为抓手，为克州经济社会高质量发展注入法治动能，行政执法更加规范，落实行政执法“三项制度”，“健全工作架构、完善工作制度、细化工作举措”，推进行政执法质量三年行动走深走实。建立行政执法监督联系点4个，组建行政执法监督员队伍36人，落实“全方位、全过程、全领域”监督，出台乡镇综合行政执法工作规范，开展法治督查活动2次，查看各类行政执法案卷1238卷，州县乡三级行政执法协调监督工作体系初现成效；司法所建设进入全疆第一梯队，全州投入经费400余万元，着力夯实司法行政基层基础，对照司法所规范化建设三年行动目标，按照“一所一特色、一所一名牌”要求，有侧重点有计划性推进规范性司法所建设，目前全州39个司法所的办公场所、干部队伍、保障能力等均达到规范化建设标准，完成率100%，其中阿图什市松他克镇司法所荣获全国模范司法所称号，司法所成为基层社会治理主力军；克州行政立法跑出“加速度”，围绕一个核心，坚持党的绝对领导。始终</w:t>
            </w:r>
            <w:r>
              <w:rPr>
                <w:rFonts w:hint="eastAsia" w:ascii="宋体" w:hAnsi="宋体"/>
                <w:sz w:val="16"/>
                <w:lang w:eastAsia="zh-CN"/>
              </w:rPr>
              <w:t>坚持把党的领导</w:t>
            </w:r>
            <w:r>
              <w:rPr>
                <w:rFonts w:ascii="宋体" w:hAnsi="宋体" w:eastAsia="宋体"/>
                <w:sz w:val="16"/>
              </w:rPr>
              <w:t>贯穿到推进科学立法、民主立法、依法立法的全过程各方面,州委常委会、州政府常务会定期听取立法工作汇报，解决难点，确保立法在党的领导下开展，体现党的主张、反映人民意志、适应经济社会发展。今年以来，州委常委会、州政府常务会听取立法汇报4次，审议通过立法项目3项；着力于能力建设，全面提升人民调解队伍素质。落实分级分类培训责任，做好“传帮带”，提升人民调解员政治素养、法律水平和实战技能；以“大妈调解室”“古力米日调解室”为引领，打造调解室“石榴籽”调解室等12个品牌调解室，同比增长58%。</w:t>
            </w:r>
          </w:p>
        </w:tc>
      </w:tr>
      <w:tr w14:paraId="72FBCF67">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85C8BC">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7C0AB1">
            <w:pPr>
              <w:jc w:val="center"/>
            </w:pPr>
            <w:r>
              <w:rPr>
                <w:rFonts w:ascii="宋体" w:hAnsi="宋体" w:eastAsia="宋体"/>
                <w:sz w:val="16"/>
              </w:rPr>
              <w:t>二级指标</w:t>
            </w:r>
          </w:p>
        </w:tc>
        <w:tc>
          <w:tcPr>
            <w:tcW w:w="126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9F8C38">
            <w:pPr>
              <w:jc w:val="center"/>
            </w:pPr>
            <w:r>
              <w:rPr>
                <w:rFonts w:ascii="宋体" w:hAnsi="宋体" w:eastAsia="宋体"/>
                <w:sz w:val="16"/>
              </w:rPr>
              <w:t>三级指标</w:t>
            </w:r>
          </w:p>
        </w:tc>
        <w:tc>
          <w:tcPr>
            <w:tcW w:w="945" w:type="dxa"/>
            <w:tcBorders>
              <w:top w:val="single" w:color="auto" w:sz="10" w:space="0"/>
              <w:left w:val="single" w:color="auto" w:sz="10" w:space="0"/>
              <w:bottom w:val="single" w:color="auto" w:sz="10" w:space="0"/>
              <w:right w:val="single" w:color="auto" w:sz="10" w:space="0"/>
              <w:insideV w:val="single" w:sz="10" w:space="0"/>
            </w:tcBorders>
            <w:vAlign w:val="center"/>
          </w:tcPr>
          <w:p w14:paraId="3E1909E6">
            <w:pPr>
              <w:jc w:val="center"/>
            </w:pPr>
            <w:r>
              <w:rPr>
                <w:rFonts w:ascii="宋体" w:hAnsi="宋体" w:eastAsia="宋体"/>
                <w:sz w:val="16"/>
              </w:rPr>
              <w:t>指标值</w:t>
            </w:r>
          </w:p>
        </w:tc>
        <w:tc>
          <w:tcPr>
            <w:tcW w:w="126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7995EA">
            <w:pPr>
              <w:jc w:val="center"/>
            </w:pPr>
            <w:r>
              <w:rPr>
                <w:rFonts w:ascii="宋体" w:hAnsi="宋体" w:eastAsia="宋体"/>
                <w:sz w:val="16"/>
              </w:rPr>
              <w:t>指标值设定依据</w:t>
            </w:r>
          </w:p>
        </w:tc>
        <w:tc>
          <w:tcPr>
            <w:tcW w:w="945" w:type="dxa"/>
            <w:tcBorders>
              <w:top w:val="single" w:color="auto" w:sz="10" w:space="0"/>
              <w:left w:val="single" w:color="auto" w:sz="10" w:space="0"/>
              <w:bottom w:val="single" w:color="auto" w:sz="10" w:space="0"/>
              <w:right w:val="single" w:color="auto" w:sz="10" w:space="0"/>
              <w:insideV w:val="single" w:sz="10" w:space="0"/>
            </w:tcBorders>
            <w:vAlign w:val="center"/>
          </w:tcPr>
          <w:p w14:paraId="1D0F1C8A">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7D2024">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3FFD6B">
            <w:pPr>
              <w:jc w:val="center"/>
            </w:pPr>
            <w:r>
              <w:rPr>
                <w:rFonts w:ascii="宋体" w:hAnsi="宋体" w:eastAsia="宋体"/>
                <w:sz w:val="16"/>
              </w:rPr>
              <w:t>得分</w:t>
            </w:r>
          </w:p>
        </w:tc>
      </w:tr>
      <w:tr w14:paraId="0C596A3B">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06CD93">
            <w:pPr>
              <w:jc w:val="center"/>
            </w:pPr>
            <w:r>
              <w:rPr>
                <w:rFonts w:ascii="宋体" w:hAnsi="宋体" w:eastAsia="宋体"/>
                <w:sz w:val="16"/>
              </w:rPr>
              <w:t>管理效率</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8DEBB3">
            <w:pPr>
              <w:jc w:val="center"/>
            </w:pPr>
            <w:r>
              <w:rPr>
                <w:rFonts w:ascii="宋体" w:hAnsi="宋体" w:eastAsia="宋体"/>
                <w:sz w:val="16"/>
              </w:rPr>
              <w:t>质量指标</w:t>
            </w:r>
          </w:p>
        </w:tc>
        <w:tc>
          <w:tcPr>
            <w:tcW w:w="126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6AC6C0">
            <w:pPr>
              <w:jc w:val="center"/>
            </w:pPr>
            <w:r>
              <w:rPr>
                <w:rFonts w:ascii="宋体" w:hAnsi="宋体" w:eastAsia="宋体"/>
                <w:sz w:val="16"/>
              </w:rPr>
              <w:t>品牌调解室覆盖率（%）</w:t>
            </w:r>
          </w:p>
        </w:tc>
        <w:tc>
          <w:tcPr>
            <w:tcW w:w="945" w:type="dxa"/>
            <w:tcBorders>
              <w:top w:val="single" w:color="auto" w:sz="10" w:space="0"/>
              <w:left w:val="single" w:color="auto" w:sz="10" w:space="0"/>
              <w:bottom w:val="single" w:color="auto" w:sz="10" w:space="0"/>
              <w:right w:val="single" w:color="auto" w:sz="10" w:space="0"/>
              <w:insideV w:val="single" w:sz="10" w:space="0"/>
            </w:tcBorders>
            <w:vAlign w:val="center"/>
          </w:tcPr>
          <w:p w14:paraId="0DB5955E">
            <w:pPr>
              <w:jc w:val="center"/>
            </w:pPr>
            <w:r>
              <w:rPr>
                <w:rFonts w:ascii="宋体" w:hAnsi="宋体" w:eastAsia="宋体"/>
                <w:sz w:val="16"/>
              </w:rPr>
              <w:t>&gt;=50%</w:t>
            </w:r>
          </w:p>
        </w:tc>
        <w:tc>
          <w:tcPr>
            <w:tcW w:w="126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1B0544">
            <w:pPr>
              <w:jc w:val="center"/>
            </w:pPr>
            <w:r>
              <w:rPr>
                <w:rFonts w:ascii="宋体" w:hAnsi="宋体" w:eastAsia="宋体"/>
                <w:sz w:val="16"/>
              </w:rPr>
              <w:t>2024年工作要点</w:t>
            </w:r>
          </w:p>
        </w:tc>
        <w:tc>
          <w:tcPr>
            <w:tcW w:w="945" w:type="dxa"/>
            <w:tcBorders>
              <w:top w:val="single" w:color="auto" w:sz="10" w:space="0"/>
              <w:left w:val="single" w:color="auto" w:sz="10" w:space="0"/>
              <w:bottom w:val="single" w:color="auto" w:sz="10" w:space="0"/>
              <w:right w:val="single" w:color="auto" w:sz="10" w:space="0"/>
              <w:insideV w:val="single" w:sz="10" w:space="0"/>
            </w:tcBorders>
            <w:vAlign w:val="center"/>
          </w:tcPr>
          <w:p w14:paraId="467CE56D">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72450C">
            <w:pPr>
              <w:jc w:val="center"/>
            </w:pPr>
            <w:r>
              <w:rPr>
                <w:rFonts w:ascii="宋体" w:hAnsi="宋体" w:eastAsia="宋体"/>
                <w:sz w:val="16"/>
              </w:rPr>
              <w:t>50%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CBF284">
            <w:pPr>
              <w:jc w:val="center"/>
            </w:pPr>
            <w:r>
              <w:rPr>
                <w:rFonts w:ascii="宋体" w:hAnsi="宋体" w:eastAsia="宋体"/>
                <w:sz w:val="16"/>
              </w:rPr>
              <w:t>10</w:t>
            </w:r>
          </w:p>
        </w:tc>
      </w:tr>
      <w:tr w14:paraId="692E247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8D8CDBC"/>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7474DBC"/>
        </w:tc>
        <w:tc>
          <w:tcPr>
            <w:tcW w:w="126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574761">
            <w:pPr>
              <w:jc w:val="center"/>
            </w:pPr>
            <w:r>
              <w:rPr>
                <w:rFonts w:ascii="宋体" w:hAnsi="宋体" w:eastAsia="宋体"/>
                <w:sz w:val="16"/>
              </w:rPr>
              <w:t>司法所规范化建设达标率（%）</w:t>
            </w:r>
          </w:p>
        </w:tc>
        <w:tc>
          <w:tcPr>
            <w:tcW w:w="945" w:type="dxa"/>
            <w:tcBorders>
              <w:top w:val="single" w:color="auto" w:sz="10" w:space="0"/>
              <w:left w:val="single" w:color="auto" w:sz="10" w:space="0"/>
              <w:bottom w:val="single" w:color="auto" w:sz="10" w:space="0"/>
              <w:right w:val="single" w:color="auto" w:sz="10" w:space="0"/>
              <w:insideV w:val="single" w:sz="10" w:space="0"/>
            </w:tcBorders>
            <w:vAlign w:val="center"/>
          </w:tcPr>
          <w:p w14:paraId="5FB52C81">
            <w:pPr>
              <w:jc w:val="center"/>
            </w:pPr>
            <w:r>
              <w:rPr>
                <w:rFonts w:ascii="宋体" w:hAnsi="宋体" w:eastAsia="宋体"/>
                <w:sz w:val="16"/>
              </w:rPr>
              <w:t>&gt;=90%</w:t>
            </w:r>
          </w:p>
        </w:tc>
        <w:tc>
          <w:tcPr>
            <w:tcW w:w="126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CEFA68">
            <w:pPr>
              <w:jc w:val="center"/>
            </w:pPr>
            <w:r>
              <w:rPr>
                <w:rFonts w:ascii="宋体" w:hAnsi="宋体" w:eastAsia="宋体"/>
                <w:sz w:val="16"/>
              </w:rPr>
              <w:t>2024年工作要点</w:t>
            </w:r>
          </w:p>
        </w:tc>
        <w:tc>
          <w:tcPr>
            <w:tcW w:w="945" w:type="dxa"/>
            <w:tcBorders>
              <w:top w:val="single" w:color="auto" w:sz="10" w:space="0"/>
              <w:left w:val="single" w:color="auto" w:sz="10" w:space="0"/>
              <w:bottom w:val="single" w:color="auto" w:sz="10" w:space="0"/>
              <w:right w:val="single" w:color="auto" w:sz="10" w:space="0"/>
              <w:insideV w:val="single" w:sz="10" w:space="0"/>
            </w:tcBorders>
            <w:vAlign w:val="center"/>
          </w:tcPr>
          <w:p w14:paraId="29B78603">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750CC4">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E2AAD0">
            <w:pPr>
              <w:jc w:val="center"/>
            </w:pPr>
            <w:r>
              <w:rPr>
                <w:rFonts w:ascii="宋体" w:hAnsi="宋体" w:eastAsia="宋体"/>
                <w:sz w:val="16"/>
              </w:rPr>
              <w:t>20</w:t>
            </w:r>
          </w:p>
        </w:tc>
      </w:tr>
      <w:tr w14:paraId="2C68D9D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1BF941D"/>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8AB5381"/>
        </w:tc>
        <w:tc>
          <w:tcPr>
            <w:tcW w:w="126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FA11EA">
            <w:pPr>
              <w:jc w:val="center"/>
            </w:pPr>
            <w:r>
              <w:rPr>
                <w:rFonts w:ascii="宋体" w:hAnsi="宋体" w:eastAsia="宋体"/>
                <w:sz w:val="16"/>
              </w:rPr>
              <w:t>法律援助案件结案率（%）</w:t>
            </w:r>
          </w:p>
        </w:tc>
        <w:tc>
          <w:tcPr>
            <w:tcW w:w="945" w:type="dxa"/>
            <w:tcBorders>
              <w:top w:val="single" w:color="auto" w:sz="10" w:space="0"/>
              <w:left w:val="single" w:color="auto" w:sz="10" w:space="0"/>
              <w:bottom w:val="single" w:color="auto" w:sz="10" w:space="0"/>
              <w:right w:val="single" w:color="auto" w:sz="10" w:space="0"/>
              <w:insideV w:val="single" w:sz="10" w:space="0"/>
            </w:tcBorders>
            <w:vAlign w:val="center"/>
          </w:tcPr>
          <w:p w14:paraId="64B5DFC5">
            <w:pPr>
              <w:jc w:val="center"/>
            </w:pPr>
            <w:r>
              <w:rPr>
                <w:rFonts w:ascii="宋体" w:hAnsi="宋体" w:eastAsia="宋体"/>
                <w:sz w:val="16"/>
              </w:rPr>
              <w:t>&gt;=70%</w:t>
            </w:r>
          </w:p>
        </w:tc>
        <w:tc>
          <w:tcPr>
            <w:tcW w:w="126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2FE293">
            <w:pPr>
              <w:jc w:val="center"/>
            </w:pPr>
            <w:r>
              <w:rPr>
                <w:rFonts w:ascii="宋体" w:hAnsi="宋体" w:eastAsia="宋体"/>
                <w:sz w:val="16"/>
              </w:rPr>
              <w:t>2024年工作要点</w:t>
            </w:r>
          </w:p>
        </w:tc>
        <w:tc>
          <w:tcPr>
            <w:tcW w:w="945" w:type="dxa"/>
            <w:tcBorders>
              <w:top w:val="single" w:color="auto" w:sz="10" w:space="0"/>
              <w:left w:val="single" w:color="auto" w:sz="10" w:space="0"/>
              <w:bottom w:val="single" w:color="auto" w:sz="10" w:space="0"/>
              <w:right w:val="single" w:color="auto" w:sz="10" w:space="0"/>
              <w:insideV w:val="single" w:sz="10" w:space="0"/>
            </w:tcBorders>
            <w:vAlign w:val="center"/>
          </w:tcPr>
          <w:p w14:paraId="3576D1E4">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0872C5">
            <w:pPr>
              <w:jc w:val="center"/>
            </w:pPr>
            <w:r>
              <w:rPr>
                <w:rFonts w:ascii="宋体" w:hAnsi="宋体" w:eastAsia="宋体"/>
                <w:sz w:val="16"/>
              </w:rPr>
              <w:t>70%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B1029A">
            <w:pPr>
              <w:jc w:val="center"/>
            </w:pPr>
            <w:r>
              <w:rPr>
                <w:rFonts w:ascii="宋体" w:hAnsi="宋体" w:eastAsia="宋体"/>
                <w:sz w:val="16"/>
              </w:rPr>
              <w:t>10</w:t>
            </w:r>
          </w:p>
        </w:tc>
      </w:tr>
      <w:tr w14:paraId="12FB3293">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053318">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1202C6">
            <w:pPr>
              <w:jc w:val="center"/>
            </w:pPr>
            <w:r>
              <w:rPr>
                <w:rFonts w:ascii="宋体" w:hAnsi="宋体" w:eastAsia="宋体"/>
                <w:sz w:val="16"/>
              </w:rPr>
              <w:t>数量指标</w:t>
            </w:r>
          </w:p>
        </w:tc>
        <w:tc>
          <w:tcPr>
            <w:tcW w:w="126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C326E9">
            <w:pPr>
              <w:jc w:val="center"/>
            </w:pPr>
            <w:r>
              <w:rPr>
                <w:rFonts w:ascii="宋体" w:hAnsi="宋体" w:eastAsia="宋体"/>
                <w:sz w:val="16"/>
              </w:rPr>
              <w:t>立法项目数（部）</w:t>
            </w:r>
          </w:p>
        </w:tc>
        <w:tc>
          <w:tcPr>
            <w:tcW w:w="945" w:type="dxa"/>
            <w:tcBorders>
              <w:top w:val="single" w:color="auto" w:sz="10" w:space="0"/>
              <w:left w:val="single" w:color="auto" w:sz="10" w:space="0"/>
              <w:bottom w:val="single" w:color="auto" w:sz="10" w:space="0"/>
              <w:right w:val="single" w:color="auto" w:sz="10" w:space="0"/>
              <w:insideV w:val="single" w:sz="10" w:space="0"/>
            </w:tcBorders>
            <w:vAlign w:val="center"/>
          </w:tcPr>
          <w:p w14:paraId="38CBCF04">
            <w:pPr>
              <w:jc w:val="center"/>
            </w:pPr>
            <w:r>
              <w:rPr>
                <w:rFonts w:ascii="宋体" w:hAnsi="宋体" w:eastAsia="宋体"/>
                <w:sz w:val="16"/>
              </w:rPr>
              <w:t>&gt;=3部</w:t>
            </w:r>
          </w:p>
        </w:tc>
        <w:tc>
          <w:tcPr>
            <w:tcW w:w="126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899DF9">
            <w:pPr>
              <w:jc w:val="center"/>
            </w:pPr>
            <w:r>
              <w:rPr>
                <w:rFonts w:ascii="宋体" w:hAnsi="宋体" w:eastAsia="宋体"/>
                <w:sz w:val="16"/>
              </w:rPr>
              <w:t>2024年工作要点</w:t>
            </w:r>
          </w:p>
        </w:tc>
        <w:tc>
          <w:tcPr>
            <w:tcW w:w="945" w:type="dxa"/>
            <w:tcBorders>
              <w:top w:val="single" w:color="auto" w:sz="10" w:space="0"/>
              <w:left w:val="single" w:color="auto" w:sz="10" w:space="0"/>
              <w:bottom w:val="single" w:color="auto" w:sz="10" w:space="0"/>
              <w:right w:val="single" w:color="auto" w:sz="10" w:space="0"/>
              <w:insideV w:val="single" w:sz="10" w:space="0"/>
            </w:tcBorders>
            <w:vAlign w:val="center"/>
          </w:tcPr>
          <w:p w14:paraId="62993650">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A88441">
            <w:pPr>
              <w:jc w:val="center"/>
            </w:pPr>
            <w:r>
              <w:rPr>
                <w:rFonts w:ascii="宋体" w:hAnsi="宋体" w:eastAsia="宋体"/>
                <w:sz w:val="16"/>
              </w:rPr>
              <w:t>3部</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D81BF8">
            <w:pPr>
              <w:jc w:val="center"/>
            </w:pPr>
            <w:r>
              <w:rPr>
                <w:rFonts w:ascii="宋体" w:hAnsi="宋体" w:eastAsia="宋体"/>
                <w:sz w:val="16"/>
              </w:rPr>
              <w:t>20</w:t>
            </w:r>
          </w:p>
        </w:tc>
      </w:tr>
      <w:tr w14:paraId="2468747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C71885D"/>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8316A24"/>
        </w:tc>
        <w:tc>
          <w:tcPr>
            <w:tcW w:w="126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6272E1">
            <w:pPr>
              <w:jc w:val="center"/>
            </w:pPr>
            <w:r>
              <w:rPr>
                <w:rFonts w:ascii="宋体" w:hAnsi="宋体" w:eastAsia="宋体"/>
                <w:sz w:val="16"/>
              </w:rPr>
              <w:t>开展法治宣传教育活动（次）</w:t>
            </w:r>
          </w:p>
        </w:tc>
        <w:tc>
          <w:tcPr>
            <w:tcW w:w="945" w:type="dxa"/>
            <w:tcBorders>
              <w:top w:val="single" w:color="auto" w:sz="10" w:space="0"/>
              <w:left w:val="single" w:color="auto" w:sz="10" w:space="0"/>
              <w:bottom w:val="single" w:color="auto" w:sz="10" w:space="0"/>
              <w:right w:val="single" w:color="auto" w:sz="10" w:space="0"/>
              <w:insideV w:val="single" w:sz="10" w:space="0"/>
            </w:tcBorders>
            <w:vAlign w:val="center"/>
          </w:tcPr>
          <w:p w14:paraId="4D254934">
            <w:pPr>
              <w:jc w:val="center"/>
            </w:pPr>
            <w:r>
              <w:rPr>
                <w:rFonts w:ascii="宋体" w:hAnsi="宋体" w:eastAsia="宋体"/>
                <w:sz w:val="16"/>
              </w:rPr>
              <w:t>&gt;=5次</w:t>
            </w:r>
          </w:p>
        </w:tc>
        <w:tc>
          <w:tcPr>
            <w:tcW w:w="126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33925A">
            <w:pPr>
              <w:jc w:val="center"/>
            </w:pPr>
            <w:r>
              <w:rPr>
                <w:rFonts w:ascii="宋体" w:hAnsi="宋体" w:eastAsia="宋体"/>
                <w:sz w:val="16"/>
              </w:rPr>
              <w:t>2024年工作要点</w:t>
            </w:r>
          </w:p>
        </w:tc>
        <w:tc>
          <w:tcPr>
            <w:tcW w:w="945" w:type="dxa"/>
            <w:tcBorders>
              <w:top w:val="single" w:color="auto" w:sz="10" w:space="0"/>
              <w:left w:val="single" w:color="auto" w:sz="10" w:space="0"/>
              <w:bottom w:val="single" w:color="auto" w:sz="10" w:space="0"/>
              <w:right w:val="single" w:color="auto" w:sz="10" w:space="0"/>
              <w:insideV w:val="single" w:sz="10" w:space="0"/>
            </w:tcBorders>
            <w:vAlign w:val="center"/>
          </w:tcPr>
          <w:p w14:paraId="677E2500">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222FE3">
            <w:pPr>
              <w:jc w:val="center"/>
            </w:pPr>
            <w:r>
              <w:rPr>
                <w:rFonts w:ascii="宋体" w:hAnsi="宋体" w:eastAsia="宋体"/>
                <w:sz w:val="16"/>
              </w:rPr>
              <w:t>5次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C4D23C">
            <w:pPr>
              <w:jc w:val="center"/>
            </w:pPr>
            <w:r>
              <w:rPr>
                <w:rFonts w:ascii="宋体" w:hAnsi="宋体" w:eastAsia="宋体"/>
                <w:sz w:val="16"/>
              </w:rPr>
              <w:t>10</w:t>
            </w:r>
          </w:p>
        </w:tc>
      </w:tr>
      <w:tr w14:paraId="7B35BB5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E26C7DE"/>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2CEA847"/>
        </w:tc>
        <w:tc>
          <w:tcPr>
            <w:tcW w:w="126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191221">
            <w:pPr>
              <w:jc w:val="center"/>
            </w:pPr>
            <w:r>
              <w:rPr>
                <w:rFonts w:ascii="宋体" w:hAnsi="宋体" w:eastAsia="宋体"/>
                <w:sz w:val="16"/>
              </w:rPr>
              <w:t>开展法律培训活动（次）</w:t>
            </w:r>
          </w:p>
        </w:tc>
        <w:tc>
          <w:tcPr>
            <w:tcW w:w="945" w:type="dxa"/>
            <w:tcBorders>
              <w:top w:val="single" w:color="auto" w:sz="10" w:space="0"/>
              <w:left w:val="single" w:color="auto" w:sz="10" w:space="0"/>
              <w:bottom w:val="single" w:color="auto" w:sz="10" w:space="0"/>
              <w:right w:val="single" w:color="auto" w:sz="10" w:space="0"/>
              <w:insideV w:val="single" w:sz="10" w:space="0"/>
            </w:tcBorders>
            <w:vAlign w:val="center"/>
          </w:tcPr>
          <w:p w14:paraId="3FC4A34B">
            <w:pPr>
              <w:jc w:val="center"/>
            </w:pPr>
            <w:r>
              <w:rPr>
                <w:rFonts w:ascii="宋体" w:hAnsi="宋体" w:eastAsia="宋体"/>
                <w:sz w:val="16"/>
              </w:rPr>
              <w:t>&gt;=5次</w:t>
            </w:r>
          </w:p>
        </w:tc>
        <w:tc>
          <w:tcPr>
            <w:tcW w:w="126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9BBB06">
            <w:pPr>
              <w:jc w:val="center"/>
            </w:pPr>
            <w:r>
              <w:rPr>
                <w:rFonts w:ascii="宋体" w:hAnsi="宋体" w:eastAsia="宋体"/>
                <w:sz w:val="16"/>
              </w:rPr>
              <w:t>2024年工作要点</w:t>
            </w:r>
          </w:p>
        </w:tc>
        <w:tc>
          <w:tcPr>
            <w:tcW w:w="945" w:type="dxa"/>
            <w:tcBorders>
              <w:top w:val="single" w:color="auto" w:sz="10" w:space="0"/>
              <w:left w:val="single" w:color="auto" w:sz="10" w:space="0"/>
              <w:bottom w:val="single" w:color="auto" w:sz="10" w:space="0"/>
              <w:right w:val="single" w:color="auto" w:sz="10" w:space="0"/>
              <w:insideV w:val="single" w:sz="10" w:space="0"/>
            </w:tcBorders>
            <w:vAlign w:val="center"/>
          </w:tcPr>
          <w:p w14:paraId="5CBCC5FC">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21CD83">
            <w:pPr>
              <w:jc w:val="center"/>
            </w:pPr>
            <w:r>
              <w:rPr>
                <w:rFonts w:ascii="宋体" w:hAnsi="宋体" w:eastAsia="宋体"/>
                <w:sz w:val="16"/>
              </w:rPr>
              <w:t>5次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415976">
            <w:pPr>
              <w:jc w:val="center"/>
            </w:pPr>
            <w:r>
              <w:rPr>
                <w:rFonts w:ascii="宋体" w:hAnsi="宋体" w:eastAsia="宋体"/>
                <w:sz w:val="16"/>
              </w:rPr>
              <w:t>10</w:t>
            </w:r>
          </w:p>
        </w:tc>
      </w:tr>
      <w:tr w14:paraId="6E095AA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2EAD999"/>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DDD0340"/>
        </w:tc>
        <w:tc>
          <w:tcPr>
            <w:tcW w:w="126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4E2D39">
            <w:pPr>
              <w:jc w:val="center"/>
            </w:pPr>
            <w:r>
              <w:rPr>
                <w:rFonts w:ascii="宋体" w:hAnsi="宋体" w:eastAsia="宋体"/>
                <w:sz w:val="16"/>
              </w:rPr>
              <w:t>开展法治督查活动（次）</w:t>
            </w:r>
          </w:p>
        </w:tc>
        <w:tc>
          <w:tcPr>
            <w:tcW w:w="945" w:type="dxa"/>
            <w:tcBorders>
              <w:top w:val="single" w:color="auto" w:sz="10" w:space="0"/>
              <w:left w:val="single" w:color="auto" w:sz="10" w:space="0"/>
              <w:bottom w:val="single" w:color="auto" w:sz="10" w:space="0"/>
              <w:right w:val="single" w:color="auto" w:sz="10" w:space="0"/>
              <w:insideV w:val="single" w:sz="10" w:space="0"/>
            </w:tcBorders>
            <w:vAlign w:val="center"/>
          </w:tcPr>
          <w:p w14:paraId="7A0BD8F2">
            <w:pPr>
              <w:jc w:val="center"/>
            </w:pPr>
            <w:r>
              <w:rPr>
                <w:rFonts w:ascii="宋体" w:hAnsi="宋体" w:eastAsia="宋体"/>
                <w:sz w:val="16"/>
              </w:rPr>
              <w:t>&gt;=2次</w:t>
            </w:r>
          </w:p>
        </w:tc>
        <w:tc>
          <w:tcPr>
            <w:tcW w:w="126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155F6F">
            <w:pPr>
              <w:jc w:val="center"/>
            </w:pPr>
            <w:r>
              <w:rPr>
                <w:rFonts w:ascii="宋体" w:hAnsi="宋体" w:eastAsia="宋体"/>
                <w:sz w:val="16"/>
              </w:rPr>
              <w:t>2024年工作要点</w:t>
            </w:r>
          </w:p>
        </w:tc>
        <w:tc>
          <w:tcPr>
            <w:tcW w:w="945" w:type="dxa"/>
            <w:tcBorders>
              <w:top w:val="single" w:color="auto" w:sz="10" w:space="0"/>
              <w:left w:val="single" w:color="auto" w:sz="10" w:space="0"/>
              <w:bottom w:val="single" w:color="auto" w:sz="10" w:space="0"/>
              <w:right w:val="single" w:color="auto" w:sz="10" w:space="0"/>
              <w:insideV w:val="single" w:sz="10" w:space="0"/>
            </w:tcBorders>
            <w:vAlign w:val="center"/>
          </w:tcPr>
          <w:p w14:paraId="7E57E4D9">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9F4DFC">
            <w:pPr>
              <w:jc w:val="center"/>
            </w:pPr>
            <w:r>
              <w:rPr>
                <w:rFonts w:ascii="宋体" w:hAnsi="宋体" w:eastAsia="宋体"/>
                <w:sz w:val="16"/>
              </w:rPr>
              <w:t>2次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324608">
            <w:pPr>
              <w:jc w:val="center"/>
            </w:pPr>
            <w:r>
              <w:rPr>
                <w:rFonts w:ascii="宋体" w:hAnsi="宋体" w:eastAsia="宋体"/>
                <w:sz w:val="16"/>
              </w:rPr>
              <w:t>10</w:t>
            </w:r>
          </w:p>
        </w:tc>
      </w:tr>
    </w:tbl>
    <w:p w14:paraId="402EFCE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96"/>
        <w:gridCol w:w="632"/>
        <w:gridCol w:w="632"/>
        <w:gridCol w:w="632"/>
      </w:tblGrid>
      <w:tr w14:paraId="58C4DE22">
        <w:tblPrEx>
          <w:tblCellMar>
            <w:top w:w="0" w:type="dxa"/>
            <w:left w:w="108" w:type="dxa"/>
            <w:bottom w:w="0" w:type="dxa"/>
            <w:right w:w="108" w:type="dxa"/>
          </w:tblCellMar>
        </w:tblPrEx>
        <w:tc>
          <w:tcPr>
            <w:tcW w:w="8848" w:type="dxa"/>
            <w:gridSpan w:val="14"/>
            <w:vAlign w:val="center"/>
          </w:tcPr>
          <w:p w14:paraId="5CC261D9">
            <w:pPr>
              <w:jc w:val="center"/>
            </w:pPr>
            <w:r>
              <w:rPr>
                <w:rFonts w:ascii="宋体" w:hAnsi="宋体" w:eastAsia="宋体"/>
                <w:sz w:val="24"/>
              </w:rPr>
              <w:t>项目支出绩效自评表</w:t>
            </w:r>
          </w:p>
        </w:tc>
      </w:tr>
      <w:tr w14:paraId="6F578570">
        <w:tblPrEx>
          <w:tblCellMar>
            <w:top w:w="0" w:type="dxa"/>
            <w:left w:w="108" w:type="dxa"/>
            <w:bottom w:w="0" w:type="dxa"/>
            <w:right w:w="108" w:type="dxa"/>
          </w:tblCellMar>
        </w:tblPrEx>
        <w:tc>
          <w:tcPr>
            <w:tcW w:w="8848" w:type="dxa"/>
            <w:gridSpan w:val="14"/>
            <w:vAlign w:val="center"/>
          </w:tcPr>
          <w:p w14:paraId="463B0BBC">
            <w:pPr>
              <w:jc w:val="center"/>
            </w:pPr>
            <w:r>
              <w:rPr>
                <w:rFonts w:ascii="宋体" w:hAnsi="宋体" w:eastAsia="宋体"/>
                <w:sz w:val="24"/>
              </w:rPr>
              <w:t>(2024年度)</w:t>
            </w:r>
          </w:p>
        </w:tc>
      </w:tr>
      <w:tr w14:paraId="0725865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A7E8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1F734FE">
            <w:pPr>
              <w:jc w:val="center"/>
            </w:pPr>
            <w:r>
              <w:rPr>
                <w:rFonts w:ascii="宋体" w:hAnsi="宋体" w:eastAsia="宋体"/>
                <w:sz w:val="16"/>
              </w:rPr>
              <w:t>2024年其他资金户资金</w:t>
            </w:r>
          </w:p>
        </w:tc>
      </w:tr>
      <w:tr w14:paraId="7978B49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9F8F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83794C">
            <w:pPr>
              <w:jc w:val="center"/>
            </w:pPr>
            <w:r>
              <w:rPr>
                <w:rFonts w:ascii="宋体" w:hAnsi="宋体" w:eastAsia="宋体"/>
                <w:sz w:val="16"/>
              </w:rPr>
              <w:t>克孜勒苏柯尔克孜自治州司法局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3161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9906A37">
            <w:pPr>
              <w:jc w:val="center"/>
            </w:pPr>
            <w:r>
              <w:rPr>
                <w:rFonts w:ascii="宋体" w:hAnsi="宋体" w:eastAsia="宋体"/>
                <w:sz w:val="16"/>
              </w:rPr>
              <w:t>克孜勒苏柯尔克孜自治州司法局</w:t>
            </w:r>
          </w:p>
        </w:tc>
      </w:tr>
      <w:tr w14:paraId="2E4F288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8D65B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A9C25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DB9A5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64E3E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FF4B8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28D21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4E18E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6CDEE">
            <w:pPr>
              <w:jc w:val="center"/>
            </w:pPr>
            <w:r>
              <w:rPr>
                <w:rFonts w:ascii="宋体" w:hAnsi="宋体" w:eastAsia="宋体"/>
                <w:sz w:val="16"/>
              </w:rPr>
              <w:t>得分</w:t>
            </w:r>
          </w:p>
        </w:tc>
      </w:tr>
      <w:tr w14:paraId="7BEB35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253A1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2E004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0CC594">
            <w:pPr>
              <w:jc w:val="center"/>
            </w:pPr>
            <w:r>
              <w:rPr>
                <w:rFonts w:ascii="宋体" w:hAnsi="宋体" w:eastAsia="宋体"/>
                <w:sz w:val="16"/>
              </w:rPr>
              <w:t>43.61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673E05">
            <w:pPr>
              <w:jc w:val="center"/>
            </w:pPr>
            <w:r>
              <w:rPr>
                <w:rFonts w:ascii="宋体" w:hAnsi="宋体" w:eastAsia="宋体"/>
                <w:sz w:val="16"/>
              </w:rPr>
              <w:t>43.61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9854FB">
            <w:pPr>
              <w:jc w:val="center"/>
            </w:pPr>
            <w:r>
              <w:rPr>
                <w:rFonts w:ascii="宋体" w:hAnsi="宋体" w:eastAsia="宋体"/>
                <w:sz w:val="16"/>
              </w:rPr>
              <w:t>24.86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F22CF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BB7E2F">
            <w:pPr>
              <w:jc w:val="center"/>
            </w:pPr>
            <w:r>
              <w:rPr>
                <w:rFonts w:ascii="宋体" w:hAnsi="宋体" w:eastAsia="宋体"/>
                <w:sz w:val="16"/>
              </w:rPr>
              <w:t>57.0%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47010">
            <w:pPr>
              <w:jc w:val="center"/>
            </w:pPr>
            <w:r>
              <w:rPr>
                <w:rFonts w:ascii="宋体" w:hAnsi="宋体" w:eastAsia="宋体"/>
                <w:sz w:val="16"/>
              </w:rPr>
              <w:t>0.00分</w:t>
            </w:r>
          </w:p>
        </w:tc>
      </w:tr>
      <w:tr w14:paraId="5B3E8C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5741E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74C08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586F1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C00E1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2C3CA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AEE3A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86D0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69A96">
            <w:pPr>
              <w:jc w:val="center"/>
            </w:pPr>
            <w:r>
              <w:rPr>
                <w:rFonts w:ascii="宋体" w:hAnsi="宋体" w:eastAsia="宋体"/>
                <w:sz w:val="16"/>
              </w:rPr>
              <w:t>—</w:t>
            </w:r>
          </w:p>
        </w:tc>
      </w:tr>
      <w:tr w14:paraId="595BC5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1F690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94994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E15148">
            <w:pPr>
              <w:jc w:val="center"/>
            </w:pPr>
            <w:r>
              <w:rPr>
                <w:rFonts w:ascii="宋体" w:hAnsi="宋体" w:eastAsia="宋体"/>
                <w:sz w:val="16"/>
              </w:rPr>
              <w:t>43.61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ED004D">
            <w:pPr>
              <w:jc w:val="center"/>
            </w:pPr>
            <w:r>
              <w:rPr>
                <w:rFonts w:ascii="宋体" w:hAnsi="宋体" w:eastAsia="宋体"/>
                <w:sz w:val="16"/>
              </w:rPr>
              <w:t>43.61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179FAC">
            <w:pPr>
              <w:jc w:val="center"/>
            </w:pPr>
            <w:r>
              <w:rPr>
                <w:rFonts w:ascii="宋体" w:hAnsi="宋体" w:eastAsia="宋体"/>
                <w:sz w:val="16"/>
              </w:rPr>
              <w:t>24.86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2C1C3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DF3D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379EE">
            <w:pPr>
              <w:jc w:val="center"/>
            </w:pPr>
            <w:r>
              <w:rPr>
                <w:rFonts w:ascii="宋体" w:hAnsi="宋体" w:eastAsia="宋体"/>
                <w:sz w:val="16"/>
              </w:rPr>
              <w:t>—</w:t>
            </w:r>
          </w:p>
        </w:tc>
      </w:tr>
      <w:tr w14:paraId="2D7AE61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70B83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84A88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88B5402">
            <w:pPr>
              <w:jc w:val="center"/>
            </w:pPr>
            <w:r>
              <w:rPr>
                <w:rFonts w:ascii="宋体" w:hAnsi="宋体" w:eastAsia="宋体"/>
                <w:sz w:val="16"/>
              </w:rPr>
              <w:t>实际完成情况</w:t>
            </w:r>
          </w:p>
        </w:tc>
      </w:tr>
      <w:tr w14:paraId="74F249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7AA7E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8CD7F7">
            <w:pPr>
              <w:jc w:val="both"/>
            </w:pPr>
            <w:r>
              <w:rPr>
                <w:rFonts w:ascii="宋体" w:hAnsi="宋体" w:eastAsia="宋体"/>
                <w:sz w:val="16"/>
              </w:rPr>
              <w:t>2024年其他资金共43.61万元，财政拨款0元，其他收入43.61万元，本年度单位计划办理补贴法律援助案件180件，保障单位9辆车辆正常通行，开展业务6次，通过组织发放法律援助案件补贴，提高律师案件办理积极性，达到增强法律援助案件质量，健全法律援助保障体系，维护弱势群体和困难群体的权益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9E29AFC">
            <w:pPr>
              <w:jc w:val="both"/>
            </w:pPr>
            <w:r>
              <w:rPr>
                <w:rFonts w:ascii="宋体" w:hAnsi="宋体" w:eastAsia="宋体"/>
                <w:sz w:val="16"/>
              </w:rPr>
              <w:t>截至2024年12月31日支出24.86万元，财政拨款0元，其他收入24.86万元，本年度单位计划办理补贴法律援助案件180件，保障单位9辆车辆正常通行，开展业务6次，通过组织发放法律援助案件补贴，提高律师案件办理积极性，达到增强法律援助案件质量，健全法律援助保障体系，维护弱势群体和困难群体的权益目标。</w:t>
            </w:r>
          </w:p>
        </w:tc>
      </w:tr>
      <w:tr w14:paraId="0DB5334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6469A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3C5B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493B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6A95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7D3F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FB28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5E12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0520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DEEE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8CC5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F4C4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E875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162242">
            <w:pPr>
              <w:jc w:val="center"/>
            </w:pPr>
            <w:r>
              <w:rPr>
                <w:rFonts w:ascii="宋体" w:hAnsi="宋体" w:eastAsia="宋体"/>
                <w:sz w:val="16"/>
              </w:rPr>
              <w:t>偏差原因分析及改进措施</w:t>
            </w:r>
          </w:p>
        </w:tc>
      </w:tr>
      <w:tr w14:paraId="7638901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AF7A7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22EAF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9F6F9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4C92D">
            <w:pPr>
              <w:jc w:val="center"/>
            </w:pPr>
            <w:r>
              <w:rPr>
                <w:rFonts w:ascii="宋体" w:hAnsi="宋体" w:eastAsia="宋体"/>
                <w:sz w:val="16"/>
              </w:rPr>
              <w:t>法律援助案件补贴数量（件）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5FE69">
            <w:pPr>
              <w:jc w:val="center"/>
            </w:pPr>
            <w:r>
              <w:rPr>
                <w:rFonts w:ascii="宋体" w:hAnsi="宋体" w:eastAsia="宋体"/>
                <w:sz w:val="16"/>
              </w:rPr>
              <w:t>&gt;=180件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996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9346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B9D5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CA1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727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E348D">
            <w:pPr>
              <w:jc w:val="center"/>
            </w:pPr>
            <w:r>
              <w:rPr>
                <w:rFonts w:ascii="宋体" w:hAnsi="宋体" w:eastAsia="宋体"/>
                <w:sz w:val="16"/>
              </w:rPr>
              <w:t>=180件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A7A2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7662F8">
            <w:pPr>
              <w:jc w:val="center"/>
            </w:pPr>
          </w:p>
        </w:tc>
      </w:tr>
      <w:tr w14:paraId="79BB45A7">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B4EE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0FEF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6CC3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B2DE8">
            <w:pPr>
              <w:jc w:val="center"/>
            </w:pPr>
            <w:r>
              <w:rPr>
                <w:rFonts w:ascii="宋体" w:hAnsi="宋体" w:eastAsia="宋体"/>
                <w:sz w:val="16"/>
              </w:rPr>
              <w:t>保障车辆ETC数（辆）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5A51E">
            <w:pPr>
              <w:jc w:val="center"/>
            </w:pPr>
            <w:r>
              <w:rPr>
                <w:rFonts w:ascii="宋体" w:hAnsi="宋体" w:eastAsia="宋体"/>
                <w:sz w:val="16"/>
              </w:rPr>
              <w:t>&gt;=9辆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804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FFD4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F174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1F1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A15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D82E1">
            <w:pPr>
              <w:jc w:val="center"/>
            </w:pPr>
            <w:r>
              <w:rPr>
                <w:rFonts w:ascii="宋体" w:hAnsi="宋体" w:eastAsia="宋体"/>
                <w:sz w:val="16"/>
              </w:rPr>
              <w:t>=10辆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4D99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F931ED">
            <w:pPr>
              <w:jc w:val="center"/>
            </w:pPr>
          </w:p>
        </w:tc>
      </w:tr>
      <w:tr w14:paraId="54B722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1A25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61A7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F563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9A6F2">
            <w:pPr>
              <w:jc w:val="center"/>
            </w:pPr>
            <w:r>
              <w:rPr>
                <w:rFonts w:ascii="宋体" w:hAnsi="宋体" w:eastAsia="宋体"/>
                <w:sz w:val="16"/>
              </w:rPr>
              <w:t>业务开展次数（次）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36EAF">
            <w:pPr>
              <w:jc w:val="center"/>
            </w:pPr>
            <w:r>
              <w:rPr>
                <w:rFonts w:ascii="宋体" w:hAnsi="宋体" w:eastAsia="宋体"/>
                <w:sz w:val="16"/>
              </w:rPr>
              <w:t>&gt;=6次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2C9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5552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2150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C49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E8D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47079">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BA57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56CF94">
            <w:pPr>
              <w:jc w:val="center"/>
            </w:pPr>
          </w:p>
        </w:tc>
      </w:tr>
      <w:tr w14:paraId="1E695B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EFEB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49293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D084B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6A8B3">
            <w:pPr>
              <w:jc w:val="center"/>
            </w:pPr>
            <w:r>
              <w:rPr>
                <w:rFonts w:ascii="宋体" w:hAnsi="宋体" w:eastAsia="宋体"/>
                <w:sz w:val="16"/>
              </w:rPr>
              <w:t>法律援助案件办结率（%）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59A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3AB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1A79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F3E5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6D5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D2F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761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6E4E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FCF65A">
            <w:pPr>
              <w:jc w:val="center"/>
            </w:pPr>
          </w:p>
        </w:tc>
      </w:tr>
      <w:tr w14:paraId="447BCC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C727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E6AE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C68D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FD0C8">
            <w:pPr>
              <w:jc w:val="center"/>
            </w:pPr>
            <w:r>
              <w:rPr>
                <w:rFonts w:ascii="宋体" w:hAnsi="宋体" w:eastAsia="宋体"/>
                <w:sz w:val="16"/>
              </w:rPr>
              <w:t>车辆成功通行率（%）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BD8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4CF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7AEA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292C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165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985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255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2F50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44A80A">
            <w:pPr>
              <w:jc w:val="center"/>
            </w:pPr>
          </w:p>
        </w:tc>
      </w:tr>
      <w:tr w14:paraId="486172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61DB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016D8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C48E7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9FCA1">
            <w:pPr>
              <w:jc w:val="center"/>
            </w:pPr>
            <w:r>
              <w:rPr>
                <w:rFonts w:ascii="宋体" w:hAnsi="宋体" w:eastAsia="宋体"/>
                <w:sz w:val="16"/>
              </w:rPr>
              <w:t>法律援助案件审批及时率（%）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E65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7C1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7569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B7CB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C51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4EC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C9D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FA36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FBCD55">
            <w:pPr>
              <w:jc w:val="center"/>
            </w:pPr>
          </w:p>
        </w:tc>
      </w:tr>
      <w:tr w14:paraId="1063512B">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27EF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1D62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4791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87111">
            <w:pPr>
              <w:jc w:val="center"/>
            </w:pPr>
            <w:r>
              <w:rPr>
                <w:rFonts w:ascii="宋体" w:hAnsi="宋体" w:eastAsia="宋体"/>
                <w:sz w:val="16"/>
              </w:rPr>
              <w:t>资金到位及时率（%）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2B0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46B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CA6C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831C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A61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5ED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B1D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F103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A35177">
            <w:pPr>
              <w:jc w:val="center"/>
            </w:pPr>
          </w:p>
        </w:tc>
      </w:tr>
      <w:tr w14:paraId="1E11B4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A04D6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90036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E4F10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2F9F7">
            <w:pPr>
              <w:jc w:val="center"/>
            </w:pPr>
            <w:r>
              <w:rPr>
                <w:rFonts w:ascii="宋体" w:hAnsi="宋体" w:eastAsia="宋体"/>
                <w:sz w:val="16"/>
              </w:rPr>
              <w:t>法律援助案件补贴（万元）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BC89F">
            <w:pPr>
              <w:jc w:val="center"/>
            </w:pPr>
            <w:r>
              <w:rPr>
                <w:rFonts w:ascii="宋体" w:hAnsi="宋体" w:eastAsia="宋体"/>
                <w:sz w:val="16"/>
              </w:rPr>
              <w:t>&lt;=34万元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2C4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5563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D050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F82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8C33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B887D">
            <w:pPr>
              <w:jc w:val="center"/>
            </w:pPr>
            <w:r>
              <w:rPr>
                <w:rFonts w:ascii="宋体" w:hAnsi="宋体" w:eastAsia="宋体"/>
                <w:sz w:val="16"/>
              </w:rPr>
              <w:t>=24.01万元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ECA4D">
            <w:pPr>
              <w:jc w:val="center"/>
            </w:pPr>
            <w:r>
              <w:rPr>
                <w:rFonts w:ascii="宋体" w:hAnsi="宋体" w:eastAsia="宋体"/>
                <w:sz w:val="16"/>
              </w:rPr>
              <w:t>2.66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822A6B">
            <w:pPr>
              <w:jc w:val="center"/>
            </w:pPr>
            <w:r>
              <w:rPr>
                <w:rFonts w:ascii="宋体" w:hAnsi="宋体" w:eastAsia="宋体"/>
                <w:sz w:val="16"/>
              </w:rPr>
              <w:t>偏差原因：根据上级部门安排，中央彩票案件补贴经费项目自2024年起取消，不再拨付资金安排补助。改进措施：及时确认政策改变情况，提高预算编制准确性、科学性。</w:t>
            </w:r>
          </w:p>
        </w:tc>
      </w:tr>
      <w:tr w14:paraId="740B2C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BB28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E636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26CD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72C18">
            <w:pPr>
              <w:jc w:val="center"/>
            </w:pPr>
            <w:r>
              <w:rPr>
                <w:rFonts w:ascii="宋体" w:hAnsi="宋体" w:eastAsia="宋体"/>
                <w:sz w:val="16"/>
              </w:rPr>
              <w:t>车辆通行费（万元）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0A46F">
            <w:pPr>
              <w:jc w:val="center"/>
            </w:pPr>
            <w:r>
              <w:rPr>
                <w:rFonts w:ascii="宋体" w:hAnsi="宋体" w:eastAsia="宋体"/>
                <w:sz w:val="16"/>
              </w:rPr>
              <w:t>&lt;=0.61万元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E2F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9897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9ABE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A11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080B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771F3">
            <w:pPr>
              <w:jc w:val="center"/>
            </w:pPr>
            <w:r>
              <w:rPr>
                <w:rFonts w:ascii="宋体" w:hAnsi="宋体" w:eastAsia="宋体"/>
                <w:sz w:val="16"/>
              </w:rPr>
              <w:t>=0.61万元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73BD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D1E2C8">
            <w:pPr>
              <w:jc w:val="center"/>
            </w:pPr>
          </w:p>
        </w:tc>
      </w:tr>
      <w:tr w14:paraId="66A97F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34D1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1BD7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5FEE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A8BA7">
            <w:pPr>
              <w:jc w:val="center"/>
            </w:pPr>
            <w:r>
              <w:rPr>
                <w:rFonts w:ascii="宋体" w:hAnsi="宋体" w:eastAsia="宋体"/>
                <w:sz w:val="16"/>
              </w:rPr>
              <w:t>业务经费（万元）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F135D">
            <w:pPr>
              <w:jc w:val="center"/>
            </w:pPr>
            <w:r>
              <w:rPr>
                <w:rFonts w:ascii="宋体" w:hAnsi="宋体" w:eastAsia="宋体"/>
                <w:sz w:val="16"/>
              </w:rPr>
              <w:t>&lt;=9万元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5F6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FC5E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8859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48E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E810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E003E">
            <w:pPr>
              <w:jc w:val="center"/>
            </w:pPr>
            <w:r>
              <w:rPr>
                <w:rFonts w:ascii="宋体" w:hAnsi="宋体" w:eastAsia="宋体"/>
                <w:sz w:val="16"/>
              </w:rPr>
              <w:t>=0.24万元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AC91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8E2A4B">
            <w:pPr>
              <w:jc w:val="center"/>
            </w:pPr>
            <w:r>
              <w:rPr>
                <w:rFonts w:ascii="宋体" w:hAnsi="宋体" w:eastAsia="宋体"/>
                <w:sz w:val="16"/>
              </w:rPr>
              <w:t>偏差原因：厉行节约，减少业务经费支出。改进措施：及时确认工作改变情况，提高预算编制准确性、科学性。</w:t>
            </w:r>
          </w:p>
        </w:tc>
      </w:tr>
      <w:tr w14:paraId="493161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6923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AF6E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3F12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2FCB8">
            <w:pPr>
              <w:jc w:val="center"/>
            </w:pPr>
            <w:r>
              <w:rPr>
                <w:rFonts w:ascii="宋体" w:hAnsi="宋体" w:eastAsia="宋体"/>
                <w:sz w:val="16"/>
              </w:rPr>
              <w:t>推动社会长治久安</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B3FA2">
            <w:pPr>
              <w:jc w:val="center"/>
            </w:pPr>
            <w:r>
              <w:rPr>
                <w:rFonts w:ascii="宋体" w:hAnsi="宋体" w:eastAsia="宋体"/>
                <w:sz w:val="16"/>
              </w:rPr>
              <w:t>有效推动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629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36EB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6EB2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E379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E4B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82B32">
            <w:pPr>
              <w:jc w:val="center"/>
            </w:pPr>
            <w:r>
              <w:rPr>
                <w:rFonts w:ascii="宋体" w:hAnsi="宋体" w:eastAsia="宋体"/>
                <w:sz w:val="16"/>
              </w:rPr>
              <w:t>部分实现目标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66979">
            <w:pPr>
              <w:jc w:val="center"/>
            </w:pPr>
            <w:r>
              <w:rPr>
                <w:rFonts w:ascii="宋体" w:hAnsi="宋体" w:eastAsia="宋体"/>
                <w:sz w:val="16"/>
              </w:rPr>
              <w:t>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AC0137">
            <w:pPr>
              <w:jc w:val="center"/>
            </w:pPr>
            <w:r>
              <w:rPr>
                <w:rFonts w:ascii="宋体" w:hAnsi="宋体" w:eastAsia="宋体"/>
                <w:sz w:val="16"/>
              </w:rPr>
              <w:t>偏差原因：厉行节约，减少业务经费支出。改进措施：及时确认工作改变情况，提高预算编制准确性、科学性。</w:t>
            </w:r>
          </w:p>
        </w:tc>
      </w:tr>
      <w:tr w14:paraId="6B110C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A2DB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B7E1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4E85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F3059">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64A3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9D0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8B94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7F3E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831F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272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8FB1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20A3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A30D9E">
            <w:pPr>
              <w:jc w:val="center"/>
            </w:pPr>
          </w:p>
        </w:tc>
      </w:tr>
      <w:tr w14:paraId="5CAC26F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C83C5">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1126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B7667">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670AD6E">
            <w:pPr>
              <w:jc w:val="center"/>
            </w:pPr>
            <w:r>
              <w:rPr>
                <w:rFonts w:ascii="宋体" w:hAnsi="宋体" w:eastAsia="宋体"/>
                <w:sz w:val="16"/>
              </w:rPr>
              <w:t>69.66分</w:t>
            </w:r>
          </w:p>
        </w:tc>
      </w:tr>
    </w:tbl>
    <w:p w14:paraId="4146084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96"/>
        <w:gridCol w:w="632"/>
        <w:gridCol w:w="632"/>
        <w:gridCol w:w="632"/>
      </w:tblGrid>
      <w:tr w14:paraId="5043A311">
        <w:tblPrEx>
          <w:tblCellMar>
            <w:top w:w="0" w:type="dxa"/>
            <w:left w:w="108" w:type="dxa"/>
            <w:bottom w:w="0" w:type="dxa"/>
            <w:right w:w="108" w:type="dxa"/>
          </w:tblCellMar>
        </w:tblPrEx>
        <w:tc>
          <w:tcPr>
            <w:tcW w:w="8848" w:type="dxa"/>
            <w:gridSpan w:val="14"/>
            <w:vAlign w:val="center"/>
          </w:tcPr>
          <w:p w14:paraId="5CFF3DBA">
            <w:pPr>
              <w:jc w:val="center"/>
            </w:pPr>
            <w:r>
              <w:rPr>
                <w:rFonts w:ascii="宋体" w:hAnsi="宋体" w:eastAsia="宋体"/>
                <w:sz w:val="24"/>
              </w:rPr>
              <w:t>项目支出绩效自评表</w:t>
            </w:r>
          </w:p>
        </w:tc>
      </w:tr>
      <w:tr w14:paraId="5B26D3DA">
        <w:tblPrEx>
          <w:tblCellMar>
            <w:top w:w="0" w:type="dxa"/>
            <w:left w:w="108" w:type="dxa"/>
            <w:bottom w:w="0" w:type="dxa"/>
            <w:right w:w="108" w:type="dxa"/>
          </w:tblCellMar>
        </w:tblPrEx>
        <w:tc>
          <w:tcPr>
            <w:tcW w:w="8848" w:type="dxa"/>
            <w:gridSpan w:val="14"/>
            <w:vAlign w:val="center"/>
          </w:tcPr>
          <w:p w14:paraId="644A81FE">
            <w:pPr>
              <w:jc w:val="center"/>
            </w:pPr>
            <w:r>
              <w:rPr>
                <w:rFonts w:ascii="宋体" w:hAnsi="宋体" w:eastAsia="宋体"/>
                <w:sz w:val="24"/>
              </w:rPr>
              <w:t>(2024年度)</w:t>
            </w:r>
          </w:p>
        </w:tc>
      </w:tr>
      <w:tr w14:paraId="01D13AE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CBF2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D6970A4">
            <w:pPr>
              <w:jc w:val="center"/>
            </w:pPr>
            <w:r>
              <w:rPr>
                <w:rFonts w:ascii="宋体" w:hAnsi="宋体" w:eastAsia="宋体"/>
                <w:sz w:val="16"/>
              </w:rPr>
              <w:t>为民办实事经费及第一书记工作经费</w:t>
            </w:r>
          </w:p>
        </w:tc>
      </w:tr>
      <w:tr w14:paraId="48928F1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B6AA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B97DF3">
            <w:pPr>
              <w:jc w:val="center"/>
            </w:pPr>
            <w:r>
              <w:rPr>
                <w:rFonts w:ascii="宋体" w:hAnsi="宋体" w:eastAsia="宋体"/>
                <w:sz w:val="16"/>
              </w:rPr>
              <w:t>克孜勒苏柯尔克孜自治州司法局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E05C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43B3351">
            <w:pPr>
              <w:jc w:val="center"/>
            </w:pPr>
            <w:r>
              <w:rPr>
                <w:rFonts w:ascii="宋体" w:hAnsi="宋体" w:eastAsia="宋体"/>
                <w:sz w:val="16"/>
              </w:rPr>
              <w:t>克孜勒苏柯尔克孜自治州司法局</w:t>
            </w:r>
          </w:p>
        </w:tc>
      </w:tr>
      <w:tr w14:paraId="143081F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B2132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713DA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E295E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FCF00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020DE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8BBAF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B97FF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639EB">
            <w:pPr>
              <w:jc w:val="center"/>
            </w:pPr>
            <w:r>
              <w:rPr>
                <w:rFonts w:ascii="宋体" w:hAnsi="宋体" w:eastAsia="宋体"/>
                <w:sz w:val="16"/>
              </w:rPr>
              <w:t>得分</w:t>
            </w:r>
          </w:p>
        </w:tc>
      </w:tr>
      <w:tr w14:paraId="65C816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D360F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119A8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D3B180">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0032FB">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B6CB36">
            <w:pPr>
              <w:jc w:val="center"/>
            </w:pPr>
            <w:r>
              <w:rPr>
                <w:rFonts w:ascii="宋体" w:hAnsi="宋体" w:eastAsia="宋体"/>
                <w:sz w:val="16"/>
              </w:rPr>
              <w:t>16.76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39999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04554F">
            <w:pPr>
              <w:jc w:val="center"/>
            </w:pPr>
            <w:r>
              <w:rPr>
                <w:rFonts w:ascii="宋体" w:hAnsi="宋体" w:eastAsia="宋体"/>
                <w:sz w:val="16"/>
              </w:rPr>
              <w:t>98.6</w:t>
            </w:r>
            <w:r>
              <w:rPr>
                <w:rFonts w:hint="eastAsia" w:ascii="宋体" w:hAnsi="宋体"/>
                <w:sz w:val="16"/>
                <w:lang w:val="en-US" w:eastAsia="zh-CN"/>
              </w:rPr>
              <w:t>0</w:t>
            </w: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FCEF2">
            <w:pPr>
              <w:jc w:val="center"/>
            </w:pPr>
            <w:r>
              <w:rPr>
                <w:rFonts w:ascii="宋体" w:hAnsi="宋体" w:eastAsia="宋体"/>
                <w:sz w:val="16"/>
              </w:rPr>
              <w:t>9.65分</w:t>
            </w:r>
          </w:p>
        </w:tc>
      </w:tr>
      <w:tr w14:paraId="6E7DBF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31D4B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F277F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8DAAD8">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DC3ED0">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06403A">
            <w:pPr>
              <w:jc w:val="center"/>
            </w:pPr>
            <w:r>
              <w:rPr>
                <w:rFonts w:ascii="宋体" w:hAnsi="宋体" w:eastAsia="宋体"/>
                <w:sz w:val="16"/>
              </w:rPr>
              <w:t>16.76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825BB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8E19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06A07">
            <w:pPr>
              <w:jc w:val="center"/>
            </w:pPr>
            <w:r>
              <w:rPr>
                <w:rFonts w:ascii="宋体" w:hAnsi="宋体" w:eastAsia="宋体"/>
                <w:sz w:val="16"/>
              </w:rPr>
              <w:t>—</w:t>
            </w:r>
          </w:p>
        </w:tc>
      </w:tr>
      <w:tr w14:paraId="63023D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9A912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A57A5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8C275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213E6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9A987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47022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289E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9FF68">
            <w:pPr>
              <w:jc w:val="center"/>
            </w:pPr>
            <w:r>
              <w:rPr>
                <w:rFonts w:ascii="宋体" w:hAnsi="宋体" w:eastAsia="宋体"/>
                <w:sz w:val="16"/>
              </w:rPr>
              <w:t>—</w:t>
            </w:r>
          </w:p>
        </w:tc>
      </w:tr>
      <w:tr w14:paraId="208498C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BECA5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F66F3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1D74532">
            <w:pPr>
              <w:jc w:val="center"/>
            </w:pPr>
            <w:r>
              <w:rPr>
                <w:rFonts w:ascii="宋体" w:hAnsi="宋体" w:eastAsia="宋体"/>
                <w:sz w:val="16"/>
              </w:rPr>
              <w:t>实际完成情况</w:t>
            </w:r>
          </w:p>
        </w:tc>
      </w:tr>
      <w:tr w14:paraId="35F087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D395E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6DDD67">
            <w:pPr>
              <w:jc w:val="both"/>
            </w:pPr>
            <w:r>
              <w:rPr>
                <w:rFonts w:ascii="宋体" w:hAnsi="宋体" w:eastAsia="宋体"/>
                <w:sz w:val="16"/>
              </w:rPr>
              <w:t>克州司法局为民办实事经费及第一书记工作经费17万元，根据自治区关于为民办实事专项经费的使用办法，该笔资金主要用于我单位1个驻村工作队开展为民办实事专项工作，保障开展群众工作驻村点1个、宣传开展文体活动次数5次、驻村工作队为民办实事件数6件。其中50%用于解决群众生产发展维修改造帮扶、25%用于访贫问苦活动、25%用于村级组织开展活动，为群众带去温暖，宣传国家相关政策及法律法规，维护社会稳定和长治久安，从而提高群众幸福度和归属感。</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515B292">
            <w:pPr>
              <w:jc w:val="both"/>
            </w:pPr>
            <w:r>
              <w:rPr>
                <w:rFonts w:hint="eastAsia" w:ascii="宋体" w:hAnsi="宋体"/>
                <w:sz w:val="16"/>
                <w:lang w:eastAsia="zh-CN"/>
              </w:rPr>
              <w:t>截至2024</w:t>
            </w:r>
            <w:r>
              <w:rPr>
                <w:rFonts w:ascii="宋体" w:hAnsi="宋体" w:eastAsia="宋体"/>
                <w:sz w:val="16"/>
              </w:rPr>
              <w:t>年12月31日，克州司法局为民办实事经费及第一书记工作经费支出16.76万元，该笔资金主要用于我单位1个驻村工作队开展为民办实事专项工作，保障开展群众工作驻村点1个、宣传开展文体活动次数5次、驻村工作队为民办实事件数6件。其中50%用于解决群众生产发展维修改造帮扶、25%用于访贫问苦活动、25%用于村级组织开展活动，为群众带去温暖，宣传国家相关政策及法律法规，维护社会稳定和长治久安，从而提高群众幸福度和归属感。</w:t>
            </w:r>
          </w:p>
        </w:tc>
      </w:tr>
      <w:tr w14:paraId="78C375B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201DE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BE91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87D1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E3CC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04E8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DAA2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BA36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EA86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D323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E629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3943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367F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A575E0">
            <w:pPr>
              <w:jc w:val="center"/>
            </w:pPr>
            <w:r>
              <w:rPr>
                <w:rFonts w:ascii="宋体" w:hAnsi="宋体" w:eastAsia="宋体"/>
                <w:sz w:val="16"/>
              </w:rPr>
              <w:t>偏差原因分析及改进措施</w:t>
            </w:r>
          </w:p>
        </w:tc>
      </w:tr>
      <w:tr w14:paraId="1C866D3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8ABC1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53B61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175E6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92935">
            <w:pPr>
              <w:jc w:val="center"/>
            </w:pPr>
            <w:r>
              <w:rPr>
                <w:rFonts w:ascii="宋体" w:hAnsi="宋体" w:eastAsia="宋体"/>
                <w:sz w:val="16"/>
              </w:rPr>
              <w:t>保障开展群众工作驻村点（个）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F2F53">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1E1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BD41D">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EFFD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679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787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D8BF3">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95DA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7EA432">
            <w:pPr>
              <w:jc w:val="center"/>
            </w:pPr>
          </w:p>
        </w:tc>
      </w:tr>
      <w:tr w14:paraId="7B9188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ADBC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F589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767B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76991">
            <w:pPr>
              <w:jc w:val="center"/>
            </w:pPr>
            <w:r>
              <w:rPr>
                <w:rFonts w:ascii="宋体" w:hAnsi="宋体" w:eastAsia="宋体"/>
                <w:sz w:val="16"/>
              </w:rPr>
              <w:t>宣传开展文体活动次数（次）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9F615">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C3B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A33FF">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07A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3F9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FAB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745A1">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3692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96A6EC">
            <w:pPr>
              <w:jc w:val="center"/>
            </w:pPr>
          </w:p>
        </w:tc>
      </w:tr>
      <w:tr w14:paraId="23DAB1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9373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6DDA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4541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C1E14">
            <w:pPr>
              <w:jc w:val="center"/>
            </w:pPr>
            <w:r>
              <w:rPr>
                <w:rFonts w:ascii="宋体" w:hAnsi="宋体" w:eastAsia="宋体"/>
                <w:sz w:val="16"/>
              </w:rPr>
              <w:t>驻村工作队为民办实事件数（件）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9F92C">
            <w:pPr>
              <w:jc w:val="center"/>
            </w:pPr>
            <w:r>
              <w:rPr>
                <w:rFonts w:ascii="宋体" w:hAnsi="宋体" w:eastAsia="宋体"/>
                <w:sz w:val="16"/>
              </w:rPr>
              <w:t>&gt;=6件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191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F0E73">
            <w:pPr>
              <w:jc w:val="center"/>
            </w:pPr>
            <w:r>
              <w:rPr>
                <w:rFonts w:ascii="宋体" w:hAnsi="宋体" w:eastAsia="宋体"/>
                <w:sz w:val="16"/>
              </w:rPr>
              <w:t>6件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5DE7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4C8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689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49A0B">
            <w:pPr>
              <w:jc w:val="center"/>
            </w:pPr>
            <w:r>
              <w:rPr>
                <w:rFonts w:ascii="宋体" w:hAnsi="宋体" w:eastAsia="宋体"/>
                <w:sz w:val="16"/>
              </w:rPr>
              <w:t>=6件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2CA9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DBB5DA">
            <w:pPr>
              <w:jc w:val="center"/>
            </w:pPr>
          </w:p>
        </w:tc>
      </w:tr>
      <w:tr w14:paraId="507C6F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1250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25F7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8652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2E284">
            <w:pPr>
              <w:jc w:val="center"/>
            </w:pPr>
            <w:r>
              <w:rPr>
                <w:rFonts w:ascii="宋体" w:hAnsi="宋体" w:eastAsia="宋体"/>
                <w:sz w:val="16"/>
              </w:rPr>
              <w:t>群众活动参与率（%）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ADAB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83C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3C86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E7E0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977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DF3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B0CF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0E52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3013EA">
            <w:pPr>
              <w:jc w:val="center"/>
            </w:pPr>
          </w:p>
        </w:tc>
      </w:tr>
      <w:tr w14:paraId="0A1074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2BFF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A8E3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D6F4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F8D27">
            <w:pPr>
              <w:jc w:val="center"/>
            </w:pPr>
            <w:r>
              <w:rPr>
                <w:rFonts w:ascii="宋体" w:hAnsi="宋体" w:eastAsia="宋体"/>
                <w:sz w:val="16"/>
              </w:rPr>
              <w:t>为民办实事及时率（%）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B0C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C23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AA0E2">
            <w:pPr>
              <w:jc w:val="center"/>
            </w:pPr>
            <w:r>
              <w:rPr>
                <w:rFonts w:ascii="宋体" w:hAnsi="宋体" w:eastAsia="宋体"/>
                <w:sz w:val="16"/>
              </w:rPr>
              <w:t>2023年12月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1957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14D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057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644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0DF2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2D27DF">
            <w:pPr>
              <w:jc w:val="center"/>
            </w:pPr>
          </w:p>
        </w:tc>
      </w:tr>
      <w:tr w14:paraId="668FA2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64F29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A9B54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25038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B517E">
            <w:pPr>
              <w:jc w:val="center"/>
            </w:pPr>
            <w:r>
              <w:rPr>
                <w:rFonts w:ascii="宋体" w:hAnsi="宋体" w:eastAsia="宋体"/>
                <w:sz w:val="16"/>
              </w:rPr>
              <w:t>开展活动及为民办实事经费（万元）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EE56F">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ACCC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7788C">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C3B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DD7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3254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6145D">
            <w:pPr>
              <w:jc w:val="center"/>
            </w:pPr>
            <w:r>
              <w:rPr>
                <w:rFonts w:ascii="宋体" w:hAnsi="宋体" w:eastAsia="宋体"/>
                <w:sz w:val="16"/>
              </w:rPr>
              <w:t>=14.76万元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95DBF">
            <w:pPr>
              <w:jc w:val="center"/>
            </w:pPr>
            <w:r>
              <w:rPr>
                <w:rFonts w:ascii="宋体" w:hAnsi="宋体" w:eastAsia="宋体"/>
                <w:sz w:val="16"/>
              </w:rPr>
              <w:t>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403C7A">
            <w:pPr>
              <w:jc w:val="center"/>
            </w:pPr>
            <w:r>
              <w:rPr>
                <w:rFonts w:ascii="宋体" w:hAnsi="宋体" w:eastAsia="宋体"/>
                <w:sz w:val="16"/>
              </w:rPr>
              <w:t>偏差原因：维修水管2400元年底因账户户名不符资金支付失败。改进措施：资金支出时要多次确认账户准确性，确保资金支付成功。</w:t>
            </w:r>
          </w:p>
        </w:tc>
      </w:tr>
      <w:tr w14:paraId="19531D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DF6F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F873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7175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ABEC9">
            <w:pPr>
              <w:jc w:val="center"/>
            </w:pPr>
            <w:r>
              <w:rPr>
                <w:rFonts w:ascii="宋体" w:hAnsi="宋体" w:eastAsia="宋体"/>
                <w:sz w:val="16"/>
              </w:rPr>
              <w:t>组织日常运行经费（万元）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AB3DD">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6A67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27E47">
            <w:pPr>
              <w:jc w:val="center"/>
            </w:pPr>
            <w:r>
              <w:rPr>
                <w:rFonts w:ascii="宋体" w:hAnsi="宋体" w:eastAsia="宋体"/>
                <w:sz w:val="16"/>
              </w:rPr>
              <w: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E4E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96C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D6F4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216E1">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67AE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B174B6">
            <w:pPr>
              <w:jc w:val="center"/>
            </w:pPr>
          </w:p>
        </w:tc>
      </w:tr>
      <w:tr w14:paraId="123981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20F0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4C05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8F76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C4223">
            <w:pPr>
              <w:jc w:val="center"/>
            </w:pPr>
            <w:r>
              <w:rPr>
                <w:rFonts w:ascii="宋体" w:hAnsi="宋体" w:eastAsia="宋体"/>
                <w:sz w:val="16"/>
              </w:rPr>
              <w:t>提高农牧民的幸福感和归属感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D7D2F">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DBF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BE71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FA37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28D6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E805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C13F4">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3AC9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398013">
            <w:pPr>
              <w:jc w:val="center"/>
            </w:pPr>
          </w:p>
        </w:tc>
      </w:tr>
      <w:tr w14:paraId="0719F5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79B7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CA35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3875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85E90">
            <w:pPr>
              <w:jc w:val="center"/>
            </w:pPr>
            <w:r>
              <w:rPr>
                <w:rFonts w:ascii="宋体" w:hAnsi="宋体" w:eastAsia="宋体"/>
                <w:sz w:val="16"/>
              </w:rPr>
              <w:t>驻村村民满意度（%）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12B9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E66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03E7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8332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9310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E46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305C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FFDB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B052F8">
            <w:pPr>
              <w:jc w:val="center"/>
            </w:pPr>
          </w:p>
        </w:tc>
      </w:tr>
      <w:tr w14:paraId="6C4E5EB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BEFEC">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C2E1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C0D22">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4C9B182">
            <w:pPr>
              <w:jc w:val="center"/>
            </w:pPr>
            <w:r>
              <w:rPr>
                <w:rFonts w:ascii="宋体" w:hAnsi="宋体" w:eastAsia="宋体"/>
                <w:sz w:val="16"/>
              </w:rPr>
              <w:t>99.25分</w:t>
            </w:r>
          </w:p>
        </w:tc>
      </w:tr>
    </w:tbl>
    <w:p w14:paraId="52AE37C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29CE2055">
        <w:tblPrEx>
          <w:tblCellMar>
            <w:top w:w="0" w:type="dxa"/>
            <w:left w:w="108" w:type="dxa"/>
            <w:bottom w:w="0" w:type="dxa"/>
            <w:right w:w="108" w:type="dxa"/>
          </w:tblCellMar>
        </w:tblPrEx>
        <w:tc>
          <w:tcPr>
            <w:tcW w:w="8848" w:type="dxa"/>
            <w:gridSpan w:val="14"/>
            <w:vAlign w:val="center"/>
          </w:tcPr>
          <w:p w14:paraId="7904D7F2">
            <w:pPr>
              <w:jc w:val="center"/>
            </w:pPr>
            <w:r>
              <w:rPr>
                <w:rFonts w:ascii="宋体" w:hAnsi="宋体" w:eastAsia="宋体"/>
                <w:sz w:val="24"/>
              </w:rPr>
              <w:t>项目支出绩效自评表</w:t>
            </w:r>
          </w:p>
        </w:tc>
      </w:tr>
      <w:tr w14:paraId="1E3818FC">
        <w:tblPrEx>
          <w:tblCellMar>
            <w:top w:w="0" w:type="dxa"/>
            <w:left w:w="108" w:type="dxa"/>
            <w:bottom w:w="0" w:type="dxa"/>
            <w:right w:w="108" w:type="dxa"/>
          </w:tblCellMar>
        </w:tblPrEx>
        <w:tc>
          <w:tcPr>
            <w:tcW w:w="8848" w:type="dxa"/>
            <w:gridSpan w:val="14"/>
            <w:vAlign w:val="center"/>
          </w:tcPr>
          <w:p w14:paraId="550F9619">
            <w:pPr>
              <w:jc w:val="center"/>
            </w:pPr>
            <w:r>
              <w:rPr>
                <w:rFonts w:ascii="宋体" w:hAnsi="宋体" w:eastAsia="宋体"/>
                <w:sz w:val="24"/>
              </w:rPr>
              <w:t>(2024年度)</w:t>
            </w:r>
          </w:p>
        </w:tc>
      </w:tr>
      <w:tr w14:paraId="1C0EFC3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0DBD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3B9A473">
            <w:pPr>
              <w:jc w:val="center"/>
            </w:pPr>
            <w:r>
              <w:rPr>
                <w:rFonts w:ascii="宋体" w:hAnsi="宋体" w:eastAsia="宋体"/>
                <w:sz w:val="16"/>
              </w:rPr>
              <w:t>普法和司法等工作经费项目</w:t>
            </w:r>
          </w:p>
        </w:tc>
      </w:tr>
      <w:tr w14:paraId="69FAE46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5880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7223CE">
            <w:pPr>
              <w:jc w:val="center"/>
            </w:pPr>
            <w:r>
              <w:rPr>
                <w:rFonts w:ascii="宋体" w:hAnsi="宋体" w:eastAsia="宋体"/>
                <w:sz w:val="16"/>
              </w:rPr>
              <w:t>克孜勒苏柯尔克孜自治州司法局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2EE4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7A22C9E">
            <w:pPr>
              <w:jc w:val="center"/>
            </w:pPr>
            <w:r>
              <w:rPr>
                <w:rFonts w:ascii="宋体" w:hAnsi="宋体" w:eastAsia="宋体"/>
                <w:sz w:val="16"/>
              </w:rPr>
              <w:t>克孜勒苏柯尔克孜自治州司法局</w:t>
            </w:r>
          </w:p>
        </w:tc>
      </w:tr>
      <w:tr w14:paraId="7B65BA3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E76FD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635CC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74B65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2987A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A381D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720D4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97E10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4F683">
            <w:pPr>
              <w:jc w:val="center"/>
            </w:pPr>
            <w:r>
              <w:rPr>
                <w:rFonts w:ascii="宋体" w:hAnsi="宋体" w:eastAsia="宋体"/>
                <w:sz w:val="16"/>
              </w:rPr>
              <w:t>得分</w:t>
            </w:r>
          </w:p>
        </w:tc>
      </w:tr>
      <w:tr w14:paraId="2A8A9A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D0D54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7C463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663273">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EF4AD1">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FA27C3">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B6C7E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AECAA5">
            <w:pPr>
              <w:jc w:val="center"/>
            </w:pPr>
            <w:r>
              <w:rPr>
                <w:rFonts w:ascii="宋体" w:hAnsi="宋体" w:eastAsia="宋体"/>
                <w:sz w:val="16"/>
              </w:rPr>
              <w:t>100.0</w:t>
            </w:r>
            <w:r>
              <w:rPr>
                <w:rFonts w:hint="eastAsia" w:ascii="宋体" w:hAnsi="宋体"/>
                <w:sz w:val="16"/>
                <w:lang w:val="en-US" w:eastAsia="zh-CN"/>
              </w:rPr>
              <w:t>0</w:t>
            </w: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B2DAF">
            <w:pPr>
              <w:jc w:val="center"/>
            </w:pPr>
            <w:r>
              <w:rPr>
                <w:rFonts w:ascii="宋体" w:hAnsi="宋体" w:eastAsia="宋体"/>
                <w:sz w:val="16"/>
              </w:rPr>
              <w:t>10.00分</w:t>
            </w:r>
          </w:p>
        </w:tc>
      </w:tr>
      <w:tr w14:paraId="7D9B49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E9301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E93A7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E257BA">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A73D48">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8209BA">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3C2A4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891A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F783B">
            <w:pPr>
              <w:jc w:val="center"/>
            </w:pPr>
            <w:r>
              <w:rPr>
                <w:rFonts w:ascii="宋体" w:hAnsi="宋体" w:eastAsia="宋体"/>
                <w:sz w:val="16"/>
              </w:rPr>
              <w:t>—</w:t>
            </w:r>
          </w:p>
        </w:tc>
      </w:tr>
      <w:tr w14:paraId="7EC38F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90165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509DC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CBAB5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37A0D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783A3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68BD1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5D47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AC8BA">
            <w:pPr>
              <w:jc w:val="center"/>
            </w:pPr>
            <w:r>
              <w:rPr>
                <w:rFonts w:ascii="宋体" w:hAnsi="宋体" w:eastAsia="宋体"/>
                <w:sz w:val="16"/>
              </w:rPr>
              <w:t>—</w:t>
            </w:r>
          </w:p>
        </w:tc>
      </w:tr>
      <w:tr w14:paraId="1D20249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A0CD5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9A639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F3301DF">
            <w:pPr>
              <w:jc w:val="center"/>
            </w:pPr>
            <w:r>
              <w:rPr>
                <w:rFonts w:ascii="宋体" w:hAnsi="宋体" w:eastAsia="宋体"/>
                <w:sz w:val="16"/>
              </w:rPr>
              <w:t>实际完成情况</w:t>
            </w:r>
          </w:p>
        </w:tc>
      </w:tr>
      <w:tr w14:paraId="61265D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9FA89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D5D034">
            <w:pPr>
              <w:jc w:val="both"/>
            </w:pPr>
            <w:r>
              <w:rPr>
                <w:rFonts w:ascii="宋体" w:hAnsi="宋体" w:eastAsia="宋体"/>
                <w:sz w:val="16"/>
              </w:rPr>
              <w:t>该项目总投资25万元，其中：财政资金25万元，其他资金0万元，该项目资金主要用于深入开展法治宣传教育，增强全民法治观念，为认真贯彻落实党的十九大和</w:t>
            </w:r>
            <w:r>
              <w:rPr>
                <w:rFonts w:hint="eastAsia" w:ascii="宋体" w:hAnsi="宋体"/>
                <w:sz w:val="16"/>
                <w:lang w:eastAsia="zh-CN"/>
              </w:rPr>
              <w:t>党的二十大精神</w:t>
            </w:r>
            <w:r>
              <w:rPr>
                <w:rFonts w:ascii="宋体" w:hAnsi="宋体" w:eastAsia="宋体"/>
                <w:sz w:val="16"/>
              </w:rPr>
              <w:t>，加大全民普法力度，提高全民法治素养，推进“八五”普法各项任务的全面落实。通过该项目的实施，对推动社会法治建设，维护社会稳定具有</w:t>
            </w:r>
            <w:r>
              <w:rPr>
                <w:rFonts w:hint="eastAsia" w:ascii="宋体" w:hAnsi="宋体"/>
                <w:sz w:val="16"/>
                <w:lang w:eastAsia="zh-CN"/>
              </w:rPr>
              <w:t>十分重要的意义</w:t>
            </w:r>
            <w:r>
              <w:rPr>
                <w:rFonts w:ascii="宋体" w:hAnsi="宋体" w:eastAsia="宋体"/>
                <w:sz w:val="16"/>
              </w:rPr>
              <w:t>；普法教育工作机制健全、有效运行，法治宣传教育广泛开展、成效显著，依法治理深入推进、基础扎实，公民法治观念和法律意识进一步增强，全社会厉行法治的积极性和主动性进一步提高，树立守法光荣、违法可耻的氛围进一步浓厚。</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A035022">
            <w:pPr>
              <w:jc w:val="both"/>
            </w:pPr>
            <w:r>
              <w:rPr>
                <w:rFonts w:ascii="宋体" w:hAnsi="宋体" w:eastAsia="宋体"/>
                <w:sz w:val="16"/>
              </w:rPr>
              <w:t>截止至2024年12月31日支出20万元，其中：财政资金30万元，其他资金0万元，该项目资金主要用于深入开展法治宣传教育，增强全民法治观念，为认真贯彻落实党的十九大和</w:t>
            </w:r>
            <w:r>
              <w:rPr>
                <w:rFonts w:hint="eastAsia" w:ascii="宋体" w:hAnsi="宋体"/>
                <w:sz w:val="16"/>
                <w:lang w:eastAsia="zh-CN"/>
              </w:rPr>
              <w:t>党的二十大精神</w:t>
            </w:r>
            <w:r>
              <w:rPr>
                <w:rFonts w:ascii="宋体" w:hAnsi="宋体" w:eastAsia="宋体"/>
                <w:sz w:val="16"/>
              </w:rPr>
              <w:t>，加大全民普法力度，提高全民法治素养，推进“八五”普法各项任务的全面落实。通过该项目的实施，对推动社会法治建设，维护社会稳定具有</w:t>
            </w:r>
            <w:r>
              <w:rPr>
                <w:rFonts w:hint="eastAsia" w:ascii="宋体" w:hAnsi="宋体"/>
                <w:sz w:val="16"/>
                <w:lang w:eastAsia="zh-CN"/>
              </w:rPr>
              <w:t>十分重要的意义</w:t>
            </w:r>
            <w:r>
              <w:rPr>
                <w:rFonts w:ascii="宋体" w:hAnsi="宋体" w:eastAsia="宋体"/>
                <w:sz w:val="16"/>
              </w:rPr>
              <w:t>；普法教育工作机制健全、有效运行，法治宣传教育广泛开展、成效显著，依法治理深入推进、基础扎实，公民法治观念和法律意识进一步增强，全社会厉行法治的积极性和主动性进一步提高，树立守法光荣、违法可耻的氛围进一步浓厚。</w:t>
            </w:r>
          </w:p>
        </w:tc>
      </w:tr>
      <w:tr w14:paraId="1E89816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9E2B6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5E4B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D9D4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5103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304C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FD65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279B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B4BD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8E01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BDDC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1D50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2F09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175DA1">
            <w:pPr>
              <w:jc w:val="center"/>
            </w:pPr>
            <w:r>
              <w:rPr>
                <w:rFonts w:ascii="宋体" w:hAnsi="宋体" w:eastAsia="宋体"/>
                <w:sz w:val="16"/>
              </w:rPr>
              <w:t>偏差原因分析及改进措施</w:t>
            </w:r>
          </w:p>
        </w:tc>
      </w:tr>
      <w:tr w14:paraId="70CCED2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11846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48C2E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2F5FD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6D0A1">
            <w:pPr>
              <w:jc w:val="center"/>
            </w:pPr>
            <w:r>
              <w:rPr>
                <w:rFonts w:ascii="宋体" w:hAnsi="宋体" w:eastAsia="宋体"/>
                <w:sz w:val="16"/>
              </w:rPr>
              <w:t>维护普法依法治理云平台账号数量（个）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418B0">
            <w:pPr>
              <w:jc w:val="center"/>
            </w:pPr>
            <w:r>
              <w:rPr>
                <w:rFonts w:ascii="宋体" w:hAnsi="宋体" w:eastAsia="宋体"/>
                <w:sz w:val="16"/>
              </w:rPr>
              <w:t>&gt;=9000个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451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26C0B">
            <w:pPr>
              <w:jc w:val="center"/>
            </w:pPr>
            <w:r>
              <w:rPr>
                <w:rFonts w:ascii="宋体" w:hAnsi="宋体" w:eastAsia="宋体"/>
                <w:sz w:val="16"/>
              </w:rPr>
              <w:t>7700个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296B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FED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9D0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B7AE5">
            <w:pPr>
              <w:jc w:val="center"/>
            </w:pPr>
            <w:r>
              <w:rPr>
                <w:rFonts w:ascii="宋体" w:hAnsi="宋体" w:eastAsia="宋体"/>
                <w:sz w:val="16"/>
              </w:rPr>
              <w:t>=9000个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254B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5007B9">
            <w:pPr>
              <w:jc w:val="center"/>
            </w:pPr>
          </w:p>
        </w:tc>
      </w:tr>
      <w:tr w14:paraId="7A5339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3314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0E2F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44ED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AC562">
            <w:pPr>
              <w:jc w:val="center"/>
            </w:pPr>
            <w:r>
              <w:rPr>
                <w:rFonts w:ascii="宋体" w:hAnsi="宋体" w:eastAsia="宋体"/>
                <w:sz w:val="16"/>
              </w:rPr>
              <w:t>购买法律宣传品及书籍等（批）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0EC2E">
            <w:pPr>
              <w:jc w:val="center"/>
            </w:pPr>
            <w:r>
              <w:rPr>
                <w:rFonts w:ascii="宋体" w:hAnsi="宋体" w:eastAsia="宋体"/>
                <w:sz w:val="16"/>
              </w:rPr>
              <w:t>&gt;=6批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AC5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A8D2B">
            <w:pPr>
              <w:jc w:val="center"/>
            </w:pPr>
            <w:r>
              <w:rPr>
                <w:rFonts w:ascii="宋体" w:hAnsi="宋体" w:eastAsia="宋体"/>
                <w:sz w:val="16"/>
              </w:rPr>
              <w:t>5批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65CA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23B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0A1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65ECF">
            <w:pPr>
              <w:jc w:val="center"/>
            </w:pPr>
            <w:r>
              <w:rPr>
                <w:rFonts w:ascii="宋体" w:hAnsi="宋体" w:eastAsia="宋体"/>
                <w:sz w:val="16"/>
              </w:rPr>
              <w:t>=6批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79B8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59EB7B">
            <w:pPr>
              <w:jc w:val="center"/>
            </w:pPr>
          </w:p>
        </w:tc>
      </w:tr>
      <w:tr w14:paraId="32309C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AFE9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8374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3F01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992E0">
            <w:pPr>
              <w:jc w:val="center"/>
            </w:pPr>
            <w:r>
              <w:rPr>
                <w:rFonts w:ascii="宋体" w:hAnsi="宋体" w:eastAsia="宋体"/>
                <w:sz w:val="16"/>
              </w:rPr>
              <w:t>开展法律知识讲座（次）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E2BFF">
            <w:pPr>
              <w:jc w:val="center"/>
            </w:pPr>
            <w:r>
              <w:rPr>
                <w:rFonts w:ascii="宋体" w:hAnsi="宋体" w:eastAsia="宋体"/>
                <w:sz w:val="16"/>
              </w:rPr>
              <w:t>&gt;=12次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7B6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0D165">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F67C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336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D54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20930">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7C71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EF83B0">
            <w:pPr>
              <w:jc w:val="center"/>
            </w:pPr>
          </w:p>
        </w:tc>
      </w:tr>
      <w:tr w14:paraId="52575C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BBF0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261A2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A5C02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D4D13">
            <w:pPr>
              <w:jc w:val="center"/>
            </w:pPr>
            <w:r>
              <w:rPr>
                <w:rFonts w:ascii="宋体" w:hAnsi="宋体" w:eastAsia="宋体"/>
                <w:sz w:val="16"/>
              </w:rPr>
              <w:t>法宣书籍验收合格率（%）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6E5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728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16A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1D14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7BD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947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9C5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36E0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AFE42F">
            <w:pPr>
              <w:jc w:val="center"/>
            </w:pPr>
          </w:p>
        </w:tc>
      </w:tr>
      <w:tr w14:paraId="6242B9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32F4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0DD7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7AF0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FAC90">
            <w:pPr>
              <w:jc w:val="center"/>
            </w:pPr>
            <w:r>
              <w:rPr>
                <w:rFonts w:ascii="宋体" w:hAnsi="宋体" w:eastAsia="宋体"/>
                <w:sz w:val="16"/>
              </w:rPr>
              <w:t>宪法宣传品验收合格率（%）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7BC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F33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686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960E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741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D50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E5A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7370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A3C069">
            <w:pPr>
              <w:jc w:val="center"/>
            </w:pPr>
          </w:p>
        </w:tc>
      </w:tr>
      <w:tr w14:paraId="3EB597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7988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2E3E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0107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B09EF">
            <w:pPr>
              <w:jc w:val="center"/>
            </w:pPr>
            <w:r>
              <w:rPr>
                <w:rFonts w:ascii="宋体" w:hAnsi="宋体" w:eastAsia="宋体"/>
                <w:sz w:val="16"/>
              </w:rPr>
              <w:t>法律知识讲座参与率（%）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91A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D30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0E0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9F49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ED8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4B0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825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08E4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ED7CAF">
            <w:pPr>
              <w:jc w:val="center"/>
            </w:pPr>
          </w:p>
        </w:tc>
      </w:tr>
      <w:tr w14:paraId="286559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D96F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C9E55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7D0D0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499B3">
            <w:pPr>
              <w:jc w:val="center"/>
            </w:pPr>
            <w:r>
              <w:rPr>
                <w:rFonts w:ascii="宋体" w:hAnsi="宋体" w:eastAsia="宋体"/>
                <w:sz w:val="16"/>
              </w:rPr>
              <w:t>普法依法治理云平台账号使用期限（月）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726DB">
            <w:pPr>
              <w:jc w:val="center"/>
            </w:pPr>
            <w:r>
              <w:rPr>
                <w:rFonts w:ascii="宋体" w:hAnsi="宋体" w:eastAsia="宋体"/>
                <w:sz w:val="16"/>
              </w:rPr>
              <w:t>=12个月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9B9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87A35">
            <w:pPr>
              <w:jc w:val="center"/>
            </w:pPr>
            <w:r>
              <w:rPr>
                <w:rFonts w:ascii="宋体" w:hAnsi="宋体" w:eastAsia="宋体"/>
                <w:sz w:val="16"/>
              </w:rPr>
              <w:t>12个月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DEAD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90D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624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57AE3">
            <w:pPr>
              <w:jc w:val="center"/>
            </w:pPr>
            <w:r>
              <w:rPr>
                <w:rFonts w:ascii="宋体" w:hAnsi="宋体" w:eastAsia="宋体"/>
                <w:sz w:val="16"/>
              </w:rPr>
              <w:t>=12个月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C179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7A23B4">
            <w:pPr>
              <w:jc w:val="center"/>
            </w:pPr>
          </w:p>
        </w:tc>
      </w:tr>
      <w:tr w14:paraId="093F8B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3517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97C7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0E51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EAA4F">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BCD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3CA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CA9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AFBD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492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042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7D0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1221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586D4C">
            <w:pPr>
              <w:jc w:val="center"/>
            </w:pPr>
          </w:p>
        </w:tc>
      </w:tr>
      <w:tr w14:paraId="471BEF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F9EE6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2F1A6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0E551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A64AC">
            <w:pPr>
              <w:jc w:val="center"/>
            </w:pPr>
            <w:r>
              <w:rPr>
                <w:rFonts w:ascii="宋体" w:hAnsi="宋体" w:eastAsia="宋体"/>
                <w:sz w:val="16"/>
              </w:rPr>
              <w:t>维护普法依法治理云平台账号成本(万元）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53EAF">
            <w:pPr>
              <w:jc w:val="center"/>
            </w:pPr>
            <w:r>
              <w:rPr>
                <w:rFonts w:ascii="宋体" w:hAnsi="宋体" w:eastAsia="宋体"/>
                <w:sz w:val="16"/>
              </w:rPr>
              <w:t>&lt;=5元/个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43FC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4AAB8">
            <w:pPr>
              <w:jc w:val="center"/>
            </w:pPr>
            <w:r>
              <w:rPr>
                <w:rFonts w:ascii="宋体" w:hAnsi="宋体" w:eastAsia="宋体"/>
                <w:sz w:val="16"/>
              </w:rPr>
              <w:t>5元/个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9079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B9C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F80F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A3633">
            <w:pPr>
              <w:jc w:val="center"/>
            </w:pPr>
            <w:r>
              <w:rPr>
                <w:rFonts w:ascii="宋体" w:hAnsi="宋体" w:eastAsia="宋体"/>
                <w:sz w:val="16"/>
              </w:rPr>
              <w:t>=5元/个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2080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5D52F9">
            <w:pPr>
              <w:jc w:val="center"/>
            </w:pPr>
          </w:p>
        </w:tc>
      </w:tr>
      <w:tr w14:paraId="6F5F90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008A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45B7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C624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274E9">
            <w:pPr>
              <w:jc w:val="center"/>
            </w:pPr>
            <w:r>
              <w:rPr>
                <w:rFonts w:ascii="宋体" w:hAnsi="宋体" w:eastAsia="宋体"/>
                <w:sz w:val="16"/>
              </w:rPr>
              <w:t>购买法律宣传品及书籍等成本(万元）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7A93F">
            <w:pPr>
              <w:jc w:val="center"/>
            </w:pPr>
            <w:r>
              <w:rPr>
                <w:rFonts w:ascii="宋体" w:hAnsi="宋体" w:eastAsia="宋体"/>
                <w:sz w:val="16"/>
              </w:rPr>
              <w:t>&lt;=13.5万元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8281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A0A97">
            <w:pPr>
              <w:jc w:val="center"/>
            </w:pPr>
            <w:r>
              <w:rPr>
                <w:rFonts w:ascii="宋体" w:hAnsi="宋体" w:eastAsia="宋体"/>
                <w:sz w:val="16"/>
              </w:rPr>
              <w:t>13.85万元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DAC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C98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E8B6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0189E">
            <w:pPr>
              <w:jc w:val="center"/>
            </w:pPr>
            <w:r>
              <w:rPr>
                <w:rFonts w:ascii="宋体" w:hAnsi="宋体" w:eastAsia="宋体"/>
                <w:sz w:val="16"/>
              </w:rPr>
              <w:t>=13.5万元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909A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579695">
            <w:pPr>
              <w:jc w:val="center"/>
            </w:pPr>
          </w:p>
        </w:tc>
      </w:tr>
      <w:tr w14:paraId="1BD91D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7475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E82C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C56E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E19A1">
            <w:pPr>
              <w:jc w:val="center"/>
            </w:pPr>
            <w:r>
              <w:rPr>
                <w:rFonts w:ascii="宋体" w:hAnsi="宋体" w:eastAsia="宋体"/>
                <w:sz w:val="16"/>
              </w:rPr>
              <w:t>开展法律知识讲座成本(万元）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CAC4F">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6707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102AA">
            <w:pPr>
              <w:jc w:val="center"/>
            </w:pPr>
            <w:r>
              <w:rPr>
                <w:rFonts w:ascii="宋体" w:hAnsi="宋体" w:eastAsia="宋体"/>
                <w:sz w:val="16"/>
              </w:rPr>
              <w:t>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3D5D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E26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3BCB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1DED6">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C044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0C5D20">
            <w:pPr>
              <w:jc w:val="center"/>
            </w:pPr>
          </w:p>
        </w:tc>
      </w:tr>
      <w:tr w14:paraId="01B119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EED43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35DE1D">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EE853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D79A7">
            <w:pPr>
              <w:jc w:val="center"/>
            </w:pPr>
            <w:r>
              <w:rPr>
                <w:rFonts w:ascii="宋体" w:hAnsi="宋体" w:eastAsia="宋体"/>
                <w:sz w:val="16"/>
              </w:rPr>
              <w:t>普法宣传知晓率（%）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758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46B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589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8D39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E66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BD1B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A55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D6E2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86992F">
            <w:pPr>
              <w:jc w:val="center"/>
            </w:pPr>
          </w:p>
        </w:tc>
      </w:tr>
      <w:tr w14:paraId="1D0376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C898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B51C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10E7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A2776">
            <w:pPr>
              <w:jc w:val="center"/>
            </w:pPr>
            <w:r>
              <w:rPr>
                <w:rFonts w:ascii="宋体" w:hAnsi="宋体" w:eastAsia="宋体"/>
                <w:sz w:val="16"/>
              </w:rPr>
              <w:t>增强公民法治观念和法律意识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76D07">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59C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B87BA">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E556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72EE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43C6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D46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0F20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892223">
            <w:pPr>
              <w:jc w:val="center"/>
            </w:pPr>
          </w:p>
        </w:tc>
      </w:tr>
      <w:tr w14:paraId="4C4AE6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1C43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8EFF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51EC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1F85D">
            <w:pPr>
              <w:jc w:val="center"/>
            </w:pPr>
            <w:r>
              <w:rPr>
                <w:rFonts w:ascii="宋体" w:hAnsi="宋体" w:eastAsia="宋体"/>
                <w:sz w:val="16"/>
              </w:rPr>
              <w:t>推动社会法治建设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1D837">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562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458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5C25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9DA2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D8B8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512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3B87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AC194A">
            <w:pPr>
              <w:jc w:val="center"/>
            </w:pPr>
          </w:p>
        </w:tc>
      </w:tr>
      <w:tr w14:paraId="01459A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4C8EA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AD04E8">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94D88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C96D2">
            <w:pPr>
              <w:jc w:val="center"/>
            </w:pPr>
            <w:r>
              <w:rPr>
                <w:rFonts w:ascii="宋体" w:hAnsi="宋体" w:eastAsia="宋体"/>
                <w:sz w:val="16"/>
              </w:rPr>
              <w:t>受益单位满意度（%）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7D7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E9E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1F8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3A33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42DB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313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160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C1DD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B5DC26">
            <w:pPr>
              <w:jc w:val="center"/>
            </w:pPr>
          </w:p>
        </w:tc>
      </w:tr>
      <w:tr w14:paraId="18B63C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880B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96FE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94BD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E8084">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DB01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AF6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F3A7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030D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984A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939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95DC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6568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759665">
            <w:pPr>
              <w:jc w:val="center"/>
            </w:pPr>
          </w:p>
        </w:tc>
      </w:tr>
      <w:tr w14:paraId="6EC667E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0F1DF">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3C0A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E55EA">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E6C54C5">
            <w:pPr>
              <w:jc w:val="center"/>
            </w:pPr>
            <w:r>
              <w:rPr>
                <w:rFonts w:ascii="宋体" w:hAnsi="宋体" w:eastAsia="宋体"/>
                <w:sz w:val="16"/>
              </w:rPr>
              <w:t>100分</w:t>
            </w:r>
          </w:p>
        </w:tc>
      </w:tr>
    </w:tbl>
    <w:p w14:paraId="2193C0C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35ACBA3F">
        <w:tc>
          <w:tcPr>
            <w:tcW w:w="8848" w:type="dxa"/>
            <w:gridSpan w:val="14"/>
            <w:vAlign w:val="center"/>
          </w:tcPr>
          <w:p w14:paraId="7C80D1EF">
            <w:pPr>
              <w:jc w:val="center"/>
            </w:pPr>
            <w:r>
              <w:rPr>
                <w:rFonts w:ascii="宋体" w:hAnsi="宋体" w:eastAsia="宋体"/>
                <w:sz w:val="24"/>
              </w:rPr>
              <w:t>项目支出绩效自评表</w:t>
            </w:r>
          </w:p>
        </w:tc>
      </w:tr>
      <w:tr w14:paraId="5E5828CF">
        <w:tblPrEx>
          <w:tblCellMar>
            <w:top w:w="0" w:type="dxa"/>
            <w:left w:w="108" w:type="dxa"/>
            <w:bottom w:w="0" w:type="dxa"/>
            <w:right w:w="108" w:type="dxa"/>
          </w:tblCellMar>
        </w:tblPrEx>
        <w:tc>
          <w:tcPr>
            <w:tcW w:w="8848" w:type="dxa"/>
            <w:gridSpan w:val="14"/>
            <w:vAlign w:val="center"/>
          </w:tcPr>
          <w:p w14:paraId="263A6CDB">
            <w:pPr>
              <w:jc w:val="center"/>
            </w:pPr>
            <w:r>
              <w:rPr>
                <w:rFonts w:ascii="宋体" w:hAnsi="宋体" w:eastAsia="宋体"/>
                <w:sz w:val="24"/>
              </w:rPr>
              <w:t>(2024年度)</w:t>
            </w:r>
          </w:p>
        </w:tc>
      </w:tr>
      <w:tr w14:paraId="46AACEE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12ED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389F984">
            <w:pPr>
              <w:jc w:val="center"/>
            </w:pPr>
            <w:r>
              <w:rPr>
                <w:rFonts w:ascii="宋体" w:hAnsi="宋体" w:eastAsia="宋体"/>
                <w:sz w:val="16"/>
              </w:rPr>
              <w:t>结转为民办实事经费</w:t>
            </w:r>
          </w:p>
        </w:tc>
      </w:tr>
      <w:tr w14:paraId="1B52901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2779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3F0F32">
            <w:pPr>
              <w:jc w:val="center"/>
            </w:pPr>
            <w:r>
              <w:rPr>
                <w:rFonts w:ascii="宋体" w:hAnsi="宋体" w:eastAsia="宋体"/>
                <w:sz w:val="16"/>
              </w:rPr>
              <w:t>克孜勒苏柯尔克孜自治州司法局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8B7C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DF14493">
            <w:pPr>
              <w:jc w:val="center"/>
            </w:pPr>
            <w:r>
              <w:rPr>
                <w:rFonts w:ascii="宋体" w:hAnsi="宋体" w:eastAsia="宋体"/>
                <w:sz w:val="16"/>
              </w:rPr>
              <w:t>克孜勒苏柯尔克孜自治州司法局</w:t>
            </w:r>
          </w:p>
        </w:tc>
      </w:tr>
      <w:tr w14:paraId="473EF5D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508D0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24309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7D9C7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79D63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A3710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20F4F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C237C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7FE55">
            <w:pPr>
              <w:jc w:val="center"/>
            </w:pPr>
            <w:r>
              <w:rPr>
                <w:rFonts w:ascii="宋体" w:hAnsi="宋体" w:eastAsia="宋体"/>
                <w:sz w:val="16"/>
              </w:rPr>
              <w:t>得分</w:t>
            </w:r>
          </w:p>
        </w:tc>
      </w:tr>
      <w:tr w14:paraId="2A8C3E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603FC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81667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B6B9C7">
            <w:pPr>
              <w:jc w:val="center"/>
            </w:pPr>
            <w:r>
              <w:rPr>
                <w:rFonts w:ascii="宋体" w:hAnsi="宋体" w:eastAsia="宋体"/>
                <w:sz w:val="16"/>
              </w:rPr>
              <w:t>0.82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E8C102">
            <w:pPr>
              <w:jc w:val="center"/>
            </w:pPr>
            <w:r>
              <w:rPr>
                <w:rFonts w:ascii="宋体" w:hAnsi="宋体" w:eastAsia="宋体"/>
                <w:sz w:val="16"/>
              </w:rPr>
              <w:t>0.82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702AF5">
            <w:pPr>
              <w:jc w:val="center"/>
            </w:pPr>
            <w:r>
              <w:rPr>
                <w:rFonts w:ascii="宋体" w:hAnsi="宋体" w:eastAsia="宋体"/>
                <w:sz w:val="16"/>
              </w:rPr>
              <w:t>0.82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4AAB7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2C2A6C">
            <w:pPr>
              <w:jc w:val="center"/>
            </w:pPr>
            <w:r>
              <w:rPr>
                <w:rFonts w:ascii="宋体" w:hAnsi="宋体" w:eastAsia="宋体"/>
                <w:sz w:val="16"/>
              </w:rPr>
              <w:t>100.</w:t>
            </w:r>
            <w:r>
              <w:rPr>
                <w:rFonts w:hint="eastAsia" w:ascii="宋体" w:hAnsi="宋体"/>
                <w:sz w:val="16"/>
                <w:lang w:val="en-US" w:eastAsia="zh-CN"/>
              </w:rPr>
              <w:t>0</w:t>
            </w: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C99E4">
            <w:pPr>
              <w:jc w:val="center"/>
            </w:pPr>
            <w:r>
              <w:rPr>
                <w:rFonts w:ascii="宋体" w:hAnsi="宋体" w:eastAsia="宋体"/>
                <w:sz w:val="16"/>
              </w:rPr>
              <w:t>10.00分</w:t>
            </w:r>
          </w:p>
        </w:tc>
      </w:tr>
      <w:tr w14:paraId="0C21FB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1244A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6FF8C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177057">
            <w:pPr>
              <w:jc w:val="center"/>
            </w:pPr>
            <w:r>
              <w:rPr>
                <w:rFonts w:ascii="宋体" w:hAnsi="宋体" w:eastAsia="宋体"/>
                <w:sz w:val="16"/>
              </w:rPr>
              <w:t>0.82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6EFEAF">
            <w:pPr>
              <w:jc w:val="center"/>
            </w:pPr>
            <w:r>
              <w:rPr>
                <w:rFonts w:ascii="宋体" w:hAnsi="宋体" w:eastAsia="宋体"/>
                <w:sz w:val="16"/>
              </w:rPr>
              <w:t>0.82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36A078">
            <w:pPr>
              <w:jc w:val="center"/>
            </w:pPr>
            <w:r>
              <w:rPr>
                <w:rFonts w:ascii="宋体" w:hAnsi="宋体" w:eastAsia="宋体"/>
                <w:sz w:val="16"/>
              </w:rPr>
              <w:t>0.82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DFAD8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5D49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C5A4B">
            <w:pPr>
              <w:jc w:val="center"/>
            </w:pPr>
            <w:r>
              <w:rPr>
                <w:rFonts w:ascii="宋体" w:hAnsi="宋体" w:eastAsia="宋体"/>
                <w:sz w:val="16"/>
              </w:rPr>
              <w:t>—</w:t>
            </w:r>
          </w:p>
        </w:tc>
      </w:tr>
      <w:tr w14:paraId="236A92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6B210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73727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B4847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208AE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CD05B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8D279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FBA6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ACAA7">
            <w:pPr>
              <w:jc w:val="center"/>
            </w:pPr>
            <w:r>
              <w:rPr>
                <w:rFonts w:ascii="宋体" w:hAnsi="宋体" w:eastAsia="宋体"/>
                <w:sz w:val="16"/>
              </w:rPr>
              <w:t>—</w:t>
            </w:r>
          </w:p>
        </w:tc>
      </w:tr>
      <w:tr w14:paraId="4527F1B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C46E0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D9D5A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AEA6F02">
            <w:pPr>
              <w:jc w:val="center"/>
            </w:pPr>
            <w:r>
              <w:rPr>
                <w:rFonts w:ascii="宋体" w:hAnsi="宋体" w:eastAsia="宋体"/>
                <w:sz w:val="16"/>
              </w:rPr>
              <w:t>实际完成情况</w:t>
            </w:r>
          </w:p>
        </w:tc>
      </w:tr>
      <w:tr w14:paraId="34DD16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62AC3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714FE5">
            <w:pPr>
              <w:jc w:val="both"/>
            </w:pPr>
            <w:r>
              <w:rPr>
                <w:rFonts w:ascii="宋体" w:hAnsi="宋体" w:eastAsia="宋体"/>
                <w:sz w:val="16"/>
              </w:rPr>
              <w:t>该项目总投资0.82万元，其中：财政资金0.82万元，其他资金0万元，该项目资金主要用于做好对工作队慰问和在驻村点开展各项群众工作的基础保障，保障开展群众工作驻村点1个、宣传开展文体活动次数2次。通过该项目的实施，解决生产生活中的实际困难，加强民族团结，增进民族互信，突出现代文化引领，落实民生建设任务，增加农牧民收入，关心关爱困难群众，实现维护社会稳定和长治久安总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FF13568">
            <w:pPr>
              <w:jc w:val="both"/>
            </w:pPr>
            <w:r>
              <w:rPr>
                <w:rFonts w:ascii="宋体" w:hAnsi="宋体" w:eastAsia="宋体"/>
                <w:sz w:val="16"/>
              </w:rPr>
              <w:t>截止至2024年12月31日，保障开展群众工作驻村点1个、宣传开展文体活动次数2次。通过该项目的实施，解决生产生活中的实际困难，加强民族团结，增进民族互信，突出现代文化引领，落实民生建设任务，增加农牧民收入，关心关爱困难群众，实现维护社会稳定和长治久安总目标。</w:t>
            </w:r>
          </w:p>
        </w:tc>
      </w:tr>
      <w:tr w14:paraId="19FAD5D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D552F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C4F1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141F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0EC3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0B09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9E97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FDE1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FA3F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52CF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8D46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991A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B1D9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F25CB4">
            <w:pPr>
              <w:jc w:val="center"/>
            </w:pPr>
            <w:r>
              <w:rPr>
                <w:rFonts w:ascii="宋体" w:hAnsi="宋体" w:eastAsia="宋体"/>
                <w:sz w:val="16"/>
              </w:rPr>
              <w:t>偏差原因分析及改进措施</w:t>
            </w:r>
          </w:p>
        </w:tc>
      </w:tr>
      <w:tr w14:paraId="0C5301A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2823D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D0477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80360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5DD5C">
            <w:pPr>
              <w:jc w:val="center"/>
            </w:pPr>
            <w:r>
              <w:rPr>
                <w:rFonts w:ascii="宋体" w:hAnsi="宋体" w:eastAsia="宋体"/>
                <w:sz w:val="16"/>
              </w:rPr>
              <w:t>保障开展群众工作驻村点(个）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4C84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EEB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B3F7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B33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87A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335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C9B9C">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1988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85E908">
            <w:pPr>
              <w:jc w:val="center"/>
            </w:pPr>
          </w:p>
        </w:tc>
      </w:tr>
      <w:tr w14:paraId="129F3F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4112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9012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0D3B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34EBB">
            <w:pPr>
              <w:jc w:val="center"/>
            </w:pPr>
            <w:r>
              <w:rPr>
                <w:rFonts w:ascii="宋体" w:hAnsi="宋体" w:eastAsia="宋体"/>
                <w:sz w:val="16"/>
              </w:rPr>
              <w:t>宣传开展文体活动次数（次）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031E6">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54F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7437B">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24AB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4BD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CCA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FDF72">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BFBC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973DB5">
            <w:pPr>
              <w:jc w:val="center"/>
            </w:pPr>
          </w:p>
        </w:tc>
      </w:tr>
      <w:tr w14:paraId="74724E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51CD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B171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949A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EF46D">
            <w:pPr>
              <w:jc w:val="center"/>
            </w:pPr>
            <w:r>
              <w:rPr>
                <w:rFonts w:ascii="宋体" w:hAnsi="宋体" w:eastAsia="宋体"/>
                <w:sz w:val="16"/>
              </w:rPr>
              <w:t>群众活动参与率（%）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E1CE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6D7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2AC8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FD85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9BE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BF3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44F9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DDFE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15FA52">
            <w:pPr>
              <w:jc w:val="center"/>
            </w:pPr>
          </w:p>
        </w:tc>
      </w:tr>
      <w:tr w14:paraId="480EA3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7AEF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1849C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D3316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44130">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E5A8D">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C07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8A1F6">
            <w:pPr>
              <w:jc w:val="center"/>
            </w:pPr>
            <w:r>
              <w:rPr>
                <w:rFonts w:ascii="宋体" w:hAnsi="宋体" w:eastAsia="宋体"/>
                <w:sz w:val="16"/>
              </w:rPr>
              <w:t>2023年12月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70B6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726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1D0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D18A1">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FB6E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83BA74">
            <w:pPr>
              <w:jc w:val="center"/>
            </w:pPr>
          </w:p>
        </w:tc>
      </w:tr>
      <w:tr w14:paraId="7D453D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ED2A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676E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C6EB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90B23">
            <w:pPr>
              <w:jc w:val="center"/>
            </w:pPr>
            <w:r>
              <w:rPr>
                <w:rFonts w:ascii="宋体" w:hAnsi="宋体" w:eastAsia="宋体"/>
                <w:sz w:val="16"/>
              </w:rPr>
              <w:t>活动开展及时率（%）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CD195">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6E4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ADF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D2E4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259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8C4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E58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12E1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64E0D2">
            <w:pPr>
              <w:jc w:val="center"/>
            </w:pPr>
          </w:p>
        </w:tc>
      </w:tr>
      <w:tr w14:paraId="251D7E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1C39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24E0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B28C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43B11">
            <w:pPr>
              <w:jc w:val="center"/>
            </w:pPr>
            <w:r>
              <w:rPr>
                <w:rFonts w:ascii="宋体" w:hAnsi="宋体" w:eastAsia="宋体"/>
                <w:sz w:val="16"/>
              </w:rPr>
              <w:t>开展活动经费（万元）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700E8">
            <w:pPr>
              <w:jc w:val="center"/>
            </w:pPr>
            <w:r>
              <w:rPr>
                <w:rFonts w:ascii="宋体" w:hAnsi="宋体" w:eastAsia="宋体"/>
                <w:sz w:val="16"/>
              </w:rPr>
              <w:t>&lt;=0.82万元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1D01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52F9F">
            <w:pPr>
              <w:jc w:val="center"/>
            </w:pPr>
            <w:r>
              <w:rPr>
                <w:rFonts w:ascii="宋体" w:hAnsi="宋体" w:eastAsia="宋体"/>
                <w:sz w:val="16"/>
              </w:rPr>
              <w:t>14.18万元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4CCC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E98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BB39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CE32E">
            <w:pPr>
              <w:jc w:val="center"/>
            </w:pPr>
            <w:r>
              <w:rPr>
                <w:rFonts w:ascii="宋体" w:hAnsi="宋体" w:eastAsia="宋体"/>
                <w:sz w:val="16"/>
              </w:rPr>
              <w:t>=0.82万元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B9CE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7DAE62">
            <w:pPr>
              <w:jc w:val="center"/>
            </w:pPr>
          </w:p>
        </w:tc>
      </w:tr>
      <w:tr w14:paraId="568D55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B55E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76E4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41BA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0A3BB">
            <w:pPr>
              <w:jc w:val="center"/>
            </w:pPr>
            <w:r>
              <w:rPr>
                <w:rFonts w:ascii="宋体" w:hAnsi="宋体" w:eastAsia="宋体"/>
                <w:sz w:val="16"/>
              </w:rPr>
              <w:t>提高农牧民的幸福感和归属感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886A3">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0F2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A328A">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7A0A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06F2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DE0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0BB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4B3A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6068D0">
            <w:pPr>
              <w:jc w:val="center"/>
            </w:pPr>
          </w:p>
        </w:tc>
      </w:tr>
      <w:tr w14:paraId="39D4E5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E84B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42C1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5865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6E30B">
            <w:pPr>
              <w:jc w:val="center"/>
            </w:pPr>
            <w:r>
              <w:rPr>
                <w:rFonts w:ascii="宋体" w:hAnsi="宋体" w:eastAsia="宋体"/>
                <w:sz w:val="16"/>
              </w:rPr>
              <w:t>驻村村民满意度（%）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3B91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CA4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14E2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3E6D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5DC2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223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416E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4890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CA1FBC">
            <w:pPr>
              <w:jc w:val="center"/>
            </w:pPr>
          </w:p>
        </w:tc>
      </w:tr>
      <w:tr w14:paraId="36DCE2C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B169D">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AA04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7E975">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80897F0">
            <w:pPr>
              <w:jc w:val="center"/>
            </w:pPr>
            <w:r>
              <w:rPr>
                <w:rFonts w:ascii="宋体" w:hAnsi="宋体" w:eastAsia="宋体"/>
                <w:sz w:val="16"/>
              </w:rPr>
              <w:t>100分</w:t>
            </w:r>
          </w:p>
        </w:tc>
      </w:tr>
    </w:tbl>
    <w:p w14:paraId="450947E2">
      <w:r>
        <w:br w:type="page"/>
      </w:r>
    </w:p>
    <w:p w14:paraId="6369933B">
      <w:pPr>
        <w:spacing w:line="640" w:lineRule="exact"/>
        <w:ind w:firstLine="640"/>
        <w:jc w:val="both"/>
        <w:outlineLvl w:val="2"/>
      </w:pPr>
      <w:r>
        <w:rPr>
          <w:rFonts w:ascii="黑体" w:hAnsi="黑体" w:eastAsia="黑体"/>
          <w:sz w:val="32"/>
        </w:rPr>
        <w:t>十二、其他需说明的事项</w:t>
      </w:r>
    </w:p>
    <w:p w14:paraId="15709160">
      <w:pPr>
        <w:spacing w:line="580" w:lineRule="exact"/>
        <w:ind w:firstLine="640"/>
        <w:jc w:val="both"/>
      </w:pPr>
      <w:r>
        <w:rPr>
          <w:rFonts w:ascii="仿宋_GB2312" w:hAnsi="仿宋_GB2312" w:eastAsia="仿宋_GB2312"/>
          <w:b w:val="0"/>
          <w:sz w:val="32"/>
        </w:rPr>
        <w:t>本年本单位SM项目2个，全年预算数301.24万元，全年执行数301.24万元。</w:t>
      </w:r>
    </w:p>
    <w:p w14:paraId="62F3B5A6">
      <w:r>
        <w:br w:type="page"/>
      </w:r>
    </w:p>
    <w:p w14:paraId="751635E6">
      <w:pPr>
        <w:spacing w:line="240" w:lineRule="auto"/>
        <w:jc w:val="center"/>
        <w:outlineLvl w:val="1"/>
      </w:pPr>
      <w:r>
        <w:rPr>
          <w:rFonts w:ascii="黑体" w:hAnsi="黑体" w:eastAsia="黑体"/>
          <w:sz w:val="32"/>
        </w:rPr>
        <w:t>第三部分 专业名词解释</w:t>
      </w:r>
    </w:p>
    <w:p w14:paraId="638E3869">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961DEBA">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EBB39EB">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1BC92EE4">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0385E1DE">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383435D2">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3E8B4121">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D27F456">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D453B5A">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519F3B8">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564AC60">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16FD27A2">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CCFF4A6">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F18FC41">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269A23B3">
      <w:r>
        <w:br w:type="page"/>
      </w:r>
    </w:p>
    <w:p w14:paraId="62D8E7B2">
      <w:pPr>
        <w:spacing w:line="240" w:lineRule="auto"/>
        <w:jc w:val="center"/>
        <w:outlineLvl w:val="1"/>
      </w:pPr>
      <w:r>
        <w:rPr>
          <w:rFonts w:ascii="黑体" w:hAnsi="黑体" w:eastAsia="黑体"/>
          <w:sz w:val="32"/>
        </w:rPr>
        <w:t>第四部分 部门决算报表（见附表）</w:t>
      </w:r>
    </w:p>
    <w:p w14:paraId="4A31C7F4">
      <w:pPr>
        <w:spacing w:line="240" w:lineRule="auto"/>
        <w:ind w:firstLine="640"/>
        <w:jc w:val="both"/>
      </w:pPr>
      <w:r>
        <w:rPr>
          <w:rFonts w:ascii="仿宋_GB2312" w:hAnsi="仿宋_GB2312" w:eastAsia="仿宋_GB2312"/>
          <w:b w:val="0"/>
          <w:sz w:val="32"/>
        </w:rPr>
        <w:t>一、《收入支出决算总表》</w:t>
      </w:r>
    </w:p>
    <w:p w14:paraId="6461E0B2">
      <w:pPr>
        <w:spacing w:line="240" w:lineRule="auto"/>
        <w:ind w:firstLine="640"/>
        <w:jc w:val="both"/>
      </w:pPr>
      <w:r>
        <w:rPr>
          <w:rFonts w:ascii="仿宋_GB2312" w:hAnsi="仿宋_GB2312" w:eastAsia="仿宋_GB2312"/>
          <w:b w:val="0"/>
          <w:sz w:val="32"/>
        </w:rPr>
        <w:t>二、《收入决算表》</w:t>
      </w:r>
    </w:p>
    <w:p w14:paraId="7A42635B">
      <w:pPr>
        <w:spacing w:line="240" w:lineRule="auto"/>
        <w:ind w:firstLine="640"/>
        <w:jc w:val="both"/>
      </w:pPr>
      <w:r>
        <w:rPr>
          <w:rFonts w:ascii="仿宋_GB2312" w:hAnsi="仿宋_GB2312" w:eastAsia="仿宋_GB2312"/>
          <w:b w:val="0"/>
          <w:sz w:val="32"/>
        </w:rPr>
        <w:t>三、《支出决算表》</w:t>
      </w:r>
    </w:p>
    <w:p w14:paraId="44AD00A9">
      <w:pPr>
        <w:spacing w:line="240" w:lineRule="auto"/>
        <w:ind w:firstLine="640"/>
        <w:jc w:val="both"/>
      </w:pPr>
      <w:r>
        <w:rPr>
          <w:rFonts w:ascii="仿宋_GB2312" w:hAnsi="仿宋_GB2312" w:eastAsia="仿宋_GB2312"/>
          <w:b w:val="0"/>
          <w:sz w:val="32"/>
        </w:rPr>
        <w:t>四、《财政拨款收入支出决算总表》</w:t>
      </w:r>
    </w:p>
    <w:p w14:paraId="58E88F3F">
      <w:pPr>
        <w:spacing w:line="240" w:lineRule="auto"/>
        <w:ind w:firstLine="640"/>
        <w:jc w:val="both"/>
      </w:pPr>
      <w:r>
        <w:rPr>
          <w:rFonts w:ascii="仿宋_GB2312" w:hAnsi="仿宋_GB2312" w:eastAsia="仿宋_GB2312"/>
          <w:b w:val="0"/>
          <w:sz w:val="32"/>
        </w:rPr>
        <w:t>五、《一般公共预算财政拨款支出决算表》</w:t>
      </w:r>
    </w:p>
    <w:p w14:paraId="29C9336C">
      <w:pPr>
        <w:spacing w:line="240" w:lineRule="auto"/>
        <w:ind w:firstLine="640"/>
        <w:jc w:val="both"/>
      </w:pPr>
      <w:r>
        <w:rPr>
          <w:rFonts w:ascii="仿宋_GB2312" w:hAnsi="仿宋_GB2312" w:eastAsia="仿宋_GB2312"/>
          <w:b w:val="0"/>
          <w:sz w:val="32"/>
        </w:rPr>
        <w:t>六、《一般公共预算财政拨款基本支出决算表》</w:t>
      </w:r>
    </w:p>
    <w:p w14:paraId="6857CF9D">
      <w:pPr>
        <w:spacing w:line="240" w:lineRule="auto"/>
        <w:ind w:firstLine="640"/>
        <w:jc w:val="both"/>
      </w:pPr>
      <w:r>
        <w:rPr>
          <w:rFonts w:ascii="仿宋_GB2312" w:hAnsi="仿宋_GB2312" w:eastAsia="仿宋_GB2312"/>
          <w:b w:val="0"/>
          <w:sz w:val="32"/>
        </w:rPr>
        <w:t>七、《政府性基金预算财政拨款收入支出决算表》</w:t>
      </w:r>
    </w:p>
    <w:p w14:paraId="45FE9B0A">
      <w:pPr>
        <w:spacing w:line="240" w:lineRule="auto"/>
        <w:ind w:firstLine="640"/>
        <w:jc w:val="both"/>
      </w:pPr>
      <w:r>
        <w:rPr>
          <w:rFonts w:ascii="仿宋_GB2312" w:hAnsi="仿宋_GB2312" w:eastAsia="仿宋_GB2312"/>
          <w:b w:val="0"/>
          <w:sz w:val="32"/>
        </w:rPr>
        <w:t>八、《国有资本经营预算财政拨款收入支出决算表》</w:t>
      </w:r>
    </w:p>
    <w:p w14:paraId="71AA0FAB">
      <w:pPr>
        <w:spacing w:line="240" w:lineRule="auto"/>
        <w:ind w:firstLine="640"/>
        <w:jc w:val="both"/>
      </w:pPr>
      <w:r>
        <w:rPr>
          <w:rFonts w:ascii="仿宋_GB2312" w:hAnsi="仿宋_GB2312" w:eastAsia="仿宋_GB2312"/>
          <w:b w:val="0"/>
          <w:sz w:val="32"/>
        </w:rPr>
        <w:t>九、《财政拨款“三公”经费支出决算表》</w:t>
      </w:r>
    </w:p>
    <w:p w14:paraId="33AD8228">
      <w:pPr>
        <w:spacing w:line="240" w:lineRule="auto"/>
        <w:ind w:firstLine="640"/>
        <w:jc w:val="both"/>
      </w:pPr>
    </w:p>
    <w:p w14:paraId="54FD9A42">
      <w:pPr>
        <w:spacing w:line="240" w:lineRule="auto"/>
        <w:ind w:firstLine="640"/>
        <w:jc w:val="both"/>
      </w:pPr>
    </w:p>
    <w:p w14:paraId="4CE8D596">
      <w:pPr>
        <w:spacing w:line="240" w:lineRule="auto"/>
        <w:ind w:firstLine="640"/>
        <w:jc w:val="both"/>
      </w:pPr>
    </w:p>
    <w:p w14:paraId="03A06D0D">
      <w:pPr>
        <w:spacing w:line="240" w:lineRule="auto"/>
        <w:ind w:firstLine="640"/>
        <w:jc w:val="both"/>
      </w:pPr>
    </w:p>
    <w:p w14:paraId="6ABEAEA1">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2C3A9B9-CC83-45A9-A14E-1CE4BE88C49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31B495C8-3665-4E6F-8F14-5FA3488BEC07}"/>
  </w:font>
  <w:font w:name="仿宋_GB2312">
    <w:panose1 w:val="02010609030101010101"/>
    <w:charset w:val="86"/>
    <w:family w:val="modern"/>
    <w:pitch w:val="default"/>
    <w:sig w:usb0="00000001" w:usb1="080E0000" w:usb2="00000000" w:usb3="00000000" w:csb0="00040000" w:csb1="00000000"/>
    <w:embedRegular r:id="rId3" w:fontKey="{FC37B82D-B25D-44F2-BD0E-16EA6A26FB24}"/>
  </w:font>
  <w:font w:name="楷体_GB2312">
    <w:panose1 w:val="02010609030101010101"/>
    <w:charset w:val="86"/>
    <w:family w:val="auto"/>
    <w:pitch w:val="default"/>
    <w:sig w:usb0="00000001" w:usb1="080E0000" w:usb2="00000000" w:usb3="00000000" w:csb0="00040000" w:csb1="00000000"/>
    <w:embedRegular r:id="rId4" w:fontKey="{D2278396-D7CC-4AC2-8FDD-B7BB7265350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0C528D4"/>
    <w:rsid w:val="021B7195"/>
    <w:rsid w:val="02F73D26"/>
    <w:rsid w:val="034D4FEF"/>
    <w:rsid w:val="043E5B56"/>
    <w:rsid w:val="059E1945"/>
    <w:rsid w:val="06792773"/>
    <w:rsid w:val="09A729D8"/>
    <w:rsid w:val="0A3C58E8"/>
    <w:rsid w:val="0A7B4867"/>
    <w:rsid w:val="0B8C3ECC"/>
    <w:rsid w:val="0BE1433A"/>
    <w:rsid w:val="0C3613A3"/>
    <w:rsid w:val="0C3A0244"/>
    <w:rsid w:val="0C7227A7"/>
    <w:rsid w:val="0C743400"/>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116011"/>
    <w:rsid w:val="2DAE0E44"/>
    <w:rsid w:val="2FBB4D1E"/>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4706A09"/>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80325"/>
    <w:rsid w:val="5AFC6609"/>
    <w:rsid w:val="5FA17648"/>
    <w:rsid w:val="5FD320BD"/>
    <w:rsid w:val="60DE4D57"/>
    <w:rsid w:val="61112140"/>
    <w:rsid w:val="613409CB"/>
    <w:rsid w:val="61A46A97"/>
    <w:rsid w:val="62DD7D21"/>
    <w:rsid w:val="65D97752"/>
    <w:rsid w:val="664C500C"/>
    <w:rsid w:val="67D111AB"/>
    <w:rsid w:val="68DB0208"/>
    <w:rsid w:val="68DF36D5"/>
    <w:rsid w:val="69846A0E"/>
    <w:rsid w:val="69AD798C"/>
    <w:rsid w:val="6A486BD3"/>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32</Pages>
  <Words>5822</Words>
  <Characters>6534</Characters>
  <Lines>0</Lines>
  <Paragraphs>0</Paragraphs>
  <TotalTime>12</TotalTime>
  <ScaleCrop>false</ScaleCrop>
  <LinksUpToDate>false</LinksUpToDate>
  <CharactersWithSpaces>6542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2025-09-02T04:11:29Z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eyJoZGlkIjoiZTEwMTFjZmI3NWUwMGRmYWEyNzFiMzQ2OTlkZWE5ODAiLCJ1c2VySWQiOiI0MzE2NzY3NzkifQ==</vt:lpwstr>
  </property>
</Properties>
</file>