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克孜勒苏柯尔克孜自治州财政局2024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6CE9709">
      <w:r>
        <w:br w:type="page"/>
      </w:r>
    </w:p>
    <w:p w14:paraId="5C44768E">
      <w:pPr>
        <w:spacing w:line="640" w:lineRule="exact"/>
        <w:jc w:val="center"/>
        <w:outlineLvl w:val="1"/>
      </w:pPr>
      <w:r>
        <w:rPr>
          <w:rFonts w:ascii="黑体" w:hAnsi="黑体" w:eastAsia="黑体"/>
          <w:sz w:val="32"/>
        </w:rPr>
        <w:t>第一部分 单位概况</w:t>
      </w:r>
    </w:p>
    <w:p w14:paraId="72EE934F">
      <w:pPr>
        <w:spacing w:line="640" w:lineRule="exact"/>
        <w:ind w:firstLine="640"/>
        <w:jc w:val="both"/>
        <w:outlineLvl w:val="2"/>
      </w:pPr>
      <w:r>
        <w:rPr>
          <w:rFonts w:ascii="黑体" w:hAnsi="黑体" w:eastAsia="黑体"/>
          <w:sz w:val="32"/>
        </w:rPr>
        <w:t>一、主要职能</w:t>
      </w:r>
    </w:p>
    <w:p w14:paraId="206343D7">
      <w:pPr>
        <w:spacing w:line="580" w:lineRule="exact"/>
        <w:ind w:firstLine="640"/>
        <w:jc w:val="both"/>
      </w:pPr>
      <w:r>
        <w:rPr>
          <w:rFonts w:ascii="仿宋_GB2312" w:hAnsi="仿宋_GB2312" w:eastAsia="仿宋_GB2312"/>
          <w:sz w:val="32"/>
        </w:rPr>
        <w:t>（一）根据自治州国民经济和社会发展战略，拟订自治州财政发展战略、中长期财政规划和改革方案并组织实施；分析预测宏观经济形势，参与制定宏观经济政策，提出运用财税政策实施宏观经济调控和综合平衡社会财力的建议；落实自治州与各县（市）财政与企业的分配政策，制定调节收入分配的财税政策，完善促进社会事业发展的财税政策。</w:t>
      </w:r>
    </w:p>
    <w:p w14:paraId="3A6723F6">
      <w:pPr>
        <w:spacing w:line="580" w:lineRule="exact"/>
        <w:ind w:firstLine="640"/>
        <w:jc w:val="both"/>
      </w:pPr>
      <w:r>
        <w:rPr>
          <w:rFonts w:ascii="仿宋_GB2312" w:hAnsi="仿宋_GB2312" w:eastAsia="仿宋_GB2312"/>
          <w:sz w:val="32"/>
        </w:rPr>
        <w:t>（二）承担克州各项财政收支管理责任；负责编制克州本级预决算草案并组织执行；组织制定经费开支标准、定额，负责财政预决算工作；完善自治州对下转移支付制度。</w:t>
      </w:r>
    </w:p>
    <w:p w14:paraId="30F4AF21">
      <w:pPr>
        <w:spacing w:line="580" w:lineRule="exact"/>
        <w:ind w:firstLine="640"/>
        <w:jc w:val="both"/>
      </w:pPr>
      <w:r>
        <w:rPr>
          <w:rFonts w:ascii="仿宋_GB2312" w:hAnsi="仿宋_GB2312" w:eastAsia="仿宋_GB2312"/>
          <w:sz w:val="32"/>
        </w:rPr>
        <w:t>（三）负责配合自治区财政厅组织实施地方性税收立法计划、行政法规草案及实施细则和税收政策调整方案；负责政府非税收入和政府性基金管理；负责行政事业性收费立项和标准管理；制定彩票管理政策和有关办法，按规定管理彩票资金。</w:t>
      </w:r>
    </w:p>
    <w:p w14:paraId="1A5769AF">
      <w:pPr>
        <w:spacing w:line="580" w:lineRule="exact"/>
        <w:ind w:firstLine="640"/>
        <w:jc w:val="both"/>
      </w:pPr>
      <w:r>
        <w:rPr>
          <w:rFonts w:ascii="仿宋_GB2312" w:hAnsi="仿宋_GB2312" w:eastAsia="仿宋_GB2312"/>
          <w:sz w:val="32"/>
        </w:rPr>
        <w:t>（四）组织制定自治州国库</w:t>
      </w:r>
      <w:r>
        <w:rPr>
          <w:rFonts w:hint="eastAsia" w:ascii="仿宋_GB2312" w:hAnsi="仿宋_GB2312" w:eastAsia="仿宋_GB2312"/>
          <w:sz w:val="32"/>
          <w:lang w:eastAsia="zh-CN"/>
        </w:rPr>
        <w:t>管理制度</w:t>
      </w:r>
      <w:r>
        <w:rPr>
          <w:rFonts w:ascii="仿宋_GB2312" w:hAnsi="仿宋_GB2312" w:eastAsia="仿宋_GB2312"/>
          <w:sz w:val="32"/>
        </w:rPr>
        <w:t>、国库集中收付制度；负责制定自治州政府采购制度并监督管理；研究制定政府购买服务制度和政策并组织实施；管理自治州财政统一发放工资工作；会同有关部门管理国家、自治区和自治州财政社会保障和就业及医疗卫生资金管理工作，会同自治州有关部门研究制定社会保障资金（基金）政策和有关的财务管理制度，编制自治州社会保障预决算草案。</w:t>
      </w:r>
    </w:p>
    <w:p w14:paraId="6D0D8DDD">
      <w:pPr>
        <w:spacing w:line="580" w:lineRule="exact"/>
        <w:ind w:firstLine="640"/>
        <w:jc w:val="both"/>
      </w:pPr>
      <w:r>
        <w:rPr>
          <w:rFonts w:ascii="仿宋_GB2312" w:hAnsi="仿宋_GB2312" w:eastAsia="仿宋_GB2312"/>
          <w:sz w:val="32"/>
        </w:rPr>
        <w:t>（五）拟订和执行地方政府债务管理制度和办法，负责落实自治州地方政府债券发行工作；按规定开展地方政府债券管理工作，防范财政风险；开展中亚区域经济合作工作；参与拟定自治州建设投资的有关政策，制定自治州基本建设财务管理制度，负责国家、自治区和自治州政府投资项目财政资金管理工作；制定自治州政府和社会资本合作（PPP）有关政策制度，承担相关规范管理工作；承担有关政策性补贴和专项储备资金财政管理工作；管理各项扶贫资金。</w:t>
      </w:r>
    </w:p>
    <w:p w14:paraId="67B0F55E">
      <w:pPr>
        <w:spacing w:line="580" w:lineRule="exact"/>
        <w:ind w:firstLine="640"/>
        <w:jc w:val="both"/>
      </w:pPr>
      <w:r>
        <w:rPr>
          <w:rFonts w:ascii="仿宋_GB2312" w:hAnsi="仿宋_GB2312" w:eastAsia="仿宋_GB2312"/>
          <w:sz w:val="32"/>
        </w:rPr>
        <w:t>（六）贯彻执行国家行政事业单位国有资产管理法规、制度和方针政策，制定自治州行政事业单位国有资产管理政策制度并组织实施，按规定管理行政事业单位国有资产，履行行政事业单位国有资产购置、使用、处置监督审核职责；负责审核汇总编制国有资本经营预决算草案，制定国有资本经营预算的制度和办法，收取自治州本级企业国有资本收益；研究提出发展自治州具有竞争力的大企业大集团的政策、措施；提出改革国有资产管理办法和完善国有产权管理的意见，拟定国有资产产权界定、登记、划转、处置及产权纠纷调处等方面的规章制度和管理办法；起草国有资产管理和监督的地方性法规和政府规章草案；承办</w:t>
      </w:r>
      <w:r>
        <w:rPr>
          <w:rFonts w:hint="eastAsia" w:ascii="仿宋_GB2312" w:hAnsi="仿宋_GB2312" w:eastAsia="仿宋_GB2312"/>
          <w:sz w:val="32"/>
          <w:lang w:eastAsia="zh-CN"/>
        </w:rPr>
        <w:t>国有资本经营预算</w:t>
      </w:r>
      <w:r>
        <w:rPr>
          <w:rFonts w:ascii="仿宋_GB2312" w:hAnsi="仿宋_GB2312" w:eastAsia="仿宋_GB2312"/>
          <w:sz w:val="32"/>
        </w:rPr>
        <w:t>编制和执行有关工作。</w:t>
      </w:r>
    </w:p>
    <w:p w14:paraId="5CE5701D">
      <w:pPr>
        <w:spacing w:line="580" w:lineRule="exact"/>
        <w:ind w:firstLine="640"/>
        <w:jc w:val="both"/>
      </w:pPr>
      <w:r>
        <w:rPr>
          <w:rFonts w:ascii="仿宋_GB2312" w:hAnsi="仿宋_GB2312" w:eastAsia="仿宋_GB2312"/>
          <w:sz w:val="32"/>
        </w:rPr>
        <w:t>（七）管理和指导会计工作，规范会计行为；组织执行国家统一的会计制度，制定补充规定并贯彻执行；组织管理会计人员的业务培训；指导和监督注册会计师和</w:t>
      </w:r>
      <w:r>
        <w:rPr>
          <w:rFonts w:hint="eastAsia" w:ascii="仿宋_GB2312" w:hAnsi="仿宋_GB2312" w:eastAsia="仿宋_GB2312"/>
          <w:sz w:val="32"/>
          <w:lang w:eastAsia="zh-CN"/>
        </w:rPr>
        <w:t>会计师事务所</w:t>
      </w:r>
      <w:r>
        <w:rPr>
          <w:rFonts w:ascii="仿宋_GB2312" w:hAnsi="仿宋_GB2312" w:eastAsia="仿宋_GB2312"/>
          <w:sz w:val="32"/>
        </w:rPr>
        <w:t>的业务；依法管理资产评估工作，指导和管理社会审计；监督检查财税法规、政策的执行情况，反映财政收支管理中的重大问题，提出加强财政管理的政策建议；贯彻落实财政绩效管理相关政策制度；负责自治州财政系统信息化建设规划并组织实施。</w:t>
      </w:r>
    </w:p>
    <w:p w14:paraId="7E710B9D">
      <w:pPr>
        <w:spacing w:line="580" w:lineRule="exact"/>
        <w:ind w:firstLine="640"/>
        <w:jc w:val="both"/>
      </w:pPr>
      <w:r>
        <w:rPr>
          <w:rFonts w:ascii="仿宋_GB2312" w:hAnsi="仿宋_GB2312" w:eastAsia="仿宋_GB2312"/>
          <w:sz w:val="32"/>
        </w:rPr>
        <w:t>（八）负责制定全州统一的国有金融资本管理规章制度；承担地方金融企业的国有资产和财务的监管工作；依法依规履行国有金融资本管理职责，负责组织实施基础管理、经营预算、绩效考核、负责人薪酬管理等工作；组织政府与金融机构对接合作；负责地方金融监管数据信息的收集、整理、分析；对互联网领域金融风险、地方类金融监管对象进行监测预警；协调组织防范和处置非法集资、防范化解互联网金融行业风险；负责地方资产管理公司、投资公司、小额贷款公司、融资担保公司、典当行、商业保理、融资租赁公司、社会众筹机构的设立、变更审批等，拟定细则并组织实施；负责网络借贷信息中介机构备案登记，协调组织处置风险；按照“管行业必须管安全、管业务必须管安全”的要求，对本行业领域安全生产负行业监管（行业主管）职责，组织开展本行业领域安全生产宣传教育、日常监督检查工作。完成自治州党委、自治州人民政府交办的其他任务。</w:t>
      </w:r>
    </w:p>
    <w:p w14:paraId="6EE577DC">
      <w:pPr>
        <w:spacing w:line="640" w:lineRule="exact"/>
        <w:ind w:firstLine="640"/>
        <w:jc w:val="both"/>
        <w:outlineLvl w:val="2"/>
      </w:pPr>
      <w:r>
        <w:rPr>
          <w:rFonts w:ascii="黑体" w:hAnsi="黑体" w:eastAsia="黑体"/>
          <w:sz w:val="32"/>
        </w:rPr>
        <w:t>二、机构设置及人员情况</w:t>
      </w:r>
    </w:p>
    <w:p w14:paraId="0B53B907">
      <w:pPr>
        <w:spacing w:line="580" w:lineRule="exact"/>
        <w:ind w:firstLine="640"/>
        <w:jc w:val="both"/>
      </w:pPr>
      <w:r>
        <w:rPr>
          <w:rFonts w:ascii="仿宋_GB2312" w:hAnsi="仿宋_GB2312" w:eastAsia="仿宋_GB2312"/>
          <w:sz w:val="32"/>
        </w:rPr>
        <w:t>克孜勒苏柯尔克孜自治州财政局2024年度，实有人数121人，其中：在职人员62人，减少4人；离休人员0人，增加0人；退休人员59人,增加2人。</w:t>
      </w:r>
    </w:p>
    <w:p w14:paraId="4FE37E1E">
      <w:pPr>
        <w:spacing w:line="580" w:lineRule="exact"/>
        <w:ind w:firstLine="640"/>
        <w:jc w:val="both"/>
      </w:pPr>
      <w:r>
        <w:rPr>
          <w:rFonts w:ascii="仿宋_GB2312" w:hAnsi="仿宋_GB2312" w:eastAsia="仿宋_GB2312"/>
          <w:sz w:val="32"/>
        </w:rPr>
        <w:t>克孜勒苏柯尔克孜自治州财政局无下属预算单位，下设23个科室，分别是：办公室、预算科、人事财务科、综合科、国库科、经济企业科、农业农村科、财会监督科、社会保障科、财政监督检查科、国资金融监管科、文行科、国库支付中心、政府采购服务中心、国有资产运营和金融服务中心、财政信息化管理中心、乡镇财政管理中心、乡村振兴资金管理中心、债务管理中心、部门预算审核中心、财政资金绩效评价中心、社会保障基金管理中心、财政工资统发中心。</w:t>
      </w:r>
    </w:p>
    <w:p w14:paraId="4649803D">
      <w:r>
        <w:br w:type="page"/>
      </w:r>
    </w:p>
    <w:p w14:paraId="6F2DC56F">
      <w:pPr>
        <w:spacing w:line="240" w:lineRule="auto"/>
        <w:jc w:val="center"/>
        <w:outlineLvl w:val="1"/>
      </w:pPr>
      <w:r>
        <w:rPr>
          <w:rFonts w:ascii="黑体" w:hAnsi="黑体" w:eastAsia="黑体"/>
          <w:sz w:val="32"/>
        </w:rPr>
        <w:t>第二部分 部门决算情况说明</w:t>
      </w:r>
    </w:p>
    <w:p w14:paraId="1395878E">
      <w:pPr>
        <w:spacing w:line="640" w:lineRule="exact"/>
        <w:ind w:firstLine="640"/>
        <w:jc w:val="both"/>
        <w:outlineLvl w:val="2"/>
      </w:pPr>
      <w:r>
        <w:rPr>
          <w:rFonts w:ascii="黑体" w:hAnsi="黑体" w:eastAsia="黑体"/>
          <w:sz w:val="32"/>
        </w:rPr>
        <w:t>一、收入支出决算总体情况说明</w:t>
      </w:r>
    </w:p>
    <w:p w14:paraId="26B8AA94">
      <w:pPr>
        <w:spacing w:line="580" w:lineRule="exact"/>
        <w:ind w:firstLine="640"/>
        <w:jc w:val="both"/>
      </w:pPr>
      <w:r>
        <w:rPr>
          <w:rFonts w:ascii="仿宋_GB2312" w:hAnsi="仿宋_GB2312" w:eastAsia="仿宋_GB2312"/>
          <w:b/>
          <w:sz w:val="32"/>
        </w:rPr>
        <w:t>2024年度收入总计2,074.25万元，</w:t>
      </w:r>
      <w:r>
        <w:rPr>
          <w:rFonts w:ascii="仿宋_GB2312" w:hAnsi="仿宋_GB2312" w:eastAsia="仿宋_GB2312"/>
          <w:b w:val="0"/>
          <w:sz w:val="32"/>
        </w:rPr>
        <w:t>其中：本年收入合计1,941.65万元，使用非财政拨款结余（含专用结余）0.00万元，年初结转和结余132.60万元。</w:t>
      </w:r>
    </w:p>
    <w:p w14:paraId="7A3D3B13">
      <w:pPr>
        <w:spacing w:line="580" w:lineRule="exact"/>
        <w:ind w:firstLine="640"/>
        <w:jc w:val="both"/>
      </w:pPr>
      <w:r>
        <w:rPr>
          <w:rFonts w:ascii="仿宋_GB2312" w:hAnsi="仿宋_GB2312" w:eastAsia="仿宋_GB2312"/>
          <w:b/>
          <w:sz w:val="32"/>
        </w:rPr>
        <w:t>2024年度支出总计2,074.25万元，</w:t>
      </w:r>
      <w:r>
        <w:rPr>
          <w:rFonts w:ascii="仿宋_GB2312" w:hAnsi="仿宋_GB2312" w:eastAsia="仿宋_GB2312"/>
          <w:b w:val="0"/>
          <w:sz w:val="32"/>
        </w:rPr>
        <w:t>其中：本年支出合计1,866.67万元，结余分配0.00万元，年末结转和结余207.58万元。</w:t>
      </w:r>
    </w:p>
    <w:p w14:paraId="2ACEF205">
      <w:pPr>
        <w:spacing w:line="580" w:lineRule="exact"/>
        <w:ind w:firstLine="640"/>
        <w:jc w:val="both"/>
      </w:pPr>
      <w:r>
        <w:rPr>
          <w:rFonts w:ascii="仿宋_GB2312" w:hAnsi="仿宋_GB2312" w:eastAsia="仿宋_GB2312"/>
          <w:b w:val="0"/>
          <w:sz w:val="32"/>
        </w:rPr>
        <w:t>收入支出总体与上年相比，减少82.56万元，下降3.83%，主要原因是：2023年下半年因机构改革，部分人员划转至克州国资委，2023年上半年人员经费及全年公用经费由</w:t>
      </w:r>
      <w:r>
        <w:rPr>
          <w:rFonts w:hint="eastAsia" w:ascii="仿宋_GB2312" w:hAnsi="仿宋_GB2312" w:eastAsia="仿宋_GB2312"/>
          <w:b w:val="0"/>
          <w:sz w:val="32"/>
          <w:lang w:val="en-US" w:eastAsia="zh-CN"/>
        </w:rPr>
        <w:t>本</w:t>
      </w:r>
      <w:r>
        <w:rPr>
          <w:rFonts w:ascii="仿宋_GB2312" w:hAnsi="仿宋_GB2312" w:eastAsia="仿宋_GB2312"/>
          <w:b w:val="0"/>
          <w:sz w:val="32"/>
        </w:rPr>
        <w:t>单位承担。2024年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单位不再承担划转人员的人员及公用经费，相关人员及公用经费较上年减少。</w:t>
      </w:r>
    </w:p>
    <w:p w14:paraId="24CF25AC">
      <w:pPr>
        <w:spacing w:line="640" w:lineRule="exact"/>
        <w:ind w:firstLine="640"/>
        <w:jc w:val="both"/>
        <w:outlineLvl w:val="2"/>
      </w:pPr>
      <w:r>
        <w:rPr>
          <w:rFonts w:ascii="黑体" w:hAnsi="黑体" w:eastAsia="黑体"/>
          <w:sz w:val="32"/>
        </w:rPr>
        <w:t>二、收入决算情况说明</w:t>
      </w:r>
    </w:p>
    <w:p w14:paraId="75208AE3">
      <w:pPr>
        <w:spacing w:line="580" w:lineRule="exact"/>
        <w:ind w:firstLine="640"/>
        <w:jc w:val="both"/>
      </w:pPr>
      <w:r>
        <w:rPr>
          <w:rFonts w:ascii="仿宋_GB2312" w:hAnsi="仿宋_GB2312" w:eastAsia="仿宋_GB2312"/>
          <w:b/>
          <w:sz w:val="32"/>
        </w:rPr>
        <w:t>本年收入1,941.65万元，</w:t>
      </w:r>
      <w:r>
        <w:rPr>
          <w:rFonts w:ascii="仿宋_GB2312" w:hAnsi="仿宋_GB2312" w:eastAsia="仿宋_GB2312"/>
          <w:b w:val="0"/>
          <w:sz w:val="32"/>
        </w:rPr>
        <w:t>其中：财政拨款收入1,718.46万元，占88.51%；上级补助收入0.00万元，占0.00%；事业收入0.00万元，占0.00%；经营收入0.00万元，占0.00%；附属单位上缴收入0.00万元，占0.00%；其他收入223.19万元，占11.49%。</w:t>
      </w:r>
    </w:p>
    <w:p w14:paraId="342A44C5">
      <w:pPr>
        <w:spacing w:line="640" w:lineRule="exact"/>
        <w:ind w:firstLine="640"/>
        <w:jc w:val="both"/>
        <w:outlineLvl w:val="2"/>
      </w:pPr>
      <w:r>
        <w:rPr>
          <w:rFonts w:ascii="黑体" w:hAnsi="黑体" w:eastAsia="黑体"/>
          <w:sz w:val="32"/>
        </w:rPr>
        <w:t>三、支出决算情况说明</w:t>
      </w:r>
    </w:p>
    <w:p w14:paraId="7F952F5D">
      <w:pPr>
        <w:spacing w:line="580" w:lineRule="exact"/>
        <w:ind w:firstLine="640"/>
        <w:jc w:val="both"/>
      </w:pPr>
      <w:r>
        <w:rPr>
          <w:rFonts w:ascii="仿宋_GB2312" w:hAnsi="仿宋_GB2312" w:eastAsia="仿宋_GB2312"/>
          <w:b/>
          <w:sz w:val="32"/>
        </w:rPr>
        <w:t>本年支出1,866.67万元，</w:t>
      </w:r>
      <w:r>
        <w:rPr>
          <w:rFonts w:ascii="仿宋_GB2312" w:hAnsi="仿宋_GB2312" w:eastAsia="仿宋_GB2312"/>
          <w:b w:val="0"/>
          <w:sz w:val="32"/>
        </w:rPr>
        <w:t>其中：基本支出1,482.52万元，占79.42%；项目支出384.15万元，占20.58%；上缴上级支出0.00万元，占0.00%；经营支出0.00万元，占0.00%；对附属单位补助支出0.00万元，占0.00%。</w:t>
      </w:r>
    </w:p>
    <w:p w14:paraId="0B5DE9C2">
      <w:pPr>
        <w:spacing w:line="640" w:lineRule="exact"/>
        <w:ind w:firstLine="640"/>
        <w:jc w:val="both"/>
        <w:outlineLvl w:val="2"/>
      </w:pPr>
      <w:r>
        <w:rPr>
          <w:rFonts w:ascii="黑体" w:hAnsi="黑体" w:eastAsia="黑体"/>
          <w:sz w:val="32"/>
        </w:rPr>
        <w:t>四、财政拨款收入支出决算总体情况说明</w:t>
      </w:r>
    </w:p>
    <w:p w14:paraId="5A6E3BB9">
      <w:pPr>
        <w:spacing w:line="580" w:lineRule="exact"/>
        <w:ind w:firstLine="640"/>
        <w:jc w:val="both"/>
      </w:pPr>
      <w:r>
        <w:rPr>
          <w:rFonts w:ascii="仿宋_GB2312" w:hAnsi="仿宋_GB2312" w:eastAsia="仿宋_GB2312"/>
          <w:b/>
          <w:sz w:val="32"/>
        </w:rPr>
        <w:t>2024年度财政拨款收入总计1,718.46万元，</w:t>
      </w:r>
      <w:r>
        <w:rPr>
          <w:rFonts w:ascii="仿宋_GB2312" w:hAnsi="仿宋_GB2312" w:eastAsia="仿宋_GB2312"/>
          <w:b w:val="0"/>
          <w:sz w:val="32"/>
        </w:rPr>
        <w:t>其中：年初财政拨款结转和结余0.00万元，本年财政拨款收入1,718.46万元。</w:t>
      </w:r>
      <w:r>
        <w:rPr>
          <w:rFonts w:ascii="仿宋_GB2312" w:hAnsi="仿宋_GB2312" w:eastAsia="仿宋_GB2312"/>
          <w:b/>
          <w:sz w:val="32"/>
        </w:rPr>
        <w:t>财政拨款支出总计1,718.46万元，</w:t>
      </w:r>
      <w:r>
        <w:rPr>
          <w:rFonts w:ascii="仿宋_GB2312" w:hAnsi="仿宋_GB2312" w:eastAsia="仿宋_GB2312"/>
          <w:b w:val="0"/>
          <w:sz w:val="32"/>
        </w:rPr>
        <w:t>其中：年末财政拨款结转和结余0.00万元，本年财政拨款支出1,718.46万元。</w:t>
      </w:r>
    </w:p>
    <w:p w14:paraId="54B3DB2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减少267.50万元，下降13.47%，主要原因是：2023年下半年因机构改革，部分人员划转至克州国资委，2023年上半年人员经费及全年公用经费由</w:t>
      </w:r>
      <w:r>
        <w:rPr>
          <w:rFonts w:hint="eastAsia" w:ascii="仿宋_GB2312" w:hAnsi="仿宋_GB2312" w:eastAsia="仿宋_GB2312"/>
          <w:b w:val="0"/>
          <w:sz w:val="32"/>
          <w:lang w:val="en-US" w:eastAsia="zh-CN"/>
        </w:rPr>
        <w:t>本</w:t>
      </w:r>
      <w:r>
        <w:rPr>
          <w:rFonts w:ascii="仿宋_GB2312" w:hAnsi="仿宋_GB2312" w:eastAsia="仿宋_GB2312"/>
          <w:b w:val="0"/>
          <w:sz w:val="32"/>
        </w:rPr>
        <w:t>单位承担。2024年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单位不再承担划转人员的人员及公用经费，相关人员及公用经费较上年减少。</w:t>
      </w:r>
      <w:r>
        <w:rPr>
          <w:rFonts w:ascii="仿宋_GB2312" w:hAnsi="仿宋_GB2312" w:eastAsia="仿宋_GB2312"/>
          <w:b/>
          <w:sz w:val="32"/>
        </w:rPr>
        <w:t>与年初预算相比，</w:t>
      </w:r>
      <w:r>
        <w:rPr>
          <w:rFonts w:ascii="仿宋_GB2312" w:hAnsi="仿宋_GB2312" w:eastAsia="仿宋_GB2312"/>
          <w:b w:val="0"/>
          <w:sz w:val="32"/>
        </w:rPr>
        <w:t>年初预算数1,648.08万元，决算数1,718.46万元，预决算差异率4.27%，主要原因是：一是年中补发人员补贴；二是年中追加人员工资、社保、公积金基数调增部分资金，导致预决算存在差异。</w:t>
      </w:r>
    </w:p>
    <w:p w14:paraId="44240220">
      <w:pPr>
        <w:spacing w:line="640" w:lineRule="exact"/>
        <w:ind w:firstLine="640"/>
        <w:jc w:val="both"/>
        <w:outlineLvl w:val="2"/>
      </w:pPr>
      <w:r>
        <w:rPr>
          <w:rFonts w:ascii="黑体" w:hAnsi="黑体" w:eastAsia="黑体"/>
          <w:sz w:val="32"/>
        </w:rPr>
        <w:t>五、一般公共预算财政拨款支出决算情况说明</w:t>
      </w:r>
    </w:p>
    <w:p w14:paraId="4C51CD10">
      <w:pPr>
        <w:spacing w:line="640" w:lineRule="exact"/>
        <w:ind w:firstLine="640"/>
        <w:jc w:val="both"/>
        <w:outlineLvl w:val="3"/>
      </w:pPr>
      <w:r>
        <w:rPr>
          <w:rFonts w:ascii="楷体_GB2312" w:hAnsi="楷体_GB2312" w:eastAsia="楷体_GB2312"/>
          <w:b/>
          <w:sz w:val="32"/>
        </w:rPr>
        <w:t>（一）一般公共预算财政拨款支出决算总体情况</w:t>
      </w:r>
    </w:p>
    <w:p w14:paraId="59ECE95A">
      <w:pPr>
        <w:spacing w:line="580" w:lineRule="exact"/>
        <w:ind w:firstLine="640"/>
        <w:jc w:val="both"/>
      </w:pPr>
      <w:r>
        <w:rPr>
          <w:rFonts w:ascii="仿宋_GB2312" w:hAnsi="仿宋_GB2312" w:eastAsia="仿宋_GB2312"/>
          <w:b/>
          <w:sz w:val="32"/>
        </w:rPr>
        <w:t>2024年度一般公共预算财政拨款支出1,718.46万元，</w:t>
      </w:r>
      <w:r>
        <w:rPr>
          <w:rFonts w:ascii="仿宋_GB2312" w:hAnsi="仿宋_GB2312" w:eastAsia="仿宋_GB2312"/>
          <w:b w:val="0"/>
          <w:sz w:val="32"/>
        </w:rPr>
        <w:t>占本年支出合计的92.06%。</w:t>
      </w:r>
      <w:r>
        <w:rPr>
          <w:rFonts w:ascii="仿宋_GB2312" w:hAnsi="仿宋_GB2312" w:eastAsia="仿宋_GB2312"/>
          <w:b/>
          <w:sz w:val="32"/>
        </w:rPr>
        <w:t>与上年相比，</w:t>
      </w:r>
      <w:r>
        <w:rPr>
          <w:rFonts w:ascii="仿宋_GB2312" w:hAnsi="仿宋_GB2312" w:eastAsia="仿宋_GB2312"/>
          <w:b w:val="0"/>
          <w:sz w:val="32"/>
        </w:rPr>
        <w:t>减少267.50万元，下降13.47%，主要原因是：2023年下半年因机构改革，部分人员划转至克州国资委，2023年上半年人员经费及全年公用经费由</w:t>
      </w:r>
      <w:r>
        <w:rPr>
          <w:rFonts w:hint="eastAsia" w:ascii="仿宋_GB2312" w:hAnsi="仿宋_GB2312" w:eastAsia="仿宋_GB2312"/>
          <w:b w:val="0"/>
          <w:sz w:val="32"/>
          <w:lang w:val="en-US" w:eastAsia="zh-CN"/>
        </w:rPr>
        <w:t>本</w:t>
      </w:r>
      <w:r>
        <w:rPr>
          <w:rFonts w:ascii="仿宋_GB2312" w:hAnsi="仿宋_GB2312" w:eastAsia="仿宋_GB2312"/>
          <w:b w:val="0"/>
          <w:sz w:val="32"/>
        </w:rPr>
        <w:t>单位承担。2024年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单位不再承担划转人员的人员及公用经费，相关人员及公用经费较上年减少。</w:t>
      </w:r>
      <w:r>
        <w:rPr>
          <w:rFonts w:ascii="仿宋_GB2312" w:hAnsi="仿宋_GB2312" w:eastAsia="仿宋_GB2312"/>
          <w:b/>
          <w:sz w:val="32"/>
        </w:rPr>
        <w:t>与年初预算相比,</w:t>
      </w:r>
      <w:r>
        <w:rPr>
          <w:rFonts w:ascii="仿宋_GB2312" w:hAnsi="仿宋_GB2312" w:eastAsia="仿宋_GB2312"/>
          <w:b w:val="0"/>
          <w:sz w:val="32"/>
        </w:rPr>
        <w:t>年初预算数1,648.08万元，决算数1,718.46万元，预决算差异率4.27%，主要原因是：一是年中补发人员补贴；二是年中追加人员工资、社保、公积金基数调增部分资金，导致预决算存在差异。</w:t>
      </w:r>
    </w:p>
    <w:p w14:paraId="3D624B63">
      <w:pPr>
        <w:spacing w:line="640" w:lineRule="exact"/>
        <w:ind w:firstLine="640"/>
        <w:jc w:val="both"/>
        <w:outlineLvl w:val="3"/>
      </w:pPr>
      <w:r>
        <w:rPr>
          <w:rFonts w:ascii="楷体_GB2312" w:hAnsi="楷体_GB2312" w:eastAsia="楷体_GB2312"/>
          <w:b/>
          <w:sz w:val="32"/>
        </w:rPr>
        <w:t>（二）一般公共预算财政拨款支出决算结构情况</w:t>
      </w:r>
    </w:p>
    <w:p w14:paraId="1362AEA6">
      <w:pPr>
        <w:spacing w:line="580" w:lineRule="exact"/>
        <w:ind w:firstLine="640"/>
        <w:jc w:val="both"/>
      </w:pPr>
      <w:r>
        <w:rPr>
          <w:rFonts w:ascii="仿宋_GB2312" w:hAnsi="仿宋_GB2312" w:eastAsia="仿宋_GB2312"/>
          <w:b w:val="0"/>
          <w:sz w:val="32"/>
        </w:rPr>
        <w:t>1.一般公共服务支出(类)1,490.03万元,占86.71%。</w:t>
      </w:r>
    </w:p>
    <w:p w14:paraId="1F078822">
      <w:pPr>
        <w:spacing w:line="580" w:lineRule="exact"/>
        <w:ind w:firstLine="640"/>
        <w:jc w:val="both"/>
      </w:pPr>
      <w:r>
        <w:rPr>
          <w:rFonts w:ascii="仿宋_GB2312" w:hAnsi="仿宋_GB2312" w:eastAsia="仿宋_GB2312"/>
          <w:b w:val="0"/>
          <w:sz w:val="32"/>
        </w:rPr>
        <w:t>2.社会保障和就业支出(类)228.43万元,占13.29%。</w:t>
      </w:r>
    </w:p>
    <w:p w14:paraId="55E2BA41">
      <w:pPr>
        <w:spacing w:line="640" w:lineRule="exact"/>
        <w:ind w:firstLine="640"/>
        <w:jc w:val="both"/>
        <w:outlineLvl w:val="3"/>
      </w:pPr>
      <w:r>
        <w:rPr>
          <w:rFonts w:ascii="楷体_GB2312" w:hAnsi="楷体_GB2312" w:eastAsia="楷体_GB2312"/>
          <w:b/>
          <w:sz w:val="32"/>
        </w:rPr>
        <w:t>（三）一般公共预算财政拨款支出决算具体情况</w:t>
      </w:r>
    </w:p>
    <w:p w14:paraId="18507E76">
      <w:pPr>
        <w:spacing w:line="580" w:lineRule="exact"/>
        <w:ind w:firstLine="640"/>
        <w:jc w:val="both"/>
      </w:pPr>
      <w:r>
        <w:rPr>
          <w:rFonts w:ascii="仿宋_GB2312" w:hAnsi="仿宋_GB2312" w:eastAsia="仿宋_GB2312"/>
          <w:b w:val="0"/>
          <w:sz w:val="32"/>
        </w:rPr>
        <w:t>1.一般公共服务支出(类)财政事务(款)行政运行(项):支出决算数为718.73万元，比上年决算减少264.46万元，下降26.90%,主要原因是：2023年下半年因机构改革，部分人员划转至克州国资委，2023年上半年人员经费及全年公用经费由</w:t>
      </w:r>
      <w:r>
        <w:rPr>
          <w:rFonts w:hint="eastAsia" w:ascii="仿宋_GB2312" w:hAnsi="仿宋_GB2312" w:eastAsia="仿宋_GB2312"/>
          <w:b w:val="0"/>
          <w:sz w:val="32"/>
          <w:lang w:val="en-US" w:eastAsia="zh-CN"/>
        </w:rPr>
        <w:t>本</w:t>
      </w:r>
      <w:r>
        <w:rPr>
          <w:rFonts w:ascii="仿宋_GB2312" w:hAnsi="仿宋_GB2312" w:eastAsia="仿宋_GB2312"/>
          <w:b w:val="0"/>
          <w:sz w:val="32"/>
        </w:rPr>
        <w:t>单位承担。2024年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单位不再承担划转人员的人员及公用经费，相关人员及公用经费较上年减少。</w:t>
      </w:r>
    </w:p>
    <w:p w14:paraId="5167380B">
      <w:pPr>
        <w:spacing w:line="580" w:lineRule="exact"/>
        <w:ind w:firstLine="640"/>
        <w:jc w:val="both"/>
      </w:pPr>
      <w:r>
        <w:rPr>
          <w:rFonts w:ascii="仿宋_GB2312" w:hAnsi="仿宋_GB2312" w:eastAsia="仿宋_GB2312"/>
          <w:b w:val="0"/>
          <w:sz w:val="32"/>
        </w:rPr>
        <w:t>2.一般公共服务支出(类)财政事务(款)事业运行(项):支出决算数为422.70万元，比上年决算增加73.63万元，增长21.09%,主要原因是：本年事业编制在职人员工资正常调增，导致相关人员经费较上年有所增加。</w:t>
      </w:r>
    </w:p>
    <w:p w14:paraId="0E650DF9">
      <w:pPr>
        <w:spacing w:line="580" w:lineRule="exact"/>
        <w:ind w:firstLine="640"/>
        <w:jc w:val="both"/>
      </w:pPr>
      <w:r>
        <w:rPr>
          <w:rFonts w:ascii="仿宋_GB2312" w:hAnsi="仿宋_GB2312" w:eastAsia="仿宋_GB2312"/>
          <w:b w:val="0"/>
          <w:sz w:val="32"/>
        </w:rPr>
        <w:t>3.一般公共服务支出(类)财政事务(款)其他财政事务支出(项):支出决算数为348.60万元，比上年决算减少47.70万元，下降12.04%,主要原因是：本年度减少国资委办公家具及电脑设备采购项目、财政业务委托服务费项目资金，导致经费较上年减少。</w:t>
      </w:r>
    </w:p>
    <w:p w14:paraId="7E395241">
      <w:pPr>
        <w:spacing w:line="580" w:lineRule="exact"/>
        <w:ind w:firstLine="640"/>
        <w:jc w:val="both"/>
      </w:pPr>
      <w:r>
        <w:rPr>
          <w:rFonts w:ascii="仿宋_GB2312" w:hAnsi="仿宋_GB2312" w:eastAsia="仿宋_GB2312"/>
          <w:b w:val="0"/>
          <w:sz w:val="32"/>
        </w:rPr>
        <w:t>4.教育支出(类)普通教育(款)学前教育(项):支出决算数为0.00万元，比上年决算减少1.04万元，下降100.00%,主要原因是：本年度减少支教人员1人，支教补助支出较上年减少。</w:t>
      </w:r>
    </w:p>
    <w:p w14:paraId="665B77B3">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5.社会保障和就业支出(类)行政事业单位养老支出(款)行政单位离退休(项):支出决算数为87.38万元，比上年决算增加21.43万元，增长32.49%,主要原因是：本年退休人员增加，退休费支出增加。</w:t>
      </w:r>
    </w:p>
    <w:p w14:paraId="75AAF787">
      <w:pPr>
        <w:spacing w:line="580" w:lineRule="exact"/>
        <w:ind w:firstLine="640"/>
        <w:jc w:val="both"/>
      </w:pPr>
      <w:r>
        <w:rPr>
          <w:rFonts w:ascii="仿宋_GB2312" w:hAnsi="仿宋_GB2312" w:eastAsia="仿宋_GB2312"/>
          <w:b w:val="0"/>
          <w:sz w:val="32"/>
        </w:rPr>
        <w:t>6.社会保障和就业支出(类)行政事业单位养老支出(款)事业单位离退休(项):支出决算数为4.33万元，比上年决算增加1.59万元，增长58.03%,主要原因是：本年增加退休人员基础绩效奖，退休费支出增加。</w:t>
      </w:r>
    </w:p>
    <w:p w14:paraId="539BC2AE">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111.60万元，比上年决算减少7.19万元，下降6.05%,主要原因是：2023年下半年因机构改革，部分人员划转至克州国资委，2023年上半年基本养老保险缴费由</w:t>
      </w:r>
      <w:r>
        <w:rPr>
          <w:rFonts w:hint="eastAsia" w:ascii="仿宋_GB2312" w:hAnsi="仿宋_GB2312" w:eastAsia="仿宋_GB2312"/>
          <w:b w:val="0"/>
          <w:sz w:val="32"/>
          <w:lang w:val="en-US" w:eastAsia="zh-CN"/>
        </w:rPr>
        <w:t>本</w:t>
      </w:r>
      <w:r>
        <w:rPr>
          <w:rFonts w:ascii="仿宋_GB2312" w:hAnsi="仿宋_GB2312" w:eastAsia="仿宋_GB2312"/>
          <w:b w:val="0"/>
          <w:sz w:val="32"/>
        </w:rPr>
        <w:t>单位承担。2024年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单位不再承担划转人员基本养老保险缴费，导致养老保险缴费较上年减少。</w:t>
      </w:r>
    </w:p>
    <w:p w14:paraId="2145B6A0">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24.46万元，比上年决算减少44.42万元，下降64.49%,主要原因是：本年新增退休人员较上年减少，职业年金缴费支出减少。</w:t>
      </w:r>
    </w:p>
    <w:p w14:paraId="66509CB3">
      <w:pPr>
        <w:spacing w:line="580" w:lineRule="exact"/>
        <w:ind w:firstLine="640"/>
        <w:jc w:val="both"/>
      </w:pPr>
      <w:r>
        <w:rPr>
          <w:rFonts w:ascii="仿宋_GB2312" w:hAnsi="仿宋_GB2312" w:eastAsia="仿宋_GB2312"/>
          <w:b w:val="0"/>
          <w:sz w:val="32"/>
        </w:rPr>
        <w:t>9.社会保障和就业支出(类)就业补助(款)就业见习补贴(项):支出决算数为0.65万元，比上年决算增加0.65万元，增长100.00%,主要原因是：本年度新增就业见习生1名，就业见习补助增加，导致经费较上年增加。</w:t>
      </w:r>
    </w:p>
    <w:p w14:paraId="335A4D05">
      <w:pPr>
        <w:spacing w:line="640" w:lineRule="exact"/>
        <w:ind w:firstLine="640"/>
        <w:jc w:val="both"/>
        <w:outlineLvl w:val="2"/>
      </w:pPr>
      <w:r>
        <w:rPr>
          <w:rFonts w:ascii="黑体" w:hAnsi="黑体" w:eastAsia="黑体"/>
          <w:sz w:val="32"/>
        </w:rPr>
        <w:t>六、一般公共预算财政拨款基本支出决算情况说明</w:t>
      </w:r>
    </w:p>
    <w:p w14:paraId="7BBF42D1">
      <w:pPr>
        <w:spacing w:line="580" w:lineRule="exact"/>
        <w:ind w:firstLine="640"/>
        <w:jc w:val="both"/>
      </w:pPr>
      <w:r>
        <w:rPr>
          <w:rFonts w:ascii="仿宋_GB2312" w:hAnsi="仿宋_GB2312" w:eastAsia="仿宋_GB2312"/>
          <w:b w:val="0"/>
          <w:sz w:val="32"/>
        </w:rPr>
        <w:t>2024年度一般公共预算财政拨款基本支出1,369.21万元，其中：</w:t>
      </w:r>
      <w:r>
        <w:rPr>
          <w:rFonts w:ascii="仿宋_GB2312" w:hAnsi="仿宋_GB2312" w:eastAsia="仿宋_GB2312"/>
          <w:b/>
          <w:sz w:val="32"/>
        </w:rPr>
        <w:t>人员经费1,279.03万元，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包括：基本工资、津贴补贴、奖金、机关事业单位基本养老保险缴费、职业年金缴费、职工基本医疗保险缴费、其他社会保障缴费、住房公积金、其他工资福利支出、退休费、抚恤金、生活补助、奖励金。</w:t>
      </w:r>
    </w:p>
    <w:p w14:paraId="703E4F5D">
      <w:pPr>
        <w:spacing w:line="580" w:lineRule="exact"/>
        <w:ind w:firstLine="640"/>
        <w:jc w:val="both"/>
      </w:pPr>
      <w:r>
        <w:rPr>
          <w:rFonts w:ascii="仿宋_GB2312" w:hAnsi="仿宋_GB2312" w:eastAsia="仿宋_GB2312"/>
          <w:b/>
          <w:sz w:val="32"/>
        </w:rPr>
        <w:t>公用经费90.18万元，</w:t>
      </w:r>
      <w:r>
        <w:rPr>
          <w:rFonts w:ascii="仿宋_GB2312" w:hAnsi="仿宋_GB2312" w:eastAsia="仿宋_GB2312"/>
          <w:b w:val="0"/>
          <w:sz w:val="32"/>
        </w:rPr>
        <w:t>包括：办公费、印刷费、邮电费、差旅费、维修（护）费、租赁费、培训费、公务接待费、劳务费、工会经费、福利费、公务用车运行维护费、办公设备购置。</w:t>
      </w:r>
    </w:p>
    <w:p w14:paraId="4850108C">
      <w:pPr>
        <w:spacing w:line="640" w:lineRule="exact"/>
        <w:ind w:firstLine="640"/>
        <w:jc w:val="both"/>
        <w:outlineLvl w:val="2"/>
      </w:pPr>
      <w:r>
        <w:rPr>
          <w:rFonts w:ascii="黑体" w:hAnsi="黑体" w:eastAsia="黑体"/>
          <w:sz w:val="32"/>
        </w:rPr>
        <w:t>七、政府性基金预算财政拨款收入支出决算情况说明</w:t>
      </w:r>
    </w:p>
    <w:p w14:paraId="3BB020D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F84A10B">
      <w:pPr>
        <w:spacing w:line="640" w:lineRule="exact"/>
        <w:ind w:firstLine="640"/>
        <w:jc w:val="both"/>
        <w:outlineLvl w:val="2"/>
      </w:pPr>
      <w:r>
        <w:rPr>
          <w:rFonts w:ascii="黑体" w:hAnsi="黑体" w:eastAsia="黑体"/>
          <w:sz w:val="32"/>
        </w:rPr>
        <w:t>八、国有资本经营预算财政拨款收入支出决算情况说明</w:t>
      </w:r>
    </w:p>
    <w:p w14:paraId="66F1E28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8461741">
      <w:pPr>
        <w:spacing w:line="640" w:lineRule="exact"/>
        <w:ind w:firstLine="640"/>
        <w:jc w:val="both"/>
        <w:outlineLvl w:val="2"/>
      </w:pPr>
      <w:r>
        <w:rPr>
          <w:rFonts w:ascii="黑体" w:hAnsi="黑体" w:eastAsia="黑体"/>
          <w:sz w:val="32"/>
        </w:rPr>
        <w:t>九、财政拨款“三公”经费支出决算情况说明</w:t>
      </w:r>
    </w:p>
    <w:p w14:paraId="695DB440">
      <w:pPr>
        <w:spacing w:line="580" w:lineRule="exact"/>
        <w:ind w:firstLine="640"/>
        <w:jc w:val="both"/>
      </w:pPr>
      <w:r>
        <w:rPr>
          <w:rFonts w:ascii="仿宋_GB2312" w:hAnsi="仿宋_GB2312" w:eastAsia="仿宋_GB2312"/>
          <w:b/>
          <w:sz w:val="32"/>
        </w:rPr>
        <w:t>2024年度财政拨款“三公”经费支出8.27万元，</w:t>
      </w:r>
      <w:r>
        <w:rPr>
          <w:rFonts w:ascii="仿宋_GB2312" w:hAnsi="仿宋_GB2312" w:eastAsia="仿宋_GB2312"/>
          <w:b w:val="0"/>
          <w:sz w:val="32"/>
        </w:rPr>
        <w:t>比上年减少3.73万元，下降31.08%，主要原因是：本单位严格执行中央八项规定，厉行节约，减少公务用车使用频次，燃油费减少，导致财政拨款“三公”经费减少。其中：因公出国（境）费支出0.00万元，占0.00%，比上年增加0.00万元，增长0.00%，主要原因是：2023年与2024年均未安排因公出国（境）费支出。公务用车购置及运行维护费支出7.00万元，占84.64%，比上年减少3.89万元，下降35.72%，主要原因是：本单位严格执行中央八项规定，厉行节约，减少公务用车使用频次，燃油费减少，导致公务用车运行维护费减少。公务接待费支出1.27万元，占15.36%，比上年增加0.16万元，增长14.41%，主要原因是：本年因财政发展业务需求，增加公函来访接待工作，导致公务接待费较上年增加。</w:t>
      </w:r>
    </w:p>
    <w:p w14:paraId="187514EE">
      <w:pPr>
        <w:spacing w:line="580" w:lineRule="exact"/>
        <w:ind w:firstLine="640"/>
        <w:jc w:val="both"/>
      </w:pPr>
      <w:r>
        <w:rPr>
          <w:rFonts w:ascii="仿宋_GB2312" w:hAnsi="仿宋_GB2312" w:eastAsia="仿宋_GB2312"/>
          <w:b/>
          <w:sz w:val="32"/>
        </w:rPr>
        <w:t>具体情况如下：</w:t>
      </w:r>
    </w:p>
    <w:p w14:paraId="3A38A83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5BDB4C9">
      <w:pPr>
        <w:spacing w:line="580" w:lineRule="exact"/>
        <w:ind w:firstLine="640"/>
        <w:jc w:val="both"/>
      </w:pPr>
      <w:r>
        <w:rPr>
          <w:rFonts w:ascii="仿宋_GB2312" w:hAnsi="仿宋_GB2312" w:eastAsia="仿宋_GB2312"/>
          <w:b w:val="0"/>
          <w:sz w:val="32"/>
        </w:rPr>
        <w:t>公务用车购置及运行维护费7.00万元，其中：公务用车购置费0.00万元，公务用车运行维护费7.00万元。公务用车运行维护费开支内容包括车辆加油费、维修费、保险费、审车费、过路费等。公务用车购置数0辆，公务用车保有量4辆。国有资产占用情况中固定资产车辆4辆，与公务用车保有量差异原因是：本单位固定资产车辆与公务用车保有量一致无差异。</w:t>
      </w:r>
    </w:p>
    <w:p w14:paraId="2289C925">
      <w:pPr>
        <w:spacing w:line="580" w:lineRule="exact"/>
        <w:ind w:firstLine="640"/>
        <w:jc w:val="both"/>
      </w:pPr>
      <w:r>
        <w:rPr>
          <w:rFonts w:ascii="仿宋_GB2312" w:hAnsi="仿宋_GB2312" w:eastAsia="仿宋_GB2312"/>
          <w:b w:val="0"/>
          <w:sz w:val="32"/>
        </w:rPr>
        <w:t>公务接待费1.27万元，开支内容包括接待上级领导检查、调研产生的就餐费。单位全年安排的国内公务接待7批次，116人次。</w:t>
      </w:r>
    </w:p>
    <w:p w14:paraId="70DE024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8.27万元，决算数8.27万元，预决算差异率0.00%，主要原因是：本单位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7.00万元，决算数7.00万元，预决算差异率0.00%，主要原因是：本单位严格按照预算执行，预决算无差异。公务接待费全年预算数1.27万元，决算数1.27万元，预决算差异率0.00%，主要原因是：本单位严格按照预算执行，预决算无差异。</w:t>
      </w:r>
    </w:p>
    <w:p w14:paraId="36E1BF96">
      <w:pPr>
        <w:spacing w:line="640" w:lineRule="exact"/>
        <w:ind w:firstLine="640"/>
        <w:jc w:val="both"/>
        <w:outlineLvl w:val="2"/>
      </w:pPr>
      <w:r>
        <w:rPr>
          <w:rFonts w:ascii="黑体" w:hAnsi="黑体" w:eastAsia="黑体"/>
          <w:sz w:val="32"/>
        </w:rPr>
        <w:t>十、其他重要事项的情况说明</w:t>
      </w:r>
    </w:p>
    <w:p w14:paraId="73FFE255">
      <w:pPr>
        <w:spacing w:line="640" w:lineRule="exact"/>
        <w:ind w:firstLine="640"/>
        <w:jc w:val="both"/>
        <w:outlineLvl w:val="3"/>
      </w:pPr>
      <w:r>
        <w:rPr>
          <w:rFonts w:ascii="楷体_GB2312" w:hAnsi="楷体_GB2312" w:eastAsia="楷体_GB2312"/>
          <w:b/>
          <w:sz w:val="32"/>
        </w:rPr>
        <w:t>（一）机关运行经费及公用经费支出情况</w:t>
      </w:r>
    </w:p>
    <w:p w14:paraId="78DC9D63">
      <w:pPr>
        <w:spacing w:line="580" w:lineRule="exact"/>
        <w:ind w:firstLine="640"/>
        <w:jc w:val="both"/>
      </w:pPr>
      <w:r>
        <w:rPr>
          <w:rFonts w:ascii="仿宋_GB2312" w:hAnsi="仿宋_GB2312" w:eastAsia="仿宋_GB2312"/>
          <w:b w:val="0"/>
          <w:sz w:val="32"/>
        </w:rPr>
        <w:t>2024年度克孜勒苏柯尔克孜自治州财政局（行政单位和参照公务员法管理事业单位）机关运行经费支出90.18万元，比上年减少35.24万元，下降28.10%，主要原因是：2023年下半年因机构改革，部分人员划转至克州国资委，2023年公用经费由</w:t>
      </w:r>
      <w:r>
        <w:rPr>
          <w:rFonts w:hint="eastAsia" w:ascii="仿宋_GB2312" w:hAnsi="仿宋_GB2312" w:eastAsia="仿宋_GB2312"/>
          <w:b w:val="0"/>
          <w:sz w:val="32"/>
          <w:lang w:val="en-US" w:eastAsia="zh-CN"/>
        </w:rPr>
        <w:t>本</w:t>
      </w:r>
      <w:r>
        <w:rPr>
          <w:rFonts w:ascii="仿宋_GB2312" w:hAnsi="仿宋_GB2312" w:eastAsia="仿宋_GB2312"/>
          <w:b w:val="0"/>
          <w:sz w:val="32"/>
        </w:rPr>
        <w:t>单位承担。2024年</w:t>
      </w:r>
      <w:r>
        <w:rPr>
          <w:rFonts w:hint="eastAsia" w:ascii="仿宋_GB2312" w:hAnsi="仿宋_GB2312" w:eastAsia="仿宋_GB2312"/>
          <w:b w:val="0"/>
          <w:sz w:val="32"/>
          <w:lang w:val="en-US" w:eastAsia="zh-CN"/>
        </w:rPr>
        <w:t>本</w:t>
      </w:r>
      <w:r>
        <w:rPr>
          <w:rFonts w:ascii="仿宋_GB2312" w:hAnsi="仿宋_GB2312" w:eastAsia="仿宋_GB2312"/>
          <w:b w:val="0"/>
          <w:sz w:val="32"/>
        </w:rPr>
        <w:t>单位不再承担划转人员公用经费，导致机关运行经费较上年减少。</w:t>
      </w:r>
    </w:p>
    <w:p w14:paraId="4659ADD9">
      <w:pPr>
        <w:spacing w:line="640" w:lineRule="exact"/>
        <w:ind w:firstLine="640"/>
        <w:jc w:val="both"/>
        <w:outlineLvl w:val="3"/>
      </w:pPr>
      <w:r>
        <w:rPr>
          <w:rFonts w:ascii="楷体_GB2312" w:hAnsi="楷体_GB2312" w:eastAsia="楷体_GB2312"/>
          <w:b/>
          <w:sz w:val="32"/>
        </w:rPr>
        <w:t>（二）政府采购情况</w:t>
      </w:r>
    </w:p>
    <w:p w14:paraId="4AB6BD97">
      <w:pPr>
        <w:spacing w:line="580" w:lineRule="exact"/>
        <w:ind w:firstLine="640"/>
        <w:jc w:val="both"/>
      </w:pPr>
      <w:r>
        <w:rPr>
          <w:rFonts w:ascii="仿宋_GB2312" w:hAnsi="仿宋_GB2312" w:eastAsia="仿宋_GB2312"/>
          <w:b w:val="0"/>
          <w:sz w:val="32"/>
        </w:rPr>
        <w:t>2024年度政府采购支出总额90.87万元，其中：政府采购货物支出19.73万元、政府采购工程支出15.65万元、政府采购服务支出55.49万元。</w:t>
      </w:r>
    </w:p>
    <w:p w14:paraId="2EBE575F">
      <w:pPr>
        <w:spacing w:line="580" w:lineRule="exact"/>
        <w:ind w:firstLine="640"/>
        <w:jc w:val="both"/>
      </w:pPr>
      <w:r>
        <w:rPr>
          <w:rFonts w:ascii="仿宋_GB2312" w:hAnsi="仿宋_GB2312" w:eastAsia="仿宋_GB2312"/>
          <w:b w:val="0"/>
          <w:sz w:val="32"/>
        </w:rPr>
        <w:t>授予中小企业合同金额88.52万元，占政府采购支出总额的97.41%，其中：授予小微企业合同金额85.53万元，占政府采购支出总额的94.12%。</w:t>
      </w:r>
    </w:p>
    <w:p w14:paraId="131F244F">
      <w:pPr>
        <w:spacing w:line="640" w:lineRule="exact"/>
        <w:ind w:firstLine="640"/>
        <w:jc w:val="both"/>
        <w:outlineLvl w:val="3"/>
      </w:pPr>
      <w:r>
        <w:rPr>
          <w:rFonts w:ascii="楷体_GB2312" w:hAnsi="楷体_GB2312" w:eastAsia="楷体_GB2312"/>
          <w:b/>
          <w:sz w:val="32"/>
        </w:rPr>
        <w:t>（三）国有资产占用情况说明</w:t>
      </w:r>
    </w:p>
    <w:p w14:paraId="077DF862">
      <w:pPr>
        <w:spacing w:line="580" w:lineRule="exact"/>
        <w:ind w:firstLine="640"/>
        <w:jc w:val="both"/>
      </w:pPr>
      <w:r>
        <w:rPr>
          <w:rFonts w:ascii="仿宋_GB2312" w:hAnsi="仿宋_GB2312" w:eastAsia="仿宋_GB2312"/>
          <w:b w:val="0"/>
          <w:sz w:val="32"/>
        </w:rPr>
        <w:t>截至2024年12月31日，房屋48.60平方米，价值39.18万元。车辆4辆，价值96.07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1台（套）。</w:t>
      </w:r>
    </w:p>
    <w:p w14:paraId="5D336B05">
      <w:pPr>
        <w:spacing w:line="640" w:lineRule="exact"/>
        <w:ind w:firstLine="640"/>
        <w:jc w:val="both"/>
        <w:outlineLvl w:val="2"/>
      </w:pPr>
      <w:r>
        <w:rPr>
          <w:rFonts w:ascii="黑体" w:hAnsi="黑体" w:eastAsia="黑体"/>
          <w:sz w:val="32"/>
        </w:rPr>
        <w:t>十一、预算绩效的情况说明</w:t>
      </w:r>
    </w:p>
    <w:p w14:paraId="531CF8D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2,074.25万元，实际执行总额1,866.67万元；预算绩效评价项目7个，全年预算数804.70万元，全年执行数496.81万元。预算绩效管理取得的成效：加强收支管理，保障经济社会发展务实笃行。一是建立健全工作机制。按照全面实施预算绩效管理的安排部署，局主要领导抓预算绩效管理工作，召开专题会议认真研究部署预算绩效管理工作。分管局领导指导、督促、落实绩效管理工作，研究提出具体措施办法，建立了上下协调、科室联动、层层抓落实的工作机制；二是不断完善工作制度。认真研究学习，贯彻落实全面绩效管理的工作要求，按照“谁支出、谁负责”的原则，完善用款计划管理，对发现的问题及时分析原因并纠正，建立了项目绩效跟踪机制。三是推进绩效工作实施。严格按照自治州全面实施预算绩效管理工作的安排部署，在编制2023年预算前，结合预算评审、项目审批等，对项目开展事前绩效评估。评估重点围绕自治州党委、人民政府工作部署，论证绩效目标的合理性、实施方案的可行性等，并将绩效目标和评估结果作为预算安排的重要依据，推进预算绩效管理工作在项目管理中落实到位。发现的问题及原因：一是对项目绩效过程还需加强监控，对项目在年度执行中阶段性监控、分析不够，发现问题不够及时；二是对绩效评价结果的应用还需强化，要加强与项目实施科室单位的沟通联系，随时了解项目进展情况，根据绩效评价情况安排资金，提高资金使用效率。下一步改进措施：一是加强组织领导。进一步转变观念，牢固树立“花钱必问效，无效必问责”的预算绩效管理理念，切实提高绩效评价在日常管理中的重要作用，确保财政资金安全、高效使用。履行绩效管理主体责任，严格落实全面实施预算绩效管理各项工作任务，完善内部管理制度，从重资金管理转向重预算编制、执行和监管全过程绩效管理，切实提高预算绩效管理工作水平；二是强化绩效监控。按月对项目支出绩效目标的实现程度和预算执行情况进行“双监控”，发现问题及时纠正，确保项目绩效目标如期保质保量实现。按照预算编制、执行、绩效评价的工作要求，将全面实施预算绩效管理当作一项经常性、制度性的工作来抓；三是强化结果应用。应用评价结果是绩效管理落到实处，取得实效的关键，也是全部工作的落脚点。要进一步强化绩效评价结果与预算安排挂钩机制，坚决做到将政策和项目支出预算绩效与项目资金安排挂钩，对绩效评价结果差的项目资金一律削减或取消。具体附整体支出绩效自评表，项目支出绩效自评表和评价报告。</w:t>
      </w:r>
    </w:p>
    <w:p w14:paraId="2DEE072E">
      <w:r>
        <w:br w:type="page"/>
      </w:r>
    </w:p>
    <w:tbl>
      <w:tblPr>
        <w:tblStyle w:val="9"/>
        <w:tblW w:w="0" w:type="auto"/>
        <w:tblInd w:w="0" w:type="dxa"/>
        <w:tblLayout w:type="autofit"/>
        <w:tblCellMar>
          <w:top w:w="0" w:type="dxa"/>
          <w:left w:w="108" w:type="dxa"/>
          <w:bottom w:w="0" w:type="dxa"/>
          <w:right w:w="108" w:type="dxa"/>
        </w:tblCellMar>
      </w:tblPr>
      <w:tblGrid>
        <w:gridCol w:w="1105"/>
        <w:gridCol w:w="876"/>
        <w:gridCol w:w="1486"/>
        <w:gridCol w:w="953"/>
        <w:gridCol w:w="1256"/>
        <w:gridCol w:w="954"/>
        <w:gridCol w:w="1105"/>
        <w:gridCol w:w="1105"/>
      </w:tblGrid>
      <w:tr w14:paraId="4A7C2D93">
        <w:tblPrEx>
          <w:tblCellMar>
            <w:top w:w="0" w:type="dxa"/>
            <w:left w:w="108" w:type="dxa"/>
            <w:bottom w:w="0" w:type="dxa"/>
            <w:right w:w="108" w:type="dxa"/>
          </w:tblCellMar>
        </w:tblPrEx>
        <w:tc>
          <w:tcPr>
            <w:tcW w:w="8840" w:type="dxa"/>
            <w:gridSpan w:val="8"/>
            <w:vAlign w:val="center"/>
          </w:tcPr>
          <w:p w14:paraId="116D09F8">
            <w:pPr>
              <w:jc w:val="center"/>
            </w:pPr>
            <w:r>
              <w:rPr>
                <w:rFonts w:ascii="宋体" w:hAnsi="宋体" w:eastAsia="宋体"/>
                <w:sz w:val="24"/>
              </w:rPr>
              <w:t>单位整体支出绩效自评表</w:t>
            </w:r>
          </w:p>
        </w:tc>
      </w:tr>
      <w:tr w14:paraId="2E82B371">
        <w:tblPrEx>
          <w:tblCellMar>
            <w:top w:w="0" w:type="dxa"/>
            <w:left w:w="108" w:type="dxa"/>
            <w:bottom w:w="0" w:type="dxa"/>
            <w:right w:w="108" w:type="dxa"/>
          </w:tblCellMar>
        </w:tblPrEx>
        <w:tc>
          <w:tcPr>
            <w:tcW w:w="8840" w:type="dxa"/>
            <w:gridSpan w:val="8"/>
            <w:vAlign w:val="center"/>
          </w:tcPr>
          <w:p w14:paraId="4B2B82EF">
            <w:pPr>
              <w:jc w:val="center"/>
            </w:pPr>
            <w:r>
              <w:rPr>
                <w:rFonts w:ascii="宋体" w:hAnsi="宋体" w:eastAsia="宋体"/>
                <w:sz w:val="24"/>
              </w:rPr>
              <w:t>（2024年度）</w:t>
            </w:r>
          </w:p>
        </w:tc>
      </w:tr>
      <w:tr w14:paraId="79C1587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9C5973">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9D02C2">
            <w:pPr>
              <w:jc w:val="center"/>
            </w:pPr>
            <w:r>
              <w:rPr>
                <w:rFonts w:ascii="宋体" w:hAnsi="宋体" w:eastAsia="宋体"/>
                <w:sz w:val="16"/>
              </w:rPr>
              <w:t>克孜勒苏柯尔克孜自治州财政局</w:t>
            </w:r>
          </w:p>
        </w:tc>
      </w:tr>
      <w:tr w14:paraId="2ED3278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1E883">
            <w:pPr>
              <w:jc w:val="center"/>
            </w:pPr>
            <w:r>
              <w:rPr>
                <w:rFonts w:ascii="宋体" w:hAnsi="宋体" w:eastAsia="宋体"/>
                <w:sz w:val="16"/>
              </w:rPr>
              <w:t>年度预算（万元）</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2FDABA24">
            <w:pPr>
              <w:jc w:val="center"/>
            </w:pPr>
            <w:r>
              <w:rPr>
                <w:rFonts w:ascii="宋体" w:hAnsi="宋体" w:eastAsia="宋体"/>
                <w:sz w:val="16"/>
              </w:rPr>
              <w:t>资金来源</w:t>
            </w:r>
          </w:p>
        </w:tc>
        <w:tc>
          <w:tcPr>
            <w:tcW w:w="1486" w:type="dxa"/>
            <w:tcBorders>
              <w:top w:val="single" w:color="auto" w:sz="10" w:space="0"/>
              <w:left w:val="single" w:color="auto" w:sz="10" w:space="0"/>
              <w:bottom w:val="single" w:color="auto" w:sz="10" w:space="0"/>
              <w:right w:val="single" w:color="auto" w:sz="10" w:space="0"/>
              <w:insideV w:val="single" w:sz="10" w:space="0"/>
            </w:tcBorders>
            <w:vAlign w:val="center"/>
          </w:tcPr>
          <w:p w14:paraId="330A66CE">
            <w:pPr>
              <w:jc w:val="center"/>
            </w:pPr>
            <w:r>
              <w:rPr>
                <w:rFonts w:ascii="宋体" w:hAnsi="宋体" w:eastAsia="宋体"/>
                <w:sz w:val="16"/>
              </w:rPr>
              <w:t>年初预算数</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573D6733">
            <w:pPr>
              <w:jc w:val="center"/>
            </w:pPr>
            <w:r>
              <w:rPr>
                <w:rFonts w:ascii="宋体" w:hAnsi="宋体" w:eastAsia="宋体"/>
                <w:sz w:val="16"/>
              </w:rPr>
              <w:t>预算数（调整后）</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546577FB">
            <w:pPr>
              <w:jc w:val="center"/>
            </w:pPr>
            <w:r>
              <w:rPr>
                <w:rFonts w:ascii="宋体" w:hAnsi="宋体" w:eastAsia="宋体"/>
                <w:sz w:val="16"/>
              </w:rPr>
              <w:t>执行数</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4639462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41840B">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7221DA">
            <w:pPr>
              <w:jc w:val="center"/>
            </w:pPr>
            <w:r>
              <w:rPr>
                <w:rFonts w:ascii="宋体" w:hAnsi="宋体" w:eastAsia="宋体"/>
                <w:sz w:val="16"/>
              </w:rPr>
              <w:t>得分</w:t>
            </w:r>
          </w:p>
        </w:tc>
      </w:tr>
      <w:tr w14:paraId="72BA923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79FCC5"/>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3185A8C4">
            <w:pPr>
              <w:jc w:val="center"/>
            </w:pPr>
            <w:r>
              <w:rPr>
                <w:rFonts w:ascii="宋体" w:hAnsi="宋体" w:eastAsia="宋体"/>
                <w:sz w:val="16"/>
              </w:rPr>
              <w:t>年度总资金：</w:t>
            </w:r>
          </w:p>
        </w:tc>
        <w:tc>
          <w:tcPr>
            <w:tcW w:w="1486" w:type="dxa"/>
            <w:tcBorders>
              <w:top w:val="single" w:color="auto" w:sz="10" w:space="0"/>
              <w:left w:val="single" w:color="auto" w:sz="10" w:space="0"/>
              <w:bottom w:val="single" w:color="auto" w:sz="10" w:space="0"/>
              <w:right w:val="single" w:color="auto" w:sz="10" w:space="0"/>
              <w:insideV w:val="single" w:sz="10" w:space="0"/>
            </w:tcBorders>
            <w:vAlign w:val="center"/>
          </w:tcPr>
          <w:p w14:paraId="22EDE099">
            <w:pPr>
              <w:jc w:val="center"/>
            </w:pPr>
            <w:r>
              <w:rPr>
                <w:rFonts w:ascii="宋体" w:hAnsi="宋体" w:eastAsia="宋体"/>
                <w:sz w:val="16"/>
              </w:rPr>
              <w:t>2,035.08</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6DA07B8C">
            <w:pPr>
              <w:jc w:val="center"/>
            </w:pPr>
            <w:r>
              <w:rPr>
                <w:rFonts w:ascii="宋体" w:hAnsi="宋体" w:eastAsia="宋体"/>
                <w:sz w:val="16"/>
              </w:rPr>
              <w:t>2,074.25</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6B4ABF24">
            <w:pPr>
              <w:jc w:val="center"/>
            </w:pPr>
            <w:r>
              <w:rPr>
                <w:rFonts w:ascii="宋体" w:hAnsi="宋体" w:eastAsia="宋体"/>
                <w:sz w:val="16"/>
              </w:rPr>
              <w:t>1,866.67</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30848E8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575578">
            <w:pPr>
              <w:jc w:val="center"/>
            </w:pPr>
            <w:r>
              <w:rPr>
                <w:rFonts w:ascii="宋体" w:hAnsi="宋体" w:eastAsia="宋体"/>
                <w:sz w:val="16"/>
              </w:rPr>
              <w:t>89.99%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991222">
            <w:pPr>
              <w:jc w:val="center"/>
              <w:rPr>
                <w:rFonts w:hint="default"/>
                <w:lang w:val="en-US"/>
              </w:rPr>
            </w:pPr>
            <w:r>
              <w:rPr>
                <w:rFonts w:hint="eastAsia" w:ascii="宋体" w:hAnsi="宋体"/>
                <w:sz w:val="16"/>
                <w:lang w:val="en-US" w:eastAsia="zh-CN"/>
              </w:rPr>
              <w:t>9.00分</w:t>
            </w:r>
            <w:bookmarkStart w:id="0" w:name="_GoBack"/>
            <w:bookmarkEnd w:id="0"/>
          </w:p>
        </w:tc>
      </w:tr>
      <w:tr w14:paraId="03A0737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E29230"/>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5AA544F1">
            <w:pPr>
              <w:jc w:val="center"/>
            </w:pPr>
            <w:r>
              <w:rPr>
                <w:rFonts w:ascii="宋体" w:hAnsi="宋体" w:eastAsia="宋体"/>
                <w:sz w:val="16"/>
              </w:rPr>
              <w:t>上级资金：</w:t>
            </w:r>
          </w:p>
        </w:tc>
        <w:tc>
          <w:tcPr>
            <w:tcW w:w="1486" w:type="dxa"/>
            <w:tcBorders>
              <w:top w:val="single" w:color="auto" w:sz="10" w:space="0"/>
              <w:left w:val="single" w:color="auto" w:sz="10" w:space="0"/>
              <w:bottom w:val="single" w:color="auto" w:sz="10" w:space="0"/>
              <w:right w:val="single" w:color="auto" w:sz="10" w:space="0"/>
              <w:insideV w:val="single" w:sz="10" w:space="0"/>
            </w:tcBorders>
            <w:vAlign w:val="center"/>
          </w:tcPr>
          <w:p w14:paraId="238ED32A">
            <w:pPr>
              <w:jc w:val="center"/>
            </w:pPr>
            <w:r>
              <w:rPr>
                <w:rFonts w:ascii="宋体" w:hAnsi="宋体" w:eastAsia="宋体"/>
                <w:sz w:val="16"/>
              </w:rPr>
              <w:t>20.05</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44665611">
            <w:pPr>
              <w:jc w:val="center"/>
            </w:pPr>
            <w:r>
              <w:rPr>
                <w:rFonts w:ascii="宋体" w:hAnsi="宋体" w:eastAsia="宋体"/>
                <w:sz w:val="16"/>
              </w:rPr>
              <w:t>51.02</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5F13361F">
            <w:pPr>
              <w:jc w:val="center"/>
            </w:pPr>
            <w:r>
              <w:rPr>
                <w:rFonts w:ascii="宋体" w:hAnsi="宋体" w:eastAsia="宋体"/>
                <w:sz w:val="16"/>
              </w:rPr>
              <w:t>51.02</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33F3CAF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049FC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841CB4">
            <w:pPr>
              <w:jc w:val="center"/>
            </w:pPr>
            <w:r>
              <w:rPr>
                <w:rFonts w:ascii="宋体" w:hAnsi="宋体" w:eastAsia="宋体"/>
                <w:sz w:val="16"/>
              </w:rPr>
              <w:t>—</w:t>
            </w:r>
          </w:p>
        </w:tc>
      </w:tr>
      <w:tr w14:paraId="6DA930C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17712F"/>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5B9FBC47">
            <w:pPr>
              <w:jc w:val="center"/>
            </w:pPr>
            <w:r>
              <w:rPr>
                <w:rFonts w:ascii="宋体" w:hAnsi="宋体" w:eastAsia="宋体"/>
                <w:sz w:val="16"/>
              </w:rPr>
              <w:t>本级资金：</w:t>
            </w:r>
          </w:p>
        </w:tc>
        <w:tc>
          <w:tcPr>
            <w:tcW w:w="1486" w:type="dxa"/>
            <w:tcBorders>
              <w:top w:val="single" w:color="auto" w:sz="10" w:space="0"/>
              <w:left w:val="single" w:color="auto" w:sz="10" w:space="0"/>
              <w:bottom w:val="single" w:color="auto" w:sz="10" w:space="0"/>
              <w:right w:val="single" w:color="auto" w:sz="10" w:space="0"/>
              <w:insideV w:val="single" w:sz="10" w:space="0"/>
            </w:tcBorders>
            <w:vAlign w:val="center"/>
          </w:tcPr>
          <w:p w14:paraId="58B6B44C">
            <w:pPr>
              <w:jc w:val="center"/>
            </w:pPr>
            <w:r>
              <w:rPr>
                <w:rFonts w:ascii="宋体" w:hAnsi="宋体" w:eastAsia="宋体"/>
                <w:sz w:val="16"/>
              </w:rPr>
              <w:t>1,628.03</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6C644DB1">
            <w:pPr>
              <w:jc w:val="center"/>
            </w:pPr>
            <w:r>
              <w:rPr>
                <w:rFonts w:ascii="宋体" w:hAnsi="宋体" w:eastAsia="宋体"/>
                <w:sz w:val="16"/>
              </w:rPr>
              <w:t>1,988.33</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7F010917">
            <w:pPr>
              <w:jc w:val="center"/>
            </w:pPr>
            <w:r>
              <w:rPr>
                <w:rFonts w:ascii="宋体" w:hAnsi="宋体" w:eastAsia="宋体"/>
                <w:sz w:val="16"/>
              </w:rPr>
              <w:t>1,780.75</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5E53187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E7DD5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507192">
            <w:pPr>
              <w:jc w:val="center"/>
            </w:pPr>
            <w:r>
              <w:rPr>
                <w:rFonts w:ascii="宋体" w:hAnsi="宋体" w:eastAsia="宋体"/>
                <w:sz w:val="16"/>
              </w:rPr>
              <w:t>—</w:t>
            </w:r>
          </w:p>
        </w:tc>
      </w:tr>
      <w:tr w14:paraId="7F8A889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01DAE2"/>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0BAD60D1">
            <w:pPr>
              <w:jc w:val="center"/>
            </w:pPr>
            <w:r>
              <w:rPr>
                <w:rFonts w:ascii="宋体" w:hAnsi="宋体" w:eastAsia="宋体"/>
                <w:sz w:val="16"/>
              </w:rPr>
              <w:t>其他资金：</w:t>
            </w:r>
          </w:p>
        </w:tc>
        <w:tc>
          <w:tcPr>
            <w:tcW w:w="1486" w:type="dxa"/>
            <w:tcBorders>
              <w:top w:val="single" w:color="auto" w:sz="10" w:space="0"/>
              <w:left w:val="single" w:color="auto" w:sz="10" w:space="0"/>
              <w:bottom w:val="single" w:color="auto" w:sz="10" w:space="0"/>
              <w:right w:val="single" w:color="auto" w:sz="10" w:space="0"/>
              <w:insideV w:val="single" w:sz="10" w:space="0"/>
            </w:tcBorders>
            <w:vAlign w:val="center"/>
          </w:tcPr>
          <w:p w14:paraId="5B6AACD3">
            <w:pPr>
              <w:jc w:val="center"/>
            </w:pPr>
            <w:r>
              <w:rPr>
                <w:rFonts w:ascii="宋体" w:hAnsi="宋体" w:eastAsia="宋体"/>
                <w:sz w:val="16"/>
              </w:rPr>
              <w:t>387.00</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0663B522">
            <w:pPr>
              <w:jc w:val="center"/>
            </w:pPr>
            <w:r>
              <w:rPr>
                <w:rFonts w:ascii="宋体" w:hAnsi="宋体" w:eastAsia="宋体"/>
                <w:sz w:val="16"/>
              </w:rPr>
              <w:t>34.90</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6B14EEF4">
            <w:pPr>
              <w:jc w:val="center"/>
            </w:pPr>
            <w:r>
              <w:rPr>
                <w:rFonts w:ascii="宋体" w:hAnsi="宋体" w:eastAsia="宋体"/>
                <w:sz w:val="16"/>
              </w:rPr>
              <w:t>34.90</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4D72235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5DD9D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9DA1FC">
            <w:pPr>
              <w:jc w:val="center"/>
            </w:pPr>
            <w:r>
              <w:rPr>
                <w:rFonts w:ascii="宋体" w:hAnsi="宋体" w:eastAsia="宋体"/>
                <w:sz w:val="16"/>
              </w:rPr>
              <w:t>—</w:t>
            </w:r>
          </w:p>
        </w:tc>
      </w:tr>
      <w:tr w14:paraId="7F3AFFD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6883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336D2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EBD1F3">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74D87A1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0474D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2E7976">
            <w:pPr>
              <w:jc w:val="both"/>
            </w:pPr>
            <w:r>
              <w:rPr>
                <w:rFonts w:ascii="宋体" w:hAnsi="宋体" w:eastAsia="宋体"/>
                <w:sz w:val="16"/>
              </w:rPr>
              <w:t>持续深化财税体制改革，全面深化预算管理制度改革，增强财政宏观调控效能，优化财政支出结构，从严控制一般性支出，加大民生投入，持续保障和改善民生；加快资金支出进度，落实自治州促进经济社会发展的各项政策措施；强化预决算公开，提升预算绩效管理水平，提高财政资源配置效率和资金使用效益，推进自治州经济社会高质量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149EBE">
            <w:pPr>
              <w:jc w:val="both"/>
            </w:pPr>
            <w:r>
              <w:rPr>
                <w:rFonts w:ascii="宋体" w:hAnsi="宋体" w:eastAsia="宋体"/>
                <w:sz w:val="16"/>
              </w:rPr>
              <w:t>加强收支管理，保障经济社会发展务实笃行。一是高标准强化组织收入。紧盯目标任务依法推进组织收入工作，围绕“经济、政策、征管”三大因素，加强与税务、自然资源等执收部门的协作配合，坚持“旬调度、月分析”制度，定期调度县（市）收入情况，按月形成《财政预算执行情况报告》，全面分析收入动态趋势和增（减）收因素，做到依法依规、应收尽收、不收过头税，全州一般公共预算收入预计完成24.82亿元，同比增加3.24亿元，增长15.05%；本级部门预决算全面公开数量138家；依据《中华人民共和国预算法》和《关于印发&lt;关于进一步规范财政预算管理的工作意见&gt;的通知》（新财预〔2019〕124号）规定，到位转移支付资金均在30日内下达到本级部门单位和下级财政部门，切实提高了资金使用效率；站稳人民立场，改善民生福祉持续扎实有效。民生领域支出保障有力。全州用于民生领域支出164.71亿元，占一般公共预算支出的77.44%。</w:t>
            </w:r>
          </w:p>
        </w:tc>
      </w:tr>
      <w:tr w14:paraId="65E1F36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143F0B">
            <w:pPr>
              <w:jc w:val="center"/>
            </w:pPr>
            <w:r>
              <w:rPr>
                <w:rFonts w:ascii="宋体" w:hAnsi="宋体" w:eastAsia="宋体"/>
                <w:sz w:val="16"/>
              </w:rPr>
              <w:t>一级指标</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45A49076">
            <w:pPr>
              <w:jc w:val="center"/>
            </w:pPr>
            <w:r>
              <w:rPr>
                <w:rFonts w:ascii="宋体" w:hAnsi="宋体" w:eastAsia="宋体"/>
                <w:sz w:val="16"/>
              </w:rPr>
              <w:t>二级指标</w:t>
            </w:r>
          </w:p>
        </w:tc>
        <w:tc>
          <w:tcPr>
            <w:tcW w:w="1486" w:type="dxa"/>
            <w:tcBorders>
              <w:top w:val="single" w:color="auto" w:sz="10" w:space="0"/>
              <w:left w:val="single" w:color="auto" w:sz="10" w:space="0"/>
              <w:bottom w:val="single" w:color="auto" w:sz="10" w:space="0"/>
              <w:right w:val="single" w:color="auto" w:sz="10" w:space="0"/>
              <w:insideV w:val="single" w:sz="10" w:space="0"/>
            </w:tcBorders>
            <w:vAlign w:val="center"/>
          </w:tcPr>
          <w:p w14:paraId="6CE2954C">
            <w:pPr>
              <w:jc w:val="center"/>
            </w:pPr>
            <w:r>
              <w:rPr>
                <w:rFonts w:ascii="宋体" w:hAnsi="宋体" w:eastAsia="宋体"/>
                <w:sz w:val="16"/>
              </w:rPr>
              <w:t>三级指标</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2A9B1988">
            <w:pPr>
              <w:jc w:val="center"/>
            </w:pPr>
            <w:r>
              <w:rPr>
                <w:rFonts w:ascii="宋体" w:hAnsi="宋体" w:eastAsia="宋体"/>
                <w:sz w:val="16"/>
              </w:rPr>
              <w:t>指标值</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34A45FE9">
            <w:pPr>
              <w:jc w:val="center"/>
            </w:pPr>
            <w:r>
              <w:rPr>
                <w:rFonts w:ascii="宋体" w:hAnsi="宋体" w:eastAsia="宋体"/>
                <w:sz w:val="16"/>
              </w:rPr>
              <w:t>指标值设定依据</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7D098AF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69CF1F">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0F0C63">
            <w:pPr>
              <w:jc w:val="center"/>
            </w:pPr>
            <w:r>
              <w:rPr>
                <w:rFonts w:ascii="宋体" w:hAnsi="宋体" w:eastAsia="宋体"/>
                <w:sz w:val="16"/>
              </w:rPr>
              <w:t>得分</w:t>
            </w:r>
          </w:p>
        </w:tc>
      </w:tr>
      <w:tr w14:paraId="25CC5F9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B1939">
            <w:pPr>
              <w:jc w:val="center"/>
            </w:pPr>
            <w:r>
              <w:rPr>
                <w:rFonts w:ascii="宋体" w:hAnsi="宋体" w:eastAsia="宋体"/>
                <w:sz w:val="16"/>
              </w:rPr>
              <w:t>履职效能</w:t>
            </w:r>
          </w:p>
        </w:tc>
        <w:tc>
          <w:tcPr>
            <w:tcW w:w="87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0AE0A">
            <w:pPr>
              <w:jc w:val="center"/>
            </w:pPr>
            <w:r>
              <w:rPr>
                <w:rFonts w:ascii="宋体" w:hAnsi="宋体" w:eastAsia="宋体"/>
                <w:sz w:val="16"/>
              </w:rPr>
              <w:t>数量指标</w:t>
            </w:r>
          </w:p>
        </w:tc>
        <w:tc>
          <w:tcPr>
            <w:tcW w:w="1486" w:type="dxa"/>
            <w:tcBorders>
              <w:top w:val="single" w:color="auto" w:sz="10" w:space="0"/>
              <w:left w:val="single" w:color="auto" w:sz="10" w:space="0"/>
              <w:bottom w:val="single" w:color="auto" w:sz="10" w:space="0"/>
              <w:right w:val="single" w:color="auto" w:sz="10" w:space="0"/>
              <w:insideV w:val="single" w:sz="10" w:space="0"/>
            </w:tcBorders>
            <w:vAlign w:val="center"/>
          </w:tcPr>
          <w:p w14:paraId="364A6B3D">
            <w:pPr>
              <w:jc w:val="center"/>
            </w:pPr>
            <w:r>
              <w:rPr>
                <w:rFonts w:ascii="宋体" w:hAnsi="宋体" w:eastAsia="宋体"/>
                <w:sz w:val="16"/>
              </w:rPr>
              <w:t>自治州一般公共预算收入增长率（%）</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4DEF1B07">
            <w:pPr>
              <w:jc w:val="center"/>
            </w:pPr>
            <w:r>
              <w:rPr>
                <w:rFonts w:ascii="宋体" w:hAnsi="宋体" w:eastAsia="宋体"/>
                <w:sz w:val="16"/>
              </w:rPr>
              <w:t>&gt;=10.03%</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63A7C1FF">
            <w:pPr>
              <w:jc w:val="center"/>
            </w:pPr>
            <w:r>
              <w:rPr>
                <w:rFonts w:ascii="宋体" w:hAnsi="宋体" w:eastAsia="宋体"/>
                <w:sz w:val="16"/>
              </w:rPr>
              <w:t>2024年自治州预算草案</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15AD361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4A88F3">
            <w:pPr>
              <w:jc w:val="center"/>
            </w:pPr>
            <w:r>
              <w:rPr>
                <w:rFonts w:ascii="宋体" w:hAnsi="宋体" w:eastAsia="宋体"/>
                <w:sz w:val="16"/>
              </w:rPr>
              <w:t>15.05%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78F0C2">
            <w:pPr>
              <w:jc w:val="center"/>
            </w:pPr>
            <w:r>
              <w:rPr>
                <w:rFonts w:ascii="宋体" w:hAnsi="宋体" w:eastAsia="宋体"/>
                <w:sz w:val="16"/>
              </w:rPr>
              <w:t>30</w:t>
            </w:r>
          </w:p>
        </w:tc>
      </w:tr>
      <w:tr w14:paraId="1F3D2FA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453B69"/>
        </w:tc>
        <w:tc>
          <w:tcPr>
            <w:tcW w:w="876" w:type="dxa"/>
            <w:vMerge w:val="continue"/>
            <w:tcBorders>
              <w:top w:val="single" w:color="auto" w:sz="10" w:space="0"/>
              <w:left w:val="single" w:color="auto" w:sz="10" w:space="0"/>
              <w:bottom w:val="single" w:color="auto" w:sz="10" w:space="0"/>
              <w:right w:val="single" w:color="auto" w:sz="10" w:space="0"/>
              <w:insideV w:val="single" w:sz="10" w:space="0"/>
            </w:tcBorders>
          </w:tcPr>
          <w:p w14:paraId="57D39839"/>
        </w:tc>
        <w:tc>
          <w:tcPr>
            <w:tcW w:w="1486" w:type="dxa"/>
            <w:tcBorders>
              <w:top w:val="single" w:color="auto" w:sz="10" w:space="0"/>
              <w:left w:val="single" w:color="auto" w:sz="10" w:space="0"/>
              <w:bottom w:val="single" w:color="auto" w:sz="10" w:space="0"/>
              <w:right w:val="single" w:color="auto" w:sz="10" w:space="0"/>
              <w:insideV w:val="single" w:sz="10" w:space="0"/>
            </w:tcBorders>
            <w:vAlign w:val="center"/>
          </w:tcPr>
          <w:p w14:paraId="53D9D47A">
            <w:pPr>
              <w:jc w:val="center"/>
            </w:pPr>
            <w:r>
              <w:rPr>
                <w:rFonts w:ascii="宋体" w:hAnsi="宋体" w:eastAsia="宋体"/>
                <w:sz w:val="16"/>
              </w:rPr>
              <w:t>本级部门预决算全面公开数量（家）</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061F294C">
            <w:pPr>
              <w:jc w:val="center"/>
            </w:pPr>
            <w:r>
              <w:rPr>
                <w:rFonts w:ascii="宋体" w:hAnsi="宋体" w:eastAsia="宋体"/>
                <w:sz w:val="16"/>
              </w:rPr>
              <w:t>&gt;=138家</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58E028EB">
            <w:pPr>
              <w:jc w:val="center"/>
            </w:pPr>
            <w:r>
              <w:rPr>
                <w:rFonts w:ascii="宋体" w:hAnsi="宋体" w:eastAsia="宋体"/>
                <w:sz w:val="16"/>
              </w:rPr>
              <w:t>本级部门预算单位清单</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195A68D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DB6B8B">
            <w:pPr>
              <w:jc w:val="center"/>
            </w:pPr>
            <w:r>
              <w:rPr>
                <w:rFonts w:ascii="宋体" w:hAnsi="宋体" w:eastAsia="宋体"/>
                <w:sz w:val="16"/>
              </w:rPr>
              <w:t>138家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35B90">
            <w:pPr>
              <w:jc w:val="center"/>
            </w:pPr>
            <w:r>
              <w:rPr>
                <w:rFonts w:ascii="宋体" w:hAnsi="宋体" w:eastAsia="宋体"/>
                <w:sz w:val="16"/>
              </w:rPr>
              <w:t>15</w:t>
            </w:r>
          </w:p>
        </w:tc>
      </w:tr>
      <w:tr w14:paraId="67F12E7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614AC1"/>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5E7487AF">
            <w:pPr>
              <w:jc w:val="center"/>
            </w:pPr>
            <w:r>
              <w:rPr>
                <w:rFonts w:ascii="宋体" w:hAnsi="宋体" w:eastAsia="宋体"/>
                <w:sz w:val="16"/>
              </w:rPr>
              <w:t>时效指标</w:t>
            </w:r>
          </w:p>
        </w:tc>
        <w:tc>
          <w:tcPr>
            <w:tcW w:w="1486" w:type="dxa"/>
            <w:tcBorders>
              <w:top w:val="single" w:color="auto" w:sz="10" w:space="0"/>
              <w:left w:val="single" w:color="auto" w:sz="10" w:space="0"/>
              <w:bottom w:val="single" w:color="auto" w:sz="10" w:space="0"/>
              <w:right w:val="single" w:color="auto" w:sz="10" w:space="0"/>
              <w:insideV w:val="single" w:sz="10" w:space="0"/>
            </w:tcBorders>
            <w:vAlign w:val="center"/>
          </w:tcPr>
          <w:p w14:paraId="612AF5D8">
            <w:pPr>
              <w:jc w:val="center"/>
            </w:pPr>
            <w:r>
              <w:rPr>
                <w:rFonts w:ascii="宋体" w:hAnsi="宋体" w:eastAsia="宋体"/>
                <w:sz w:val="16"/>
              </w:rPr>
              <w:t>上级转移支付30日内下达（%）</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05E3A01E">
            <w:pPr>
              <w:jc w:val="center"/>
            </w:pPr>
            <w:r>
              <w:rPr>
                <w:rFonts w:ascii="宋体" w:hAnsi="宋体" w:eastAsia="宋体"/>
                <w:sz w:val="16"/>
              </w:rPr>
              <w:t>&gt;=100%</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0AFDBC22">
            <w:pPr>
              <w:jc w:val="center"/>
            </w:pPr>
            <w:r>
              <w:rPr>
                <w:rFonts w:ascii="宋体" w:hAnsi="宋体" w:eastAsia="宋体"/>
                <w:sz w:val="16"/>
              </w:rPr>
              <w:t>政策制度</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49BFE82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E9F91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80335E">
            <w:pPr>
              <w:jc w:val="center"/>
            </w:pPr>
            <w:r>
              <w:rPr>
                <w:rFonts w:ascii="宋体" w:hAnsi="宋体" w:eastAsia="宋体"/>
                <w:sz w:val="16"/>
              </w:rPr>
              <w:t>15</w:t>
            </w:r>
          </w:p>
        </w:tc>
      </w:tr>
      <w:tr w14:paraId="3855190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AEAF1F">
            <w:pPr>
              <w:jc w:val="center"/>
            </w:pPr>
            <w:r>
              <w:rPr>
                <w:rFonts w:ascii="宋体" w:hAnsi="宋体" w:eastAsia="宋体"/>
                <w:sz w:val="16"/>
              </w:rPr>
              <w:t>社会效益</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08C73F5E">
            <w:pPr>
              <w:jc w:val="center"/>
            </w:pPr>
            <w:r>
              <w:rPr>
                <w:rFonts w:ascii="宋体" w:hAnsi="宋体" w:eastAsia="宋体"/>
                <w:sz w:val="16"/>
              </w:rPr>
              <w:t>质量指标</w:t>
            </w:r>
          </w:p>
        </w:tc>
        <w:tc>
          <w:tcPr>
            <w:tcW w:w="1486" w:type="dxa"/>
            <w:tcBorders>
              <w:top w:val="single" w:color="auto" w:sz="10" w:space="0"/>
              <w:left w:val="single" w:color="auto" w:sz="10" w:space="0"/>
              <w:bottom w:val="single" w:color="auto" w:sz="10" w:space="0"/>
              <w:right w:val="single" w:color="auto" w:sz="10" w:space="0"/>
              <w:insideV w:val="single" w:sz="10" w:space="0"/>
            </w:tcBorders>
            <w:vAlign w:val="center"/>
          </w:tcPr>
          <w:p w14:paraId="6EA4FAFA">
            <w:pPr>
              <w:jc w:val="center"/>
            </w:pPr>
            <w:r>
              <w:rPr>
                <w:rFonts w:ascii="宋体" w:hAnsi="宋体" w:eastAsia="宋体"/>
                <w:sz w:val="16"/>
              </w:rPr>
              <w:t>自治州民生支出占一般公共预算支出比重（%）</w:t>
            </w:r>
          </w:p>
        </w:tc>
        <w:tc>
          <w:tcPr>
            <w:tcW w:w="953" w:type="dxa"/>
            <w:tcBorders>
              <w:top w:val="single" w:color="auto" w:sz="10" w:space="0"/>
              <w:left w:val="single" w:color="auto" w:sz="10" w:space="0"/>
              <w:bottom w:val="single" w:color="auto" w:sz="10" w:space="0"/>
              <w:right w:val="single" w:color="auto" w:sz="10" w:space="0"/>
              <w:insideV w:val="single" w:sz="10" w:space="0"/>
            </w:tcBorders>
            <w:vAlign w:val="center"/>
          </w:tcPr>
          <w:p w14:paraId="493ACC67">
            <w:pPr>
              <w:jc w:val="center"/>
            </w:pPr>
            <w:r>
              <w:rPr>
                <w:rFonts w:ascii="宋体" w:hAnsi="宋体" w:eastAsia="宋体"/>
                <w:sz w:val="16"/>
              </w:rPr>
              <w:t>&gt;=70%</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44704A87">
            <w:pPr>
              <w:jc w:val="center"/>
            </w:pPr>
            <w:r>
              <w:rPr>
                <w:rFonts w:ascii="宋体" w:hAnsi="宋体" w:eastAsia="宋体"/>
                <w:sz w:val="16"/>
              </w:rPr>
              <w:t>自治州政府工作报告</w:t>
            </w:r>
          </w:p>
        </w:tc>
        <w:tc>
          <w:tcPr>
            <w:tcW w:w="954" w:type="dxa"/>
            <w:tcBorders>
              <w:top w:val="single" w:color="auto" w:sz="10" w:space="0"/>
              <w:left w:val="single" w:color="auto" w:sz="10" w:space="0"/>
              <w:bottom w:val="single" w:color="auto" w:sz="10" w:space="0"/>
              <w:right w:val="single" w:color="auto" w:sz="10" w:space="0"/>
              <w:insideV w:val="single" w:sz="10" w:space="0"/>
            </w:tcBorders>
            <w:vAlign w:val="center"/>
          </w:tcPr>
          <w:p w14:paraId="57D2826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B7F8E1">
            <w:pPr>
              <w:jc w:val="center"/>
            </w:pPr>
            <w:r>
              <w:rPr>
                <w:rFonts w:ascii="宋体" w:hAnsi="宋体" w:eastAsia="宋体"/>
                <w:sz w:val="16"/>
              </w:rPr>
              <w:t>77.44%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2CD886">
            <w:pPr>
              <w:jc w:val="center"/>
            </w:pPr>
            <w:r>
              <w:rPr>
                <w:rFonts w:ascii="宋体" w:hAnsi="宋体" w:eastAsia="宋体"/>
                <w:sz w:val="16"/>
              </w:rPr>
              <w:t>30</w:t>
            </w:r>
          </w:p>
        </w:tc>
      </w:tr>
    </w:tbl>
    <w:p w14:paraId="154739D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696"/>
        <w:gridCol w:w="625"/>
        <w:gridCol w:w="632"/>
        <w:gridCol w:w="626"/>
        <w:gridCol w:w="626"/>
        <w:gridCol w:w="626"/>
        <w:gridCol w:w="776"/>
        <w:gridCol w:w="631"/>
        <w:gridCol w:w="617"/>
        <w:gridCol w:w="630"/>
      </w:tblGrid>
      <w:tr w14:paraId="3D69DB08">
        <w:tblPrEx>
          <w:tblCellMar>
            <w:top w:w="0" w:type="dxa"/>
            <w:left w:w="108" w:type="dxa"/>
            <w:bottom w:w="0" w:type="dxa"/>
            <w:right w:w="108" w:type="dxa"/>
          </w:tblCellMar>
        </w:tblPrEx>
        <w:tc>
          <w:tcPr>
            <w:tcW w:w="8848" w:type="dxa"/>
            <w:gridSpan w:val="14"/>
            <w:vAlign w:val="center"/>
          </w:tcPr>
          <w:p w14:paraId="6E9F9B5B">
            <w:pPr>
              <w:jc w:val="center"/>
            </w:pPr>
            <w:r>
              <w:rPr>
                <w:rFonts w:ascii="宋体" w:hAnsi="宋体" w:eastAsia="宋体"/>
                <w:sz w:val="24"/>
              </w:rPr>
              <w:t>项目支出绩效自评表</w:t>
            </w:r>
          </w:p>
        </w:tc>
      </w:tr>
      <w:tr w14:paraId="59E19968">
        <w:tblPrEx>
          <w:tblCellMar>
            <w:top w:w="0" w:type="dxa"/>
            <w:left w:w="108" w:type="dxa"/>
            <w:bottom w:w="0" w:type="dxa"/>
            <w:right w:w="108" w:type="dxa"/>
          </w:tblCellMar>
        </w:tblPrEx>
        <w:tc>
          <w:tcPr>
            <w:tcW w:w="8848" w:type="dxa"/>
            <w:gridSpan w:val="14"/>
            <w:vAlign w:val="center"/>
          </w:tcPr>
          <w:p w14:paraId="7F2C239E">
            <w:pPr>
              <w:jc w:val="center"/>
            </w:pPr>
            <w:r>
              <w:rPr>
                <w:rFonts w:ascii="宋体" w:hAnsi="宋体" w:eastAsia="宋体"/>
                <w:sz w:val="24"/>
              </w:rPr>
              <w:t>(2024年度)</w:t>
            </w:r>
          </w:p>
        </w:tc>
      </w:tr>
      <w:tr w14:paraId="1B0BDB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45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3D8FF9">
            <w:pPr>
              <w:jc w:val="center"/>
            </w:pPr>
            <w:r>
              <w:rPr>
                <w:rFonts w:ascii="宋体" w:hAnsi="宋体" w:eastAsia="宋体"/>
                <w:sz w:val="16"/>
              </w:rPr>
              <w:t>2023年度会计职称考试考务费结转项目</w:t>
            </w:r>
          </w:p>
        </w:tc>
      </w:tr>
      <w:tr w14:paraId="77A173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B7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3EE267">
            <w:pPr>
              <w:jc w:val="center"/>
            </w:pPr>
            <w:r>
              <w:rPr>
                <w:rFonts w:ascii="宋体" w:hAnsi="宋体" w:eastAsia="宋体"/>
                <w:sz w:val="16"/>
              </w:rPr>
              <w:t>克州财政局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D5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E6A874">
            <w:pPr>
              <w:jc w:val="center"/>
            </w:pPr>
            <w:r>
              <w:rPr>
                <w:rFonts w:ascii="宋体" w:hAnsi="宋体" w:eastAsia="宋体"/>
                <w:sz w:val="16"/>
              </w:rPr>
              <w:t>克孜勒苏柯尔克孜自治州财政局</w:t>
            </w:r>
          </w:p>
        </w:tc>
      </w:tr>
      <w:tr w14:paraId="2EFDD9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155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593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98E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174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E8B5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4BD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167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FDFE">
            <w:pPr>
              <w:jc w:val="center"/>
            </w:pPr>
            <w:r>
              <w:rPr>
                <w:rFonts w:ascii="宋体" w:hAnsi="宋体" w:eastAsia="宋体"/>
                <w:sz w:val="16"/>
              </w:rPr>
              <w:t>得分</w:t>
            </w:r>
          </w:p>
        </w:tc>
      </w:tr>
      <w:tr w14:paraId="3A2E6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5D7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D71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345E8">
            <w:pPr>
              <w:jc w:val="center"/>
            </w:pPr>
            <w:r>
              <w:rPr>
                <w:rFonts w:ascii="宋体" w:hAnsi="宋体" w:eastAsia="宋体"/>
                <w:sz w:val="16"/>
              </w:rPr>
              <w:t>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3CDFB">
            <w:pPr>
              <w:jc w:val="center"/>
            </w:pPr>
            <w:r>
              <w:rPr>
                <w:rFonts w:ascii="宋体" w:hAnsi="宋体" w:eastAsia="宋体"/>
                <w:sz w:val="16"/>
              </w:rPr>
              <w:t>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74027">
            <w:pPr>
              <w:jc w:val="center"/>
            </w:pPr>
            <w:r>
              <w:rPr>
                <w:rFonts w:ascii="宋体" w:hAnsi="宋体" w:eastAsia="宋体"/>
                <w:sz w:val="16"/>
              </w:rPr>
              <w:t>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A3E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AFA96">
            <w:pPr>
              <w:jc w:val="center"/>
            </w:pPr>
            <w:r>
              <w:rPr>
                <w:rFonts w:ascii="宋体" w:hAnsi="宋体" w:eastAsia="宋体"/>
                <w:sz w:val="16"/>
              </w:rPr>
              <w:t>47.9%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3C22">
            <w:pPr>
              <w:jc w:val="center"/>
            </w:pPr>
            <w:r>
              <w:rPr>
                <w:rFonts w:ascii="宋体" w:hAnsi="宋体" w:eastAsia="宋体"/>
                <w:sz w:val="16"/>
              </w:rPr>
              <w:t>0.00分</w:t>
            </w:r>
          </w:p>
        </w:tc>
      </w:tr>
      <w:tr w14:paraId="596D1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368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424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FE685">
            <w:pPr>
              <w:jc w:val="center"/>
            </w:pPr>
            <w:r>
              <w:rPr>
                <w:rFonts w:ascii="宋体" w:hAnsi="宋体" w:eastAsia="宋体"/>
                <w:sz w:val="16"/>
              </w:rPr>
              <w:t>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8DBE4">
            <w:pPr>
              <w:jc w:val="center"/>
            </w:pPr>
            <w:r>
              <w:rPr>
                <w:rFonts w:ascii="宋体" w:hAnsi="宋体" w:eastAsia="宋体"/>
                <w:sz w:val="16"/>
              </w:rPr>
              <w:t>5.82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BBD6B">
            <w:pPr>
              <w:jc w:val="center"/>
              <w:rPr>
                <w:rFonts w:hint="default" w:eastAsia="宋体"/>
                <w:lang w:val="en-US" w:eastAsia="zh-CN"/>
              </w:rPr>
            </w:pPr>
            <w:r>
              <w:rPr>
                <w:rFonts w:ascii="宋体" w:hAnsi="宋体" w:eastAsia="宋体"/>
                <w:sz w:val="16"/>
              </w:rPr>
              <w:t>2.</w:t>
            </w:r>
            <w:r>
              <w:rPr>
                <w:rFonts w:hint="eastAsia" w:ascii="宋体" w:hAnsi="宋体"/>
                <w:sz w:val="16"/>
                <w:lang w:val="en-US" w:eastAsia="zh-CN"/>
              </w:rPr>
              <w:t>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86F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B6D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5DBA">
            <w:pPr>
              <w:jc w:val="center"/>
            </w:pPr>
            <w:r>
              <w:rPr>
                <w:rFonts w:ascii="宋体" w:hAnsi="宋体" w:eastAsia="宋体"/>
                <w:sz w:val="16"/>
              </w:rPr>
              <w:t>—</w:t>
            </w:r>
          </w:p>
        </w:tc>
      </w:tr>
      <w:tr w14:paraId="36FB5F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9E4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9D3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B6F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881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A71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A57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D96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01394">
            <w:pPr>
              <w:jc w:val="center"/>
            </w:pPr>
            <w:r>
              <w:rPr>
                <w:rFonts w:ascii="宋体" w:hAnsi="宋体" w:eastAsia="宋体"/>
                <w:sz w:val="16"/>
              </w:rPr>
              <w:t>—</w:t>
            </w:r>
          </w:p>
        </w:tc>
      </w:tr>
      <w:tr w14:paraId="2C2287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C47A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48A5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D1EB2F">
            <w:pPr>
              <w:jc w:val="center"/>
            </w:pPr>
            <w:r>
              <w:rPr>
                <w:rFonts w:ascii="宋体" w:hAnsi="宋体" w:eastAsia="宋体"/>
                <w:sz w:val="16"/>
              </w:rPr>
              <w:t>实际完成情况</w:t>
            </w:r>
          </w:p>
        </w:tc>
      </w:tr>
      <w:tr w14:paraId="66D33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E66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468BA6">
            <w:pPr>
              <w:jc w:val="both"/>
            </w:pPr>
            <w:r>
              <w:rPr>
                <w:rFonts w:ascii="宋体" w:hAnsi="宋体" w:eastAsia="宋体"/>
                <w:sz w:val="16"/>
              </w:rPr>
              <w:t>会计职称考试工作经费项目金额5.82万元，预计2021年初级考试参与人数900人，中级189人，组织考试，初、中级各一场。2021年会计初、中</w:t>
            </w:r>
            <w:r>
              <w:rPr>
                <w:rFonts w:hint="eastAsia" w:ascii="宋体" w:hAnsi="宋体"/>
                <w:sz w:val="16"/>
                <w:lang w:eastAsia="zh-CN"/>
              </w:rPr>
              <w:t>职称</w:t>
            </w:r>
            <w:r>
              <w:rPr>
                <w:rFonts w:ascii="宋体" w:hAnsi="宋体" w:eastAsia="宋体"/>
                <w:sz w:val="16"/>
              </w:rPr>
              <w:t>考试按时顺利开展，及时发放考试费用，为各行业部门选拔会计人才，为社会发展进步做出贡献，为克州的经济发展提供会计人才支撑。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7116D8">
            <w:pPr>
              <w:jc w:val="both"/>
            </w:pPr>
            <w:r>
              <w:rPr>
                <w:rFonts w:ascii="宋体" w:hAnsi="宋体" w:eastAsia="宋体"/>
                <w:sz w:val="16"/>
              </w:rPr>
              <w:t>截至2024年12月31日，已完成初级资格考试907人，中级资格考试162人，组织考试2场次。通过项目实施，为各行业部门选拔会计人才，为社会发展进步做出贡献，为克州的经济发展提供会计人才支撑。</w:t>
            </w:r>
          </w:p>
        </w:tc>
      </w:tr>
      <w:tr w14:paraId="4E1ED8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759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FC9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0B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FB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540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C5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2EB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45F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A9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6E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AAB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761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1BA4B">
            <w:pPr>
              <w:jc w:val="center"/>
            </w:pPr>
            <w:r>
              <w:rPr>
                <w:rFonts w:ascii="宋体" w:hAnsi="宋体" w:eastAsia="宋体"/>
                <w:sz w:val="16"/>
              </w:rPr>
              <w:t>偏差原因分析及改进措施</w:t>
            </w:r>
          </w:p>
        </w:tc>
      </w:tr>
      <w:tr w14:paraId="720103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F8D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865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240F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A01E">
            <w:pPr>
              <w:jc w:val="center"/>
            </w:pPr>
            <w:r>
              <w:rPr>
                <w:rFonts w:ascii="宋体" w:hAnsi="宋体" w:eastAsia="宋体"/>
                <w:sz w:val="16"/>
              </w:rPr>
              <w:t>初级资格考试报名人数（人）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B8DA">
            <w:pPr>
              <w:jc w:val="center"/>
            </w:pPr>
            <w:r>
              <w:rPr>
                <w:rFonts w:ascii="宋体" w:hAnsi="宋体" w:eastAsia="宋体"/>
                <w:sz w:val="16"/>
              </w:rPr>
              <w:t>&gt;=800人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EE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0E7B">
            <w:pPr>
              <w:jc w:val="center"/>
            </w:pPr>
            <w:r>
              <w:rPr>
                <w:rFonts w:ascii="宋体" w:hAnsi="宋体" w:eastAsia="宋体"/>
                <w:sz w:val="16"/>
              </w:rPr>
              <w:t>816人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E8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2C2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00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2940">
            <w:pPr>
              <w:jc w:val="center"/>
            </w:pPr>
            <w:r>
              <w:rPr>
                <w:rFonts w:ascii="宋体" w:hAnsi="宋体" w:eastAsia="宋体"/>
                <w:sz w:val="16"/>
              </w:rPr>
              <w:t>=907人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70CE">
            <w:pPr>
              <w:jc w:val="center"/>
            </w:pPr>
            <w:r>
              <w:rPr>
                <w:rFonts w:ascii="宋体" w:hAnsi="宋体" w:eastAsia="宋体"/>
                <w:sz w:val="16"/>
              </w:rPr>
              <w:t>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370C9">
            <w:pPr>
              <w:jc w:val="center"/>
            </w:pPr>
            <w:r>
              <w:rPr>
                <w:rFonts w:ascii="宋体" w:hAnsi="宋体" w:eastAsia="宋体"/>
                <w:sz w:val="16"/>
              </w:rPr>
              <w:t>偏差原因：因本年度初级考试报名参与度较高，导致指标出现偏差。改进措施：督促考试人员参加积极备考，系统复习，提高考试参与度。</w:t>
            </w:r>
          </w:p>
        </w:tc>
      </w:tr>
      <w:tr w14:paraId="40E78D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37C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946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18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F718">
            <w:pPr>
              <w:jc w:val="center"/>
            </w:pPr>
            <w:r>
              <w:rPr>
                <w:rFonts w:ascii="宋体" w:hAnsi="宋体" w:eastAsia="宋体"/>
                <w:sz w:val="16"/>
              </w:rPr>
              <w:t>中级资格考试报名人数（人）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E61C">
            <w:pPr>
              <w:jc w:val="center"/>
            </w:pPr>
            <w:r>
              <w:rPr>
                <w:rFonts w:ascii="宋体" w:hAnsi="宋体" w:eastAsia="宋体"/>
                <w:sz w:val="16"/>
              </w:rPr>
              <w:t>&gt;=180人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A6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8E21">
            <w:pPr>
              <w:jc w:val="center"/>
            </w:pPr>
            <w:r>
              <w:rPr>
                <w:rFonts w:ascii="宋体" w:hAnsi="宋体" w:eastAsia="宋体"/>
                <w:sz w:val="16"/>
              </w:rPr>
              <w:t>187人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A5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8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0D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E943">
            <w:pPr>
              <w:jc w:val="center"/>
            </w:pPr>
            <w:r>
              <w:rPr>
                <w:rFonts w:ascii="宋体" w:hAnsi="宋体" w:eastAsia="宋体"/>
                <w:sz w:val="16"/>
              </w:rPr>
              <w:t>=162人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CF5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E068E">
            <w:pPr>
              <w:jc w:val="center"/>
            </w:pPr>
            <w:r>
              <w:rPr>
                <w:rFonts w:ascii="宋体" w:hAnsi="宋体" w:eastAsia="宋体"/>
                <w:sz w:val="16"/>
              </w:rPr>
              <w:t>偏差原因：因本年度中级考试参与度较低，弃考人数较多，考生备考不充分，缺乏系统复习，导致指标出现偏差。改进措施：督促考试人员参加积极备考，系统复习，提高考试参与度。</w:t>
            </w:r>
          </w:p>
        </w:tc>
      </w:tr>
      <w:tr w14:paraId="6F116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2C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9A5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AEE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291D">
            <w:pPr>
              <w:jc w:val="center"/>
            </w:pPr>
            <w:r>
              <w:rPr>
                <w:rFonts w:ascii="宋体" w:hAnsi="宋体" w:eastAsia="宋体"/>
                <w:sz w:val="16"/>
              </w:rPr>
              <w:t>组织考试场次（次）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9C8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F4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B06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19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44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CD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575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B25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45B5E">
            <w:pPr>
              <w:jc w:val="center"/>
            </w:pPr>
          </w:p>
        </w:tc>
      </w:tr>
      <w:tr w14:paraId="1A097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8B0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C2D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9E9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EBC5">
            <w:pPr>
              <w:jc w:val="center"/>
            </w:pPr>
            <w:r>
              <w:rPr>
                <w:rFonts w:ascii="宋体" w:hAnsi="宋体" w:eastAsia="宋体"/>
                <w:sz w:val="16"/>
              </w:rPr>
              <w:t>初级考试通过率（%）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AAF0">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D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3A79">
            <w:pPr>
              <w:jc w:val="center"/>
            </w:pPr>
            <w:r>
              <w:rPr>
                <w:rFonts w:ascii="宋体" w:hAnsi="宋体" w:eastAsia="宋体"/>
                <w:sz w:val="16"/>
              </w:rPr>
              <w:t>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400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FE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D5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9ED3A">
            <w:pPr>
              <w:jc w:val="center"/>
            </w:pPr>
            <w:r>
              <w:rPr>
                <w:rFonts w:ascii="宋体" w:hAnsi="宋体" w:eastAsia="宋体"/>
                <w:sz w:val="16"/>
              </w:rPr>
              <w:t>=15.4%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A59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DCAC9">
            <w:pPr>
              <w:jc w:val="center"/>
            </w:pPr>
          </w:p>
        </w:tc>
      </w:tr>
      <w:tr w14:paraId="34507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FB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A29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9CA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E62F">
            <w:pPr>
              <w:jc w:val="center"/>
            </w:pPr>
            <w:r>
              <w:rPr>
                <w:rFonts w:ascii="宋体" w:hAnsi="宋体" w:eastAsia="宋体"/>
                <w:sz w:val="16"/>
              </w:rPr>
              <w:t>中级考试通过率（%）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AD9B5">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6B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851D4">
            <w:pPr>
              <w:jc w:val="center"/>
            </w:pPr>
            <w:r>
              <w:rPr>
                <w:rFonts w:ascii="宋体" w:hAnsi="宋体" w:eastAsia="宋体"/>
                <w:sz w:val="16"/>
              </w:rPr>
              <w:t>12.2%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73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7C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9D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40E1">
            <w:pPr>
              <w:jc w:val="center"/>
            </w:pPr>
            <w:r>
              <w:rPr>
                <w:rFonts w:ascii="宋体" w:hAnsi="宋体" w:eastAsia="宋体"/>
                <w:sz w:val="16"/>
              </w:rPr>
              <w:t>=24.18%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5F4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B0F12">
            <w:pPr>
              <w:jc w:val="center"/>
            </w:pPr>
          </w:p>
        </w:tc>
      </w:tr>
      <w:tr w14:paraId="5A9C0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348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8C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AF0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C11D">
            <w:pPr>
              <w:jc w:val="center"/>
            </w:pPr>
            <w:r>
              <w:rPr>
                <w:rFonts w:ascii="宋体" w:hAnsi="宋体" w:eastAsia="宋体"/>
                <w:sz w:val="16"/>
              </w:rPr>
              <w:t>考试按时完成率（%）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27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15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7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018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AA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51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5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47E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8A111">
            <w:pPr>
              <w:jc w:val="center"/>
            </w:pPr>
          </w:p>
        </w:tc>
      </w:tr>
      <w:tr w14:paraId="3E8B5D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477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297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3D7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7D4A8">
            <w:pPr>
              <w:jc w:val="center"/>
            </w:pPr>
            <w:r>
              <w:rPr>
                <w:rFonts w:ascii="宋体" w:hAnsi="宋体" w:eastAsia="宋体"/>
                <w:sz w:val="16"/>
              </w:rPr>
              <w:t>会计考试考务费（万元）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63E4">
            <w:pPr>
              <w:jc w:val="center"/>
            </w:pPr>
            <w:r>
              <w:rPr>
                <w:rFonts w:ascii="宋体" w:hAnsi="宋体" w:eastAsia="宋体"/>
                <w:sz w:val="16"/>
              </w:rPr>
              <w:t>&lt;=5.82万元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61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B347">
            <w:pPr>
              <w:jc w:val="center"/>
            </w:pPr>
            <w:r>
              <w:rPr>
                <w:rFonts w:ascii="宋体" w:hAnsi="宋体" w:eastAsia="宋体"/>
                <w:sz w:val="16"/>
              </w:rPr>
              <w:t>4.18万元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B2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C7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8F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93E1">
            <w:pPr>
              <w:jc w:val="center"/>
            </w:pPr>
            <w:r>
              <w:rPr>
                <w:rFonts w:ascii="宋体" w:hAnsi="宋体" w:eastAsia="宋体"/>
                <w:sz w:val="16"/>
              </w:rPr>
              <w:t>=2.795万元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E13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1D536">
            <w:pPr>
              <w:jc w:val="center"/>
            </w:pPr>
            <w:r>
              <w:rPr>
                <w:rFonts w:ascii="宋体" w:hAnsi="宋体" w:eastAsia="宋体"/>
                <w:sz w:val="16"/>
              </w:rPr>
              <w:t>偏差原因：因本年度考试参与度较低，弃考人数较多，考生备考不充分，缺乏系统复习，导致指标出现偏差。改进措施：督促考试人员参加积极备考，系统复习，提高考试参与度。</w:t>
            </w:r>
          </w:p>
        </w:tc>
      </w:tr>
      <w:tr w14:paraId="7D269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8FB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AD8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D8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12A7">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CA3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87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74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2C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6E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EF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0E45">
            <w:pPr>
              <w:jc w:val="center"/>
            </w:pPr>
            <w:r>
              <w:rPr>
                <w:rFonts w:ascii="宋体" w:hAnsi="宋体" w:eastAsia="宋体"/>
                <w:sz w:val="16"/>
              </w:rPr>
              <w:t>=50.69%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E77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C6810">
            <w:pPr>
              <w:jc w:val="center"/>
            </w:pPr>
            <w:r>
              <w:rPr>
                <w:rFonts w:ascii="宋体" w:hAnsi="宋体" w:eastAsia="宋体"/>
                <w:sz w:val="16"/>
              </w:rPr>
              <w:t>偏差原因：因本年度考试参与度较低，弃考人数较多，考生备考不充分，缺乏系统复习，导致指标出现偏差。改进措施：督促考试人员参加积极备考，系统复习，提高考试参与度。</w:t>
            </w:r>
          </w:p>
        </w:tc>
      </w:tr>
      <w:tr w14:paraId="54CAD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08F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0FA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67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0CA5">
            <w:pPr>
              <w:jc w:val="center"/>
            </w:pPr>
            <w:r>
              <w:rPr>
                <w:rFonts w:ascii="宋体" w:hAnsi="宋体" w:eastAsia="宋体"/>
                <w:sz w:val="16"/>
              </w:rPr>
              <w:t>提高会计人员业务水平情况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0D5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365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4F9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3F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EA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033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CB8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3853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FE709">
            <w:pPr>
              <w:jc w:val="center"/>
            </w:pPr>
          </w:p>
        </w:tc>
      </w:tr>
      <w:tr w14:paraId="0BF0FD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84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88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EB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CE33">
            <w:pPr>
              <w:jc w:val="center"/>
            </w:pPr>
            <w:r>
              <w:rPr>
                <w:rFonts w:ascii="宋体" w:hAnsi="宋体" w:eastAsia="宋体"/>
                <w:sz w:val="16"/>
              </w:rPr>
              <w:t>考生满意度（%）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4B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43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113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51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78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4F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37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00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1300D">
            <w:pPr>
              <w:jc w:val="center"/>
            </w:pPr>
          </w:p>
        </w:tc>
      </w:tr>
      <w:tr w14:paraId="52566D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C01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09D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33A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D49818">
            <w:pPr>
              <w:jc w:val="center"/>
            </w:pPr>
            <w:r>
              <w:rPr>
                <w:rFonts w:ascii="宋体" w:hAnsi="宋体" w:eastAsia="宋体"/>
                <w:sz w:val="16"/>
              </w:rPr>
              <w:t>66.93分</w:t>
            </w:r>
          </w:p>
        </w:tc>
      </w:tr>
    </w:tbl>
    <w:p w14:paraId="3E41A9A7">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696"/>
        <w:gridCol w:w="625"/>
        <w:gridCol w:w="628"/>
        <w:gridCol w:w="626"/>
        <w:gridCol w:w="626"/>
        <w:gridCol w:w="626"/>
        <w:gridCol w:w="776"/>
        <w:gridCol w:w="632"/>
        <w:gridCol w:w="618"/>
        <w:gridCol w:w="632"/>
      </w:tblGrid>
      <w:tr w14:paraId="5772C8D2">
        <w:tblPrEx>
          <w:tblCellMar>
            <w:top w:w="0" w:type="dxa"/>
            <w:left w:w="108" w:type="dxa"/>
            <w:bottom w:w="0" w:type="dxa"/>
            <w:right w:w="108" w:type="dxa"/>
          </w:tblCellMar>
        </w:tblPrEx>
        <w:tc>
          <w:tcPr>
            <w:tcW w:w="8848" w:type="dxa"/>
            <w:gridSpan w:val="14"/>
            <w:vAlign w:val="center"/>
          </w:tcPr>
          <w:p w14:paraId="3FD4CC55">
            <w:pPr>
              <w:jc w:val="center"/>
            </w:pPr>
            <w:r>
              <w:rPr>
                <w:rFonts w:ascii="宋体" w:hAnsi="宋体" w:eastAsia="宋体"/>
                <w:sz w:val="24"/>
              </w:rPr>
              <w:t>项目支出绩效自评表</w:t>
            </w:r>
          </w:p>
        </w:tc>
      </w:tr>
      <w:tr w14:paraId="7C8D65B3">
        <w:tblPrEx>
          <w:tblCellMar>
            <w:top w:w="0" w:type="dxa"/>
            <w:left w:w="108" w:type="dxa"/>
            <w:bottom w:w="0" w:type="dxa"/>
            <w:right w:w="108" w:type="dxa"/>
          </w:tblCellMar>
        </w:tblPrEx>
        <w:tc>
          <w:tcPr>
            <w:tcW w:w="8848" w:type="dxa"/>
            <w:gridSpan w:val="14"/>
            <w:vAlign w:val="center"/>
          </w:tcPr>
          <w:p w14:paraId="7F416865">
            <w:pPr>
              <w:jc w:val="center"/>
            </w:pPr>
            <w:r>
              <w:rPr>
                <w:rFonts w:ascii="宋体" w:hAnsi="宋体" w:eastAsia="宋体"/>
                <w:sz w:val="24"/>
              </w:rPr>
              <w:t>(2024年度)</w:t>
            </w:r>
          </w:p>
        </w:tc>
      </w:tr>
      <w:tr w14:paraId="76D8C9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4D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40C266">
            <w:pPr>
              <w:jc w:val="center"/>
            </w:pPr>
            <w:r>
              <w:rPr>
                <w:rFonts w:ascii="宋体" w:hAnsi="宋体" w:eastAsia="宋体"/>
                <w:sz w:val="16"/>
              </w:rPr>
              <w:t>2023年第一书记和为民办实事工作经费结转项目</w:t>
            </w:r>
          </w:p>
        </w:tc>
      </w:tr>
      <w:tr w14:paraId="39494D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AA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87B2D4">
            <w:pPr>
              <w:jc w:val="center"/>
            </w:pPr>
            <w:r>
              <w:rPr>
                <w:rFonts w:ascii="宋体" w:hAnsi="宋体" w:eastAsia="宋体"/>
                <w:sz w:val="16"/>
              </w:rPr>
              <w:t>克州财政局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AC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2DA7E5">
            <w:pPr>
              <w:jc w:val="center"/>
            </w:pPr>
            <w:r>
              <w:rPr>
                <w:rFonts w:ascii="宋体" w:hAnsi="宋体" w:eastAsia="宋体"/>
                <w:sz w:val="16"/>
              </w:rPr>
              <w:t>克孜勒苏柯尔克孜自治州财政局</w:t>
            </w:r>
          </w:p>
        </w:tc>
      </w:tr>
      <w:tr w14:paraId="23D86F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7FD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B02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5B2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261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34C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2686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79D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1ED8">
            <w:pPr>
              <w:jc w:val="center"/>
            </w:pPr>
            <w:r>
              <w:rPr>
                <w:rFonts w:ascii="宋体" w:hAnsi="宋体" w:eastAsia="宋体"/>
                <w:sz w:val="16"/>
              </w:rPr>
              <w:t>得分</w:t>
            </w:r>
          </w:p>
        </w:tc>
      </w:tr>
      <w:tr w14:paraId="59033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7D7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38F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7B8DB">
            <w:pPr>
              <w:jc w:val="center"/>
            </w:pPr>
            <w:r>
              <w:rPr>
                <w:rFonts w:ascii="宋体" w:hAnsi="宋体" w:eastAsia="宋体"/>
                <w:sz w:val="16"/>
              </w:rPr>
              <w:t>14.23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40FF8">
            <w:pPr>
              <w:jc w:val="center"/>
            </w:pPr>
            <w:r>
              <w:rPr>
                <w:rFonts w:ascii="宋体" w:hAnsi="宋体" w:eastAsia="宋体"/>
                <w:sz w:val="16"/>
              </w:rPr>
              <w:t>14.23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5ED7A">
            <w:pPr>
              <w:jc w:val="center"/>
            </w:pPr>
            <w:r>
              <w:rPr>
                <w:rFonts w:ascii="宋体" w:hAnsi="宋体" w:eastAsia="宋体"/>
                <w:sz w:val="16"/>
              </w:rPr>
              <w:t>14.23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24D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ED36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86D5">
            <w:pPr>
              <w:jc w:val="center"/>
            </w:pPr>
            <w:r>
              <w:rPr>
                <w:rFonts w:ascii="宋体" w:hAnsi="宋体" w:eastAsia="宋体"/>
                <w:sz w:val="16"/>
              </w:rPr>
              <w:t>10.00分</w:t>
            </w:r>
          </w:p>
        </w:tc>
      </w:tr>
      <w:tr w14:paraId="37570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5E2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591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D9253">
            <w:pPr>
              <w:jc w:val="center"/>
            </w:pPr>
            <w:r>
              <w:rPr>
                <w:rFonts w:ascii="宋体" w:hAnsi="宋体" w:eastAsia="宋体"/>
                <w:sz w:val="16"/>
              </w:rPr>
              <w:t>14.23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DB9ED">
            <w:pPr>
              <w:jc w:val="center"/>
            </w:pPr>
            <w:r>
              <w:rPr>
                <w:rFonts w:ascii="宋体" w:hAnsi="宋体" w:eastAsia="宋体"/>
                <w:sz w:val="16"/>
              </w:rPr>
              <w:t>14.23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DB952">
            <w:pPr>
              <w:jc w:val="center"/>
            </w:pPr>
            <w:r>
              <w:rPr>
                <w:rFonts w:ascii="宋体" w:hAnsi="宋体" w:eastAsia="宋体"/>
                <w:sz w:val="16"/>
              </w:rPr>
              <w:t>14.23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755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00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4C808">
            <w:pPr>
              <w:jc w:val="center"/>
            </w:pPr>
            <w:r>
              <w:rPr>
                <w:rFonts w:ascii="宋体" w:hAnsi="宋体" w:eastAsia="宋体"/>
                <w:sz w:val="16"/>
              </w:rPr>
              <w:t>—</w:t>
            </w:r>
          </w:p>
        </w:tc>
      </w:tr>
      <w:tr w14:paraId="53710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F4F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25E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44F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F26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CB8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B2F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F0F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DB9C">
            <w:pPr>
              <w:jc w:val="center"/>
            </w:pPr>
            <w:r>
              <w:rPr>
                <w:rFonts w:ascii="宋体" w:hAnsi="宋体" w:eastAsia="宋体"/>
                <w:sz w:val="16"/>
              </w:rPr>
              <w:t>—</w:t>
            </w:r>
          </w:p>
        </w:tc>
      </w:tr>
      <w:tr w14:paraId="2B2202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652E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4C6B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0CA5FA">
            <w:pPr>
              <w:jc w:val="center"/>
            </w:pPr>
            <w:r>
              <w:rPr>
                <w:rFonts w:ascii="宋体" w:hAnsi="宋体" w:eastAsia="宋体"/>
                <w:sz w:val="16"/>
              </w:rPr>
              <w:t>实际完成情况</w:t>
            </w:r>
          </w:p>
        </w:tc>
      </w:tr>
      <w:tr w14:paraId="3F7C9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B13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28B87">
            <w:pPr>
              <w:jc w:val="both"/>
            </w:pPr>
            <w:r>
              <w:rPr>
                <w:rFonts w:ascii="宋体" w:hAnsi="宋体" w:eastAsia="宋体"/>
                <w:sz w:val="16"/>
              </w:rPr>
              <w:t>该项目资金投入总额为14.23万元，其中财政资金为14.23万元。根据自治区关于为民办实事专项经费的使用办法，该笔资金主要用于我单位2个驻村工作队开展为民办实事专项工作，其中用于解决人居环境和用于村级组织开展活动，为群众带去温暖，宣传国家相关政策及法律法规，维护社会稳定和长治久安，从而提高群众幸福度和归属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3727EE">
            <w:pPr>
              <w:jc w:val="both"/>
            </w:pPr>
            <w:r>
              <w:rPr>
                <w:rFonts w:ascii="宋体" w:hAnsi="宋体" w:eastAsia="宋体"/>
                <w:sz w:val="16"/>
              </w:rPr>
              <w:t>截至2024年12月31日，已完成保障开展群众工作驻村点2个，为民办实事办好事3件，宣传开展群众文体活动次数3次，其他各类为民办实事好事3件。通过项目的实施，有效提高群众的幸福感和归属感，维护社会稳定和长治久安。</w:t>
            </w:r>
          </w:p>
        </w:tc>
      </w:tr>
      <w:tr w14:paraId="259253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747E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D63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FA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462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6DC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6A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9D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59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81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591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3DA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C3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7ECAE">
            <w:pPr>
              <w:jc w:val="center"/>
            </w:pPr>
            <w:r>
              <w:rPr>
                <w:rFonts w:ascii="宋体" w:hAnsi="宋体" w:eastAsia="宋体"/>
                <w:sz w:val="16"/>
              </w:rPr>
              <w:t>偏差原因分析及改进措施</w:t>
            </w:r>
          </w:p>
        </w:tc>
      </w:tr>
      <w:tr w14:paraId="366497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FDB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CF1A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A89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E173">
            <w:pPr>
              <w:jc w:val="center"/>
            </w:pPr>
            <w:r>
              <w:rPr>
                <w:rFonts w:ascii="宋体" w:hAnsi="宋体" w:eastAsia="宋体"/>
                <w:sz w:val="16"/>
              </w:rPr>
              <w:t>保障开展群众工作驻村点（个）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2B7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12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650C">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B96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EE8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08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425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D8D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5F58E">
            <w:pPr>
              <w:jc w:val="center"/>
            </w:pPr>
          </w:p>
        </w:tc>
      </w:tr>
      <w:tr w14:paraId="2C33B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683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406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E5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CF51">
            <w:pPr>
              <w:jc w:val="center"/>
            </w:pPr>
            <w:r>
              <w:rPr>
                <w:rFonts w:ascii="宋体" w:hAnsi="宋体" w:eastAsia="宋体"/>
                <w:sz w:val="16"/>
              </w:rPr>
              <w:t>为困难群众送温暖（件）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DB32">
            <w:pPr>
              <w:jc w:val="center"/>
            </w:pPr>
            <w:r>
              <w:rPr>
                <w:rFonts w:ascii="宋体" w:hAnsi="宋体" w:eastAsia="宋体"/>
                <w:sz w:val="16"/>
              </w:rPr>
              <w:t>&gt;=3件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3B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87CB">
            <w:pPr>
              <w:jc w:val="center"/>
            </w:pPr>
            <w:r>
              <w:rPr>
                <w:rFonts w:ascii="宋体" w:hAnsi="宋体" w:eastAsia="宋体"/>
                <w:sz w:val="16"/>
              </w:rPr>
              <w:t>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8F0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EB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42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A7D1">
            <w:pPr>
              <w:jc w:val="center"/>
            </w:pPr>
            <w:r>
              <w:rPr>
                <w:rFonts w:ascii="宋体" w:hAnsi="宋体" w:eastAsia="宋体"/>
                <w:sz w:val="16"/>
              </w:rPr>
              <w:t>=3件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B65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00903">
            <w:pPr>
              <w:jc w:val="center"/>
            </w:pPr>
          </w:p>
        </w:tc>
      </w:tr>
      <w:tr w14:paraId="16077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919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10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347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4BA5">
            <w:pPr>
              <w:jc w:val="center"/>
            </w:pPr>
            <w:r>
              <w:rPr>
                <w:rFonts w:ascii="宋体" w:hAnsi="宋体" w:eastAsia="宋体"/>
                <w:sz w:val="16"/>
              </w:rPr>
              <w:t>宣传开展群众文体活动次数（次）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F43D">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15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C8BC">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E9A2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E3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19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FFD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697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15515">
            <w:pPr>
              <w:jc w:val="center"/>
            </w:pPr>
          </w:p>
        </w:tc>
      </w:tr>
      <w:tr w14:paraId="28044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D8F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3A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0B2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76B83">
            <w:pPr>
              <w:jc w:val="center"/>
            </w:pPr>
            <w:r>
              <w:rPr>
                <w:rFonts w:ascii="宋体" w:hAnsi="宋体" w:eastAsia="宋体"/>
                <w:sz w:val="16"/>
              </w:rPr>
              <w:t>其他各类为民办实事好事件数（件）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DBBE">
            <w:pPr>
              <w:jc w:val="center"/>
            </w:pPr>
            <w:r>
              <w:rPr>
                <w:rFonts w:ascii="宋体" w:hAnsi="宋体" w:eastAsia="宋体"/>
                <w:sz w:val="16"/>
              </w:rPr>
              <w:t>&gt;=3件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9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B297">
            <w:pPr>
              <w:jc w:val="center"/>
            </w:pPr>
            <w:r>
              <w:rPr>
                <w:rFonts w:ascii="宋体" w:hAnsi="宋体" w:eastAsia="宋体"/>
                <w:sz w:val="16"/>
              </w:rPr>
              <w:t>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D6B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AB1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20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B26E">
            <w:pPr>
              <w:jc w:val="center"/>
            </w:pPr>
            <w:r>
              <w:rPr>
                <w:rFonts w:ascii="宋体" w:hAnsi="宋体" w:eastAsia="宋体"/>
                <w:sz w:val="16"/>
              </w:rPr>
              <w:t>=3件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01B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5F1F7">
            <w:pPr>
              <w:jc w:val="center"/>
            </w:pPr>
          </w:p>
        </w:tc>
      </w:tr>
      <w:tr w14:paraId="73076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318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CE6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0FD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950B">
            <w:pPr>
              <w:jc w:val="center"/>
            </w:pPr>
            <w:r>
              <w:rPr>
                <w:rFonts w:ascii="宋体" w:hAnsi="宋体" w:eastAsia="宋体"/>
                <w:sz w:val="16"/>
              </w:rPr>
              <w:t>群众活动参与率（%）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A8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1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1B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F6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08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DFD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82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D07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74FF8">
            <w:pPr>
              <w:jc w:val="center"/>
            </w:pPr>
          </w:p>
        </w:tc>
      </w:tr>
      <w:tr w14:paraId="3D5CC3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A1C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721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1B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F5F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B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D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3B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010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8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CE4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28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6DE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1A89F">
            <w:pPr>
              <w:jc w:val="center"/>
            </w:pPr>
          </w:p>
        </w:tc>
      </w:tr>
      <w:tr w14:paraId="58B8C2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FF5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E38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2AB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9C76">
            <w:pPr>
              <w:jc w:val="center"/>
            </w:pPr>
            <w:r>
              <w:rPr>
                <w:rFonts w:ascii="宋体" w:hAnsi="宋体" w:eastAsia="宋体"/>
                <w:sz w:val="16"/>
              </w:rPr>
              <w:t>为困难群众送温暖及时率（%）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41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D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F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F1C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9B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9F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C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3F4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D2651">
            <w:pPr>
              <w:jc w:val="center"/>
            </w:pPr>
          </w:p>
        </w:tc>
      </w:tr>
      <w:tr w14:paraId="6E31D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7BC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AA2A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90C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236D">
            <w:pPr>
              <w:jc w:val="center"/>
            </w:pPr>
            <w:r>
              <w:rPr>
                <w:rFonts w:ascii="宋体" w:hAnsi="宋体" w:eastAsia="宋体"/>
                <w:sz w:val="16"/>
              </w:rPr>
              <w:t>为困难群众送温暖经费（万元）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F16A">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E9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61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CE5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F1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A3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F9CE">
            <w:pPr>
              <w:jc w:val="center"/>
            </w:pPr>
            <w:r>
              <w:rPr>
                <w:rFonts w:ascii="宋体" w:hAnsi="宋体" w:eastAsia="宋体"/>
                <w:sz w:val="16"/>
              </w:rPr>
              <w:t>=1.8754万元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8C2F">
            <w:pPr>
              <w:jc w:val="center"/>
            </w:pPr>
            <w:r>
              <w:rPr>
                <w:rFonts w:ascii="宋体" w:hAnsi="宋体" w:eastAsia="宋体"/>
                <w:sz w:val="16"/>
              </w:rPr>
              <w:t>5.91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C67A5">
            <w:pPr>
              <w:jc w:val="center"/>
            </w:pPr>
            <w:r>
              <w:rPr>
                <w:rFonts w:ascii="宋体" w:hAnsi="宋体" w:eastAsia="宋体"/>
                <w:sz w:val="16"/>
              </w:rPr>
              <w:t>偏差原因：预算金额与实际合同支付金额有差异；改进措施：坚决贯彻过紧日子要求，科学精准编制预算。</w:t>
            </w:r>
          </w:p>
        </w:tc>
      </w:tr>
      <w:tr w14:paraId="36198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04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A3E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66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8AA9">
            <w:pPr>
              <w:jc w:val="center"/>
            </w:pPr>
            <w:r>
              <w:rPr>
                <w:rFonts w:ascii="宋体" w:hAnsi="宋体" w:eastAsia="宋体"/>
                <w:sz w:val="16"/>
              </w:rPr>
              <w:t>其他各类为民办实事好事经费（万元）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E801">
            <w:pPr>
              <w:jc w:val="center"/>
            </w:pPr>
            <w:r>
              <w:rPr>
                <w:rFonts w:ascii="宋体" w:hAnsi="宋体" w:eastAsia="宋体"/>
                <w:sz w:val="16"/>
              </w:rPr>
              <w:t>&lt;=9.23万元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30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87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FEE8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BC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10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8F80">
            <w:pPr>
              <w:jc w:val="center"/>
            </w:pPr>
            <w:r>
              <w:rPr>
                <w:rFonts w:ascii="宋体" w:hAnsi="宋体" w:eastAsia="宋体"/>
                <w:sz w:val="16"/>
              </w:rPr>
              <w:t>=9.5158万元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5851">
            <w:pPr>
              <w:jc w:val="center"/>
            </w:pPr>
            <w:r>
              <w:rPr>
                <w:rFonts w:ascii="宋体" w:hAnsi="宋体" w:eastAsia="宋体"/>
                <w:sz w:val="16"/>
              </w:rPr>
              <w:t>6.78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DF2D2">
            <w:pPr>
              <w:jc w:val="center"/>
            </w:pPr>
            <w:r>
              <w:rPr>
                <w:rFonts w:ascii="宋体" w:hAnsi="宋体" w:eastAsia="宋体"/>
                <w:sz w:val="16"/>
              </w:rPr>
              <w:t>偏差原因：预算金额与实际合同支付金额有差异；改进措施：坚决贯彻过紧日子要求，科学精准编制预算。</w:t>
            </w:r>
          </w:p>
        </w:tc>
      </w:tr>
      <w:tr w14:paraId="2D0A4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5C4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783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3AD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086E">
            <w:pPr>
              <w:jc w:val="center"/>
            </w:pPr>
            <w:r>
              <w:rPr>
                <w:rFonts w:ascii="宋体" w:hAnsi="宋体" w:eastAsia="宋体"/>
                <w:sz w:val="16"/>
              </w:rPr>
              <w:t>宣传开展群众文体活动经费（万元））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CD97">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89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95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35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5D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6F0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4D17">
            <w:pPr>
              <w:jc w:val="center"/>
            </w:pPr>
            <w:r>
              <w:rPr>
                <w:rFonts w:ascii="宋体" w:hAnsi="宋体" w:eastAsia="宋体"/>
                <w:sz w:val="16"/>
              </w:rPr>
              <w:t>=2.8388万元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645B">
            <w:pPr>
              <w:jc w:val="center"/>
            </w:pPr>
            <w:r>
              <w:rPr>
                <w:rFonts w:ascii="宋体" w:hAnsi="宋体" w:eastAsia="宋体"/>
                <w:sz w:val="16"/>
              </w:rPr>
              <w:t>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380BB">
            <w:pPr>
              <w:jc w:val="center"/>
            </w:pPr>
            <w:r>
              <w:rPr>
                <w:rFonts w:ascii="宋体" w:hAnsi="宋体" w:eastAsia="宋体"/>
                <w:sz w:val="16"/>
              </w:rPr>
              <w:t>偏差原因：预算金额与实际合同支付金额有差异；改进措施：坚决贯彻过紧日子要求，科学精准编制预算。</w:t>
            </w:r>
          </w:p>
        </w:tc>
      </w:tr>
      <w:tr w14:paraId="0C9500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A38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4CEA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514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266B">
            <w:pPr>
              <w:jc w:val="center"/>
            </w:pPr>
            <w:r>
              <w:rPr>
                <w:rFonts w:ascii="宋体" w:hAnsi="宋体" w:eastAsia="宋体"/>
                <w:sz w:val="16"/>
              </w:rPr>
              <w:t>提高群众的幸福感和归属感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3D4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9CE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228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CFB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C211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5F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801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94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9E062">
            <w:pPr>
              <w:jc w:val="center"/>
            </w:pPr>
          </w:p>
        </w:tc>
      </w:tr>
      <w:tr w14:paraId="6B849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5C3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36E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C16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CEE1">
            <w:pPr>
              <w:jc w:val="center"/>
            </w:pPr>
            <w:r>
              <w:rPr>
                <w:rFonts w:ascii="宋体" w:hAnsi="宋体" w:eastAsia="宋体"/>
                <w:sz w:val="16"/>
              </w:rPr>
              <w:t>维护社会稳定和长治久安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B9D9">
            <w:pPr>
              <w:jc w:val="center"/>
            </w:pPr>
            <w:r>
              <w:rPr>
                <w:rFonts w:ascii="宋体" w:hAnsi="宋体" w:eastAsia="宋体"/>
                <w:sz w:val="16"/>
              </w:rPr>
              <w:t>长期保障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284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2E8E">
            <w:pPr>
              <w:jc w:val="center"/>
            </w:pPr>
            <w:r>
              <w:rPr>
                <w:rFonts w:ascii="宋体" w:hAnsi="宋体" w:eastAsia="宋体"/>
                <w:sz w:val="16"/>
              </w:rPr>
              <w:t>长期保障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35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7E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67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9F6A">
            <w:pPr>
              <w:jc w:val="center"/>
            </w:pPr>
            <w:r>
              <w:rPr>
                <w:rFonts w:ascii="宋体" w:hAnsi="宋体" w:eastAsia="宋体"/>
                <w:sz w:val="16"/>
              </w:rPr>
              <w:t>长期保障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65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C0115">
            <w:pPr>
              <w:jc w:val="center"/>
            </w:pPr>
          </w:p>
        </w:tc>
      </w:tr>
      <w:tr w14:paraId="10BEF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D8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31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F9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75D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3A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39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06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A6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4C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49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FE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1D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E80AB">
            <w:pPr>
              <w:jc w:val="center"/>
            </w:pPr>
          </w:p>
        </w:tc>
      </w:tr>
      <w:tr w14:paraId="5B74DB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402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023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2C5D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028FD2">
            <w:pPr>
              <w:jc w:val="center"/>
            </w:pPr>
            <w:r>
              <w:rPr>
                <w:rFonts w:ascii="宋体" w:hAnsi="宋体" w:eastAsia="宋体"/>
                <w:sz w:val="16"/>
              </w:rPr>
              <w:t>97.88分</w:t>
            </w:r>
          </w:p>
        </w:tc>
      </w:tr>
    </w:tbl>
    <w:p w14:paraId="7515836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2"/>
        <w:gridCol w:w="625"/>
        <w:gridCol w:w="625"/>
        <w:gridCol w:w="625"/>
        <w:gridCol w:w="696"/>
        <w:gridCol w:w="631"/>
        <w:gridCol w:w="617"/>
        <w:gridCol w:w="633"/>
      </w:tblGrid>
      <w:tr w14:paraId="3C21F181">
        <w:tblPrEx>
          <w:tblCellMar>
            <w:top w:w="0" w:type="dxa"/>
            <w:left w:w="108" w:type="dxa"/>
            <w:bottom w:w="0" w:type="dxa"/>
            <w:right w:w="108" w:type="dxa"/>
          </w:tblCellMar>
        </w:tblPrEx>
        <w:tc>
          <w:tcPr>
            <w:tcW w:w="8848" w:type="dxa"/>
            <w:gridSpan w:val="14"/>
            <w:vAlign w:val="center"/>
          </w:tcPr>
          <w:p w14:paraId="06037FF6">
            <w:pPr>
              <w:jc w:val="center"/>
            </w:pPr>
            <w:r>
              <w:rPr>
                <w:rFonts w:ascii="宋体" w:hAnsi="宋体" w:eastAsia="宋体"/>
                <w:sz w:val="24"/>
              </w:rPr>
              <w:t>项目支出绩效自评表</w:t>
            </w:r>
          </w:p>
        </w:tc>
      </w:tr>
      <w:tr w14:paraId="5F33C28C">
        <w:tblPrEx>
          <w:tblCellMar>
            <w:top w:w="0" w:type="dxa"/>
            <w:left w:w="108" w:type="dxa"/>
            <w:bottom w:w="0" w:type="dxa"/>
            <w:right w:w="108" w:type="dxa"/>
          </w:tblCellMar>
        </w:tblPrEx>
        <w:tc>
          <w:tcPr>
            <w:tcW w:w="8848" w:type="dxa"/>
            <w:gridSpan w:val="14"/>
            <w:vAlign w:val="center"/>
          </w:tcPr>
          <w:p w14:paraId="120B11F0">
            <w:pPr>
              <w:jc w:val="center"/>
            </w:pPr>
            <w:r>
              <w:rPr>
                <w:rFonts w:ascii="宋体" w:hAnsi="宋体" w:eastAsia="宋体"/>
                <w:sz w:val="24"/>
              </w:rPr>
              <w:t>(2024年度)</w:t>
            </w:r>
          </w:p>
        </w:tc>
      </w:tr>
      <w:tr w14:paraId="23FAA4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615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0E4786">
            <w:pPr>
              <w:jc w:val="center"/>
            </w:pPr>
            <w:r>
              <w:rPr>
                <w:rFonts w:ascii="宋体" w:hAnsi="宋体" w:eastAsia="宋体"/>
                <w:sz w:val="16"/>
              </w:rPr>
              <w:t>2024年第一书记和为民办实事工作经费项目</w:t>
            </w:r>
          </w:p>
        </w:tc>
      </w:tr>
      <w:tr w14:paraId="7DC251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610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2DEC94">
            <w:pPr>
              <w:jc w:val="center"/>
            </w:pPr>
            <w:r>
              <w:rPr>
                <w:rFonts w:ascii="宋体" w:hAnsi="宋体" w:eastAsia="宋体"/>
                <w:sz w:val="16"/>
              </w:rPr>
              <w:t>克州财政局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70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0F4F5B">
            <w:pPr>
              <w:jc w:val="center"/>
            </w:pPr>
            <w:r>
              <w:rPr>
                <w:rFonts w:ascii="宋体" w:hAnsi="宋体" w:eastAsia="宋体"/>
                <w:sz w:val="16"/>
              </w:rPr>
              <w:t>克孜勒苏柯尔克孜自治州财政局</w:t>
            </w:r>
          </w:p>
        </w:tc>
      </w:tr>
      <w:tr w14:paraId="4A3082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16D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CFE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CAF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4C1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7CE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A206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BC1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D2BB">
            <w:pPr>
              <w:jc w:val="center"/>
            </w:pPr>
            <w:r>
              <w:rPr>
                <w:rFonts w:ascii="宋体" w:hAnsi="宋体" w:eastAsia="宋体"/>
                <w:sz w:val="16"/>
              </w:rPr>
              <w:t>得分</w:t>
            </w:r>
          </w:p>
        </w:tc>
      </w:tr>
      <w:tr w14:paraId="01A10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E87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7E6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0A3C3">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6EE9E">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B2990">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9BC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A87C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C880">
            <w:pPr>
              <w:jc w:val="center"/>
            </w:pPr>
            <w:r>
              <w:rPr>
                <w:rFonts w:ascii="宋体" w:hAnsi="宋体" w:eastAsia="宋体"/>
                <w:sz w:val="16"/>
              </w:rPr>
              <w:t>10.00分</w:t>
            </w:r>
          </w:p>
        </w:tc>
      </w:tr>
      <w:tr w14:paraId="6A54C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616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1E3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CE363">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525CB">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49B5B">
            <w:pPr>
              <w:jc w:val="center"/>
            </w:pPr>
            <w:r>
              <w:rPr>
                <w:rFonts w:ascii="宋体" w:hAnsi="宋体" w:eastAsia="宋体"/>
                <w:sz w:val="16"/>
              </w:rPr>
              <w:t>34.00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C86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24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A2FC">
            <w:pPr>
              <w:jc w:val="center"/>
            </w:pPr>
            <w:r>
              <w:rPr>
                <w:rFonts w:ascii="宋体" w:hAnsi="宋体" w:eastAsia="宋体"/>
                <w:sz w:val="16"/>
              </w:rPr>
              <w:t>—</w:t>
            </w:r>
          </w:p>
        </w:tc>
      </w:tr>
      <w:tr w14:paraId="24C08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80A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81C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1A3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A4A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2B6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736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7D6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9B09">
            <w:pPr>
              <w:jc w:val="center"/>
            </w:pPr>
            <w:r>
              <w:rPr>
                <w:rFonts w:ascii="宋体" w:hAnsi="宋体" w:eastAsia="宋体"/>
                <w:sz w:val="16"/>
              </w:rPr>
              <w:t>—</w:t>
            </w:r>
          </w:p>
        </w:tc>
      </w:tr>
      <w:tr w14:paraId="4692A5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ABD6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7EF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11F504">
            <w:pPr>
              <w:jc w:val="center"/>
            </w:pPr>
            <w:r>
              <w:rPr>
                <w:rFonts w:ascii="宋体" w:hAnsi="宋体" w:eastAsia="宋体"/>
                <w:sz w:val="16"/>
              </w:rPr>
              <w:t>实际完成情况</w:t>
            </w:r>
          </w:p>
        </w:tc>
      </w:tr>
      <w:tr w14:paraId="0CC3CC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5B8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CC081F">
            <w:pPr>
              <w:jc w:val="both"/>
            </w:pPr>
            <w:r>
              <w:rPr>
                <w:rFonts w:ascii="宋体" w:hAnsi="宋体" w:eastAsia="宋体"/>
                <w:sz w:val="16"/>
              </w:rPr>
              <w:t>该项目资金34万元，其中：财政资金34万元，其他资金0万元，该项目资金主要用于保障驻村点开展各项群众工作经费。通过该项目的实施，解决生产生活中的实际困难，加强民族团结，增进民族互信，突出现代文化引领，落实民生建设任务，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46B9A9">
            <w:pPr>
              <w:jc w:val="both"/>
            </w:pPr>
            <w:r>
              <w:rPr>
                <w:rFonts w:ascii="宋体" w:hAnsi="宋体" w:eastAsia="宋体"/>
                <w:sz w:val="16"/>
              </w:rPr>
              <w:t>截至2024年12月31日，已完成保障开展群众工作驻村点2个，为民办实事办好事6件，修建防渗渠1条，其他各类为民办实事好事6件。通过项目的实施，有效提高群众的幸福感和归属感，维护社会稳定和长治久安。</w:t>
            </w:r>
          </w:p>
        </w:tc>
      </w:tr>
      <w:tr w14:paraId="18BC8A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8CFF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D1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AF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4F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39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44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155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40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EF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4F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3C8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FED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B536F">
            <w:pPr>
              <w:jc w:val="center"/>
            </w:pPr>
            <w:r>
              <w:rPr>
                <w:rFonts w:ascii="宋体" w:hAnsi="宋体" w:eastAsia="宋体"/>
                <w:sz w:val="16"/>
              </w:rPr>
              <w:t>偏差原因分析及改进措施</w:t>
            </w:r>
          </w:p>
        </w:tc>
      </w:tr>
      <w:tr w14:paraId="5AE9CE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C4D8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ABF4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880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378B">
            <w:pPr>
              <w:jc w:val="center"/>
            </w:pPr>
            <w:r>
              <w:rPr>
                <w:rFonts w:ascii="宋体" w:hAnsi="宋体" w:eastAsia="宋体"/>
                <w:sz w:val="16"/>
              </w:rPr>
              <w:t>保障开展群众工作驻村点（个）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71E6">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4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BA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37E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62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18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4C2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217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B912B">
            <w:pPr>
              <w:jc w:val="center"/>
            </w:pPr>
          </w:p>
        </w:tc>
      </w:tr>
      <w:tr w14:paraId="224D4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3B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B4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F57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7A1E1">
            <w:pPr>
              <w:jc w:val="center"/>
            </w:pPr>
            <w:r>
              <w:rPr>
                <w:rFonts w:ascii="宋体" w:hAnsi="宋体" w:eastAsia="宋体"/>
                <w:sz w:val="16"/>
              </w:rPr>
              <w:t>为困难群众送温暖（件）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01DB">
            <w:pPr>
              <w:jc w:val="center"/>
            </w:pPr>
            <w:r>
              <w:rPr>
                <w:rFonts w:ascii="宋体" w:hAnsi="宋体" w:eastAsia="宋体"/>
                <w:sz w:val="16"/>
              </w:rPr>
              <w:t>&gt;=6件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39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0C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401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65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13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27FD">
            <w:pPr>
              <w:jc w:val="center"/>
            </w:pPr>
            <w:r>
              <w:rPr>
                <w:rFonts w:ascii="宋体" w:hAnsi="宋体" w:eastAsia="宋体"/>
                <w:sz w:val="16"/>
              </w:rPr>
              <w:t>=6件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F8A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93C75">
            <w:pPr>
              <w:jc w:val="center"/>
            </w:pPr>
          </w:p>
        </w:tc>
      </w:tr>
      <w:tr w14:paraId="176F8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57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40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EC8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677B">
            <w:pPr>
              <w:jc w:val="center"/>
            </w:pPr>
            <w:r>
              <w:rPr>
                <w:rFonts w:ascii="宋体" w:hAnsi="宋体" w:eastAsia="宋体"/>
                <w:sz w:val="16"/>
              </w:rPr>
              <w:t>修建防渗渠（条）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EBF7">
            <w:pPr>
              <w:jc w:val="center"/>
            </w:pPr>
            <w:r>
              <w:rPr>
                <w:rFonts w:ascii="宋体" w:hAnsi="宋体" w:eastAsia="宋体"/>
                <w:sz w:val="16"/>
              </w:rPr>
              <w:t>&gt;=1条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83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33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06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27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92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75C6">
            <w:pPr>
              <w:jc w:val="center"/>
            </w:pPr>
            <w:r>
              <w:rPr>
                <w:rFonts w:ascii="宋体" w:hAnsi="宋体" w:eastAsia="宋体"/>
                <w:sz w:val="16"/>
              </w:rPr>
              <w:t>=1条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95E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93DF5">
            <w:pPr>
              <w:jc w:val="center"/>
            </w:pPr>
          </w:p>
        </w:tc>
      </w:tr>
      <w:tr w14:paraId="543F6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22F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1E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36F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1BE9">
            <w:pPr>
              <w:jc w:val="center"/>
            </w:pPr>
            <w:r>
              <w:rPr>
                <w:rFonts w:ascii="宋体" w:hAnsi="宋体" w:eastAsia="宋体"/>
                <w:sz w:val="16"/>
              </w:rPr>
              <w:t>其他各类为民办实事好事件数（件）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9F49">
            <w:pPr>
              <w:jc w:val="center"/>
            </w:pPr>
            <w:r>
              <w:rPr>
                <w:rFonts w:ascii="宋体" w:hAnsi="宋体" w:eastAsia="宋体"/>
                <w:sz w:val="16"/>
              </w:rPr>
              <w:t>&gt;=6件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FF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5A2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33A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D5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78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EBD6">
            <w:pPr>
              <w:jc w:val="center"/>
            </w:pPr>
            <w:r>
              <w:rPr>
                <w:rFonts w:ascii="宋体" w:hAnsi="宋体" w:eastAsia="宋体"/>
                <w:sz w:val="16"/>
              </w:rPr>
              <w:t>=6件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F99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44DE9">
            <w:pPr>
              <w:jc w:val="center"/>
            </w:pPr>
          </w:p>
        </w:tc>
      </w:tr>
      <w:tr w14:paraId="52CBD0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5C5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C83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CC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955A">
            <w:pPr>
              <w:jc w:val="center"/>
            </w:pPr>
            <w:r>
              <w:rPr>
                <w:rFonts w:ascii="宋体" w:hAnsi="宋体" w:eastAsia="宋体"/>
                <w:sz w:val="16"/>
              </w:rPr>
              <w:t>群众活动参与率（%）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A91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9D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6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7AA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F6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9F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88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489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DA875">
            <w:pPr>
              <w:jc w:val="center"/>
            </w:pPr>
          </w:p>
        </w:tc>
      </w:tr>
      <w:tr w14:paraId="363312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2B6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AB2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899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9D4C">
            <w:pPr>
              <w:jc w:val="center"/>
            </w:pPr>
            <w:r>
              <w:rPr>
                <w:rFonts w:ascii="宋体" w:hAnsi="宋体" w:eastAsia="宋体"/>
                <w:sz w:val="16"/>
              </w:rPr>
              <w:t>为困难群众送温暖及时率（%）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518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B8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98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ABA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77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D2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FA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E40C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9BA35">
            <w:pPr>
              <w:jc w:val="center"/>
            </w:pPr>
          </w:p>
        </w:tc>
      </w:tr>
      <w:tr w14:paraId="0DE3D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813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349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B2C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043C">
            <w:pPr>
              <w:jc w:val="center"/>
            </w:pPr>
            <w:r>
              <w:rPr>
                <w:rFonts w:ascii="宋体" w:hAnsi="宋体" w:eastAsia="宋体"/>
                <w:sz w:val="16"/>
              </w:rPr>
              <w:t>为困难群众送温暖经费（万元）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C698">
            <w:pPr>
              <w:jc w:val="center"/>
            </w:pPr>
            <w:r>
              <w:rPr>
                <w:rFonts w:ascii="宋体" w:hAnsi="宋体" w:eastAsia="宋体"/>
                <w:sz w:val="16"/>
              </w:rPr>
              <w:t>&lt;=2.89万元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4D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40B5">
            <w:pPr>
              <w:jc w:val="center"/>
            </w:pPr>
            <w:r>
              <w:rPr>
                <w:rFonts w:ascii="宋体" w:hAnsi="宋体" w:eastAsia="宋体"/>
                <w:sz w:val="16"/>
              </w:rPr>
              <w:t>6.03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3C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260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63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728E">
            <w:pPr>
              <w:jc w:val="center"/>
            </w:pPr>
            <w:r>
              <w:rPr>
                <w:rFonts w:ascii="宋体" w:hAnsi="宋体" w:eastAsia="宋体"/>
                <w:sz w:val="16"/>
              </w:rPr>
              <w:t>=2.89万元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EC8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0008C">
            <w:pPr>
              <w:jc w:val="center"/>
            </w:pPr>
          </w:p>
        </w:tc>
      </w:tr>
      <w:tr w14:paraId="0B877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F9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FE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BD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0D38">
            <w:pPr>
              <w:jc w:val="center"/>
            </w:pPr>
            <w:r>
              <w:rPr>
                <w:rFonts w:ascii="宋体" w:hAnsi="宋体" w:eastAsia="宋体"/>
                <w:sz w:val="16"/>
              </w:rPr>
              <w:t>修建防渗渠资金（万元）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B318">
            <w:pPr>
              <w:jc w:val="center"/>
            </w:pPr>
            <w:r>
              <w:rPr>
                <w:rFonts w:ascii="宋体" w:hAnsi="宋体" w:eastAsia="宋体"/>
                <w:sz w:val="16"/>
              </w:rPr>
              <w:t>&lt;=10.60万元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37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D2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0D8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C1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07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66FE">
            <w:pPr>
              <w:jc w:val="center"/>
            </w:pPr>
            <w:r>
              <w:rPr>
                <w:rFonts w:ascii="宋体" w:hAnsi="宋体" w:eastAsia="宋体"/>
                <w:sz w:val="16"/>
              </w:rPr>
              <w:t>=10.6万元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D15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C2B6E">
            <w:pPr>
              <w:jc w:val="center"/>
            </w:pPr>
          </w:p>
        </w:tc>
      </w:tr>
      <w:tr w14:paraId="341598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6F2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2D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361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144A">
            <w:pPr>
              <w:jc w:val="center"/>
            </w:pPr>
            <w:r>
              <w:rPr>
                <w:rFonts w:ascii="宋体" w:hAnsi="宋体" w:eastAsia="宋体"/>
                <w:sz w:val="16"/>
              </w:rPr>
              <w:t>其他各类为民办实事好事经费（万元）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75847">
            <w:pPr>
              <w:jc w:val="center"/>
            </w:pPr>
            <w:r>
              <w:rPr>
                <w:rFonts w:ascii="宋体" w:hAnsi="宋体" w:eastAsia="宋体"/>
                <w:sz w:val="16"/>
              </w:rPr>
              <w:t>&lt;=20.51万元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9B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804F">
            <w:pPr>
              <w:jc w:val="center"/>
            </w:pPr>
            <w:r>
              <w:rPr>
                <w:rFonts w:ascii="宋体" w:hAnsi="宋体" w:eastAsia="宋体"/>
                <w:sz w:val="16"/>
              </w:rPr>
              <w:t>27.34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A33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81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D3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E534">
            <w:pPr>
              <w:jc w:val="center"/>
            </w:pPr>
            <w:r>
              <w:rPr>
                <w:rFonts w:ascii="宋体" w:hAnsi="宋体" w:eastAsia="宋体"/>
                <w:sz w:val="16"/>
              </w:rPr>
              <w:t>=20.51万元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58D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27C6E">
            <w:pPr>
              <w:jc w:val="center"/>
            </w:pPr>
          </w:p>
        </w:tc>
      </w:tr>
      <w:tr w14:paraId="74BB1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215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91A7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199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C112">
            <w:pPr>
              <w:jc w:val="center"/>
            </w:pPr>
            <w:r>
              <w:rPr>
                <w:rFonts w:ascii="宋体" w:hAnsi="宋体" w:eastAsia="宋体"/>
                <w:sz w:val="16"/>
              </w:rPr>
              <w:t>提高群众的幸福感和归属感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A43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3E2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6F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81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48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AE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BCC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6C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30D1F">
            <w:pPr>
              <w:jc w:val="center"/>
            </w:pPr>
          </w:p>
        </w:tc>
      </w:tr>
      <w:tr w14:paraId="4281E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5A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68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772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4429">
            <w:pPr>
              <w:jc w:val="center"/>
            </w:pPr>
            <w:r>
              <w:rPr>
                <w:rFonts w:ascii="宋体" w:hAnsi="宋体" w:eastAsia="宋体"/>
                <w:sz w:val="16"/>
              </w:rPr>
              <w:t>维护社会稳定和长治久安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FC21">
            <w:pPr>
              <w:jc w:val="center"/>
            </w:pPr>
            <w:r>
              <w:rPr>
                <w:rFonts w:ascii="宋体" w:hAnsi="宋体" w:eastAsia="宋体"/>
                <w:sz w:val="16"/>
              </w:rPr>
              <w:t>长期保障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EB4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14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23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359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AE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8E1C8">
            <w:pPr>
              <w:jc w:val="center"/>
            </w:pPr>
            <w:r>
              <w:rPr>
                <w:rFonts w:ascii="宋体" w:hAnsi="宋体" w:eastAsia="宋体"/>
                <w:sz w:val="16"/>
              </w:rPr>
              <w:t>长期保障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C1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E659D">
            <w:pPr>
              <w:jc w:val="center"/>
            </w:pPr>
          </w:p>
        </w:tc>
      </w:tr>
      <w:tr w14:paraId="3D4EC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80B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99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2A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78E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22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F8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71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BB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451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AF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92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F3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DBF2F">
            <w:pPr>
              <w:jc w:val="center"/>
            </w:pPr>
          </w:p>
        </w:tc>
      </w:tr>
      <w:tr w14:paraId="38C325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9E7A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FF8B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614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22CDA1">
            <w:pPr>
              <w:jc w:val="center"/>
            </w:pPr>
            <w:r>
              <w:rPr>
                <w:rFonts w:ascii="宋体" w:hAnsi="宋体" w:eastAsia="宋体"/>
                <w:sz w:val="16"/>
              </w:rPr>
              <w:t>100分</w:t>
            </w:r>
          </w:p>
        </w:tc>
      </w:tr>
    </w:tbl>
    <w:p w14:paraId="25493336">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631"/>
        <w:gridCol w:w="617"/>
        <w:gridCol w:w="617"/>
        <w:gridCol w:w="617"/>
        <w:gridCol w:w="617"/>
        <w:gridCol w:w="617"/>
        <w:gridCol w:w="936"/>
        <w:gridCol w:w="630"/>
        <w:gridCol w:w="596"/>
        <w:gridCol w:w="626"/>
      </w:tblGrid>
      <w:tr w14:paraId="74093BAE">
        <w:tblPrEx>
          <w:tblCellMar>
            <w:top w:w="0" w:type="dxa"/>
            <w:left w:w="108" w:type="dxa"/>
            <w:bottom w:w="0" w:type="dxa"/>
            <w:right w:w="108" w:type="dxa"/>
          </w:tblCellMar>
        </w:tblPrEx>
        <w:tc>
          <w:tcPr>
            <w:tcW w:w="8848" w:type="dxa"/>
            <w:gridSpan w:val="14"/>
            <w:vAlign w:val="center"/>
          </w:tcPr>
          <w:p w14:paraId="34308F44">
            <w:pPr>
              <w:jc w:val="center"/>
            </w:pPr>
            <w:r>
              <w:rPr>
                <w:rFonts w:ascii="宋体" w:hAnsi="宋体" w:eastAsia="宋体"/>
                <w:sz w:val="24"/>
              </w:rPr>
              <w:t>项目支出绩效自评表</w:t>
            </w:r>
          </w:p>
        </w:tc>
      </w:tr>
      <w:tr w14:paraId="416D4E6D">
        <w:tblPrEx>
          <w:tblCellMar>
            <w:top w:w="0" w:type="dxa"/>
            <w:left w:w="108" w:type="dxa"/>
            <w:bottom w:w="0" w:type="dxa"/>
            <w:right w:w="108" w:type="dxa"/>
          </w:tblCellMar>
        </w:tblPrEx>
        <w:tc>
          <w:tcPr>
            <w:tcW w:w="8848" w:type="dxa"/>
            <w:gridSpan w:val="14"/>
            <w:vAlign w:val="center"/>
          </w:tcPr>
          <w:p w14:paraId="42206AFD">
            <w:pPr>
              <w:jc w:val="center"/>
            </w:pPr>
            <w:r>
              <w:rPr>
                <w:rFonts w:ascii="宋体" w:hAnsi="宋体" w:eastAsia="宋体"/>
                <w:sz w:val="24"/>
              </w:rPr>
              <w:t>(2024年度)</w:t>
            </w:r>
          </w:p>
        </w:tc>
      </w:tr>
      <w:tr w14:paraId="1BB3EA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1B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A678BB">
            <w:pPr>
              <w:jc w:val="center"/>
            </w:pPr>
            <w:r>
              <w:rPr>
                <w:rFonts w:ascii="宋体" w:hAnsi="宋体" w:eastAsia="宋体"/>
                <w:sz w:val="16"/>
              </w:rPr>
              <w:t>保障财政工作经费（结转）</w:t>
            </w:r>
          </w:p>
        </w:tc>
      </w:tr>
      <w:tr w14:paraId="6800A0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601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17460C">
            <w:pPr>
              <w:jc w:val="center"/>
            </w:pPr>
            <w:r>
              <w:rPr>
                <w:rFonts w:ascii="宋体" w:hAnsi="宋体" w:eastAsia="宋体"/>
                <w:sz w:val="16"/>
              </w:rPr>
              <w:t>克州财政局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5F7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B5AC8A">
            <w:pPr>
              <w:jc w:val="center"/>
            </w:pPr>
            <w:r>
              <w:rPr>
                <w:rFonts w:ascii="宋体" w:hAnsi="宋体" w:eastAsia="宋体"/>
                <w:sz w:val="16"/>
              </w:rPr>
              <w:t>克孜勒苏柯尔克孜自治州财政局</w:t>
            </w:r>
          </w:p>
        </w:tc>
      </w:tr>
      <w:tr w14:paraId="27D2B3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6DE4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F4A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AC4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C1A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BDE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09B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652B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CC7C">
            <w:pPr>
              <w:jc w:val="center"/>
            </w:pPr>
            <w:r>
              <w:rPr>
                <w:rFonts w:ascii="宋体" w:hAnsi="宋体" w:eastAsia="宋体"/>
                <w:sz w:val="16"/>
              </w:rPr>
              <w:t>得分</w:t>
            </w:r>
          </w:p>
        </w:tc>
      </w:tr>
      <w:tr w14:paraId="400088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899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E8D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E321D">
            <w:pPr>
              <w:jc w:val="center"/>
            </w:pPr>
            <w:r>
              <w:rPr>
                <w:rFonts w:ascii="宋体" w:hAnsi="宋体" w:eastAsia="宋体"/>
                <w:sz w:val="16"/>
              </w:rPr>
              <w:t>387.00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247CF">
            <w:pPr>
              <w:jc w:val="center"/>
            </w:pPr>
            <w:r>
              <w:rPr>
                <w:rFonts w:ascii="宋体" w:hAnsi="宋体" w:eastAsia="宋体"/>
                <w:sz w:val="16"/>
              </w:rPr>
              <w:t>387.00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023DB">
            <w:pPr>
              <w:jc w:val="center"/>
            </w:pPr>
            <w:r>
              <w:rPr>
                <w:rFonts w:ascii="宋体" w:hAnsi="宋体" w:eastAsia="宋体"/>
                <w:sz w:val="16"/>
              </w:rPr>
              <w:t>148.21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FA4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92AEE">
            <w:pPr>
              <w:jc w:val="center"/>
            </w:pPr>
            <w:r>
              <w:rPr>
                <w:rFonts w:ascii="宋体" w:hAnsi="宋体" w:eastAsia="宋体"/>
                <w:sz w:val="16"/>
              </w:rPr>
              <w:t>38.3%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E870">
            <w:pPr>
              <w:jc w:val="center"/>
            </w:pPr>
            <w:r>
              <w:rPr>
                <w:rFonts w:ascii="宋体" w:hAnsi="宋体" w:eastAsia="宋体"/>
                <w:sz w:val="16"/>
              </w:rPr>
              <w:t>0.00分</w:t>
            </w:r>
          </w:p>
        </w:tc>
      </w:tr>
      <w:tr w14:paraId="59550E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FF7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312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A27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500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B9A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91E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0B7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C219">
            <w:pPr>
              <w:jc w:val="center"/>
            </w:pPr>
            <w:r>
              <w:rPr>
                <w:rFonts w:ascii="宋体" w:hAnsi="宋体" w:eastAsia="宋体"/>
                <w:sz w:val="16"/>
              </w:rPr>
              <w:t>—</w:t>
            </w:r>
          </w:p>
        </w:tc>
      </w:tr>
      <w:tr w14:paraId="56132C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B31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A0AF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879BA">
            <w:pPr>
              <w:jc w:val="center"/>
            </w:pPr>
            <w:r>
              <w:rPr>
                <w:rFonts w:ascii="宋体" w:hAnsi="宋体" w:eastAsia="宋体"/>
                <w:sz w:val="16"/>
              </w:rPr>
              <w:t>387.00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54C40">
            <w:pPr>
              <w:jc w:val="center"/>
            </w:pPr>
            <w:r>
              <w:rPr>
                <w:rFonts w:ascii="宋体" w:hAnsi="宋体" w:eastAsia="宋体"/>
                <w:sz w:val="16"/>
              </w:rPr>
              <w:t>387.00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BF11D">
            <w:pPr>
              <w:jc w:val="center"/>
            </w:pPr>
            <w:r>
              <w:rPr>
                <w:rFonts w:ascii="宋体" w:hAnsi="宋体" w:eastAsia="宋体"/>
                <w:sz w:val="16"/>
              </w:rPr>
              <w:t>148.21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83F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033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D32E">
            <w:pPr>
              <w:jc w:val="center"/>
            </w:pPr>
            <w:r>
              <w:rPr>
                <w:rFonts w:ascii="宋体" w:hAnsi="宋体" w:eastAsia="宋体"/>
                <w:sz w:val="16"/>
              </w:rPr>
              <w:t>—</w:t>
            </w:r>
          </w:p>
        </w:tc>
      </w:tr>
      <w:tr w14:paraId="531007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AF1D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2A2E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41A901">
            <w:pPr>
              <w:jc w:val="center"/>
            </w:pPr>
            <w:r>
              <w:rPr>
                <w:rFonts w:ascii="宋体" w:hAnsi="宋体" w:eastAsia="宋体"/>
                <w:sz w:val="16"/>
              </w:rPr>
              <w:t>实际完成情况</w:t>
            </w:r>
          </w:p>
        </w:tc>
      </w:tr>
      <w:tr w14:paraId="6D601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3E5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6AA2B1">
            <w:pPr>
              <w:jc w:val="both"/>
            </w:pPr>
            <w:r>
              <w:rPr>
                <w:rFonts w:ascii="宋体" w:hAnsi="宋体" w:eastAsia="宋体"/>
                <w:sz w:val="16"/>
              </w:rPr>
              <w:t>该项目总投资387万元，全部为其他资金，主要用于克州财政局贯彻执行国家财政、税收、行政事业单位国有资产管理法规、制度和方针政策；结合克州实际制定克州财政、财务、会计管理、行政事业单位国有资产管理等方面的实施办法和部门规章制度，并监督实施。参与财政性资金项目安排总量研究；组织调度财政性基本建设资金等，实现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FC82B8">
            <w:pPr>
              <w:jc w:val="both"/>
            </w:pPr>
            <w:r>
              <w:rPr>
                <w:rFonts w:ascii="宋体" w:hAnsi="宋体" w:eastAsia="宋体"/>
                <w:sz w:val="16"/>
              </w:rPr>
              <w:t>截至2024年12月31日，已完成财政业务服务单位139家，会议室软硬件提升改造1次。通过项目的实施，有效贯彻执行国家财政、税收、行政事业单位国有资产管理法规、制度和方针政策；参与财政性资金项目安排总量研究；组织调度财政性基本建设资金等，实现社会稳定和长治久安总目标。</w:t>
            </w:r>
          </w:p>
        </w:tc>
      </w:tr>
      <w:tr w14:paraId="435168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8B48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B3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59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99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040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CEC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BC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D2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22A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07E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D0B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D66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7DF6E">
            <w:pPr>
              <w:jc w:val="center"/>
            </w:pPr>
            <w:r>
              <w:rPr>
                <w:rFonts w:ascii="宋体" w:hAnsi="宋体" w:eastAsia="宋体"/>
                <w:sz w:val="16"/>
              </w:rPr>
              <w:t>偏差原因分析及改进措施</w:t>
            </w:r>
          </w:p>
        </w:tc>
      </w:tr>
      <w:tr w14:paraId="5917DC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2EB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AF45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48D3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2938">
            <w:pPr>
              <w:jc w:val="center"/>
            </w:pPr>
            <w:r>
              <w:rPr>
                <w:rFonts w:ascii="宋体" w:hAnsi="宋体" w:eastAsia="宋体"/>
                <w:sz w:val="16"/>
              </w:rPr>
              <w:t>财政业务服务单位数（家）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F6EE5">
            <w:pPr>
              <w:jc w:val="center"/>
            </w:pPr>
            <w:r>
              <w:rPr>
                <w:rFonts w:ascii="宋体" w:hAnsi="宋体" w:eastAsia="宋体"/>
                <w:sz w:val="16"/>
              </w:rPr>
              <w:t>&gt;=140家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B28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D1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1B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56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85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012C">
            <w:pPr>
              <w:jc w:val="center"/>
            </w:pPr>
            <w:r>
              <w:rPr>
                <w:rFonts w:ascii="宋体" w:hAnsi="宋体" w:eastAsia="宋体"/>
                <w:sz w:val="16"/>
              </w:rPr>
              <w:t>=139家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7263">
            <w:pPr>
              <w:jc w:val="center"/>
            </w:pPr>
            <w:r>
              <w:rPr>
                <w:rFonts w:ascii="宋体" w:hAnsi="宋体" w:eastAsia="宋体"/>
                <w:sz w:val="16"/>
              </w:rPr>
              <w:t>7.86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26B72">
            <w:pPr>
              <w:jc w:val="center"/>
            </w:pPr>
            <w:r>
              <w:rPr>
                <w:rFonts w:ascii="宋体" w:hAnsi="宋体" w:eastAsia="宋体"/>
                <w:sz w:val="16"/>
              </w:rPr>
              <w:t>偏差原因：本年度因机构改革，部分单位合并导致财政业务服务单位数量减少；改进措施：提前做好调查摸底，科学精准设定指标值。</w:t>
            </w:r>
          </w:p>
        </w:tc>
      </w:tr>
      <w:tr w14:paraId="1BC2D7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9A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6A3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6C0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77CC">
            <w:pPr>
              <w:jc w:val="center"/>
            </w:pPr>
            <w:r>
              <w:rPr>
                <w:rFonts w:ascii="宋体" w:hAnsi="宋体" w:eastAsia="宋体"/>
                <w:sz w:val="16"/>
              </w:rPr>
              <w:t>会议室软硬件提升改造（次）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7AA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5E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15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4F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2DD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31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AA0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35B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A73A3">
            <w:pPr>
              <w:jc w:val="center"/>
            </w:pPr>
          </w:p>
        </w:tc>
      </w:tr>
      <w:tr w14:paraId="4E113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542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1A5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36E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09BA">
            <w:pPr>
              <w:jc w:val="center"/>
            </w:pPr>
            <w:r>
              <w:rPr>
                <w:rFonts w:ascii="宋体" w:hAnsi="宋体" w:eastAsia="宋体"/>
                <w:sz w:val="16"/>
              </w:rPr>
              <w:t>财政服务质量合格率（%）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2A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F4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9F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4F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69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93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DAE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6EF9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D8A5E">
            <w:pPr>
              <w:jc w:val="center"/>
            </w:pPr>
          </w:p>
        </w:tc>
      </w:tr>
      <w:tr w14:paraId="6F5BE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A3F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D5F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54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0C50">
            <w:pPr>
              <w:jc w:val="center"/>
            </w:pPr>
            <w:r>
              <w:rPr>
                <w:rFonts w:ascii="宋体" w:hAnsi="宋体" w:eastAsia="宋体"/>
                <w:sz w:val="16"/>
              </w:rPr>
              <w:t>会议室软硬件提升改造质量验收合格率（%）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D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61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7B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EE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B0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DD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757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6DC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11A56">
            <w:pPr>
              <w:jc w:val="center"/>
            </w:pPr>
          </w:p>
        </w:tc>
      </w:tr>
      <w:tr w14:paraId="51A21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F9F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001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FDA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3BB31">
            <w:pPr>
              <w:jc w:val="center"/>
            </w:pPr>
            <w:r>
              <w:rPr>
                <w:rFonts w:ascii="宋体" w:hAnsi="宋体" w:eastAsia="宋体"/>
                <w:sz w:val="16"/>
              </w:rPr>
              <w:t>全年各类工作完成及时率（%）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D3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08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3D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23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80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F2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A7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681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DDA08">
            <w:pPr>
              <w:jc w:val="center"/>
            </w:pPr>
          </w:p>
        </w:tc>
      </w:tr>
      <w:tr w14:paraId="0442F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DBD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59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95F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7F7B">
            <w:pPr>
              <w:jc w:val="center"/>
            </w:pPr>
            <w:r>
              <w:rPr>
                <w:rFonts w:ascii="宋体" w:hAnsi="宋体" w:eastAsia="宋体"/>
                <w:sz w:val="16"/>
              </w:rPr>
              <w:t>各类财政资金支付及时率（%）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6B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AD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DC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FF2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B2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6C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21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7F76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1BF1D">
            <w:pPr>
              <w:jc w:val="center"/>
            </w:pPr>
          </w:p>
        </w:tc>
      </w:tr>
      <w:tr w14:paraId="3CA5D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B16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81B9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2896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0923">
            <w:pPr>
              <w:jc w:val="center"/>
            </w:pPr>
            <w:r>
              <w:rPr>
                <w:rFonts w:ascii="宋体" w:hAnsi="宋体" w:eastAsia="宋体"/>
                <w:sz w:val="16"/>
              </w:rPr>
              <w:t>各类工作经费（万元）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9FE7">
            <w:pPr>
              <w:jc w:val="center"/>
            </w:pPr>
            <w:r>
              <w:rPr>
                <w:rFonts w:ascii="宋体" w:hAnsi="宋体" w:eastAsia="宋体"/>
                <w:sz w:val="16"/>
              </w:rPr>
              <w:t>&lt;=349万元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2A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78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95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4A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76C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45B1">
            <w:pPr>
              <w:jc w:val="center"/>
            </w:pPr>
            <w:r>
              <w:rPr>
                <w:rFonts w:ascii="宋体" w:hAnsi="宋体" w:eastAsia="宋体"/>
                <w:sz w:val="16"/>
              </w:rPr>
              <w:t>=113.3127万元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31B4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254B2">
            <w:pPr>
              <w:jc w:val="center"/>
            </w:pPr>
            <w:r>
              <w:rPr>
                <w:rFonts w:ascii="宋体" w:hAnsi="宋体" w:eastAsia="宋体"/>
                <w:sz w:val="16"/>
              </w:rPr>
              <w:t>偏差原因：预算金额与实际合同支付金额有差异；改进措施：坚决贯彻过紧日子要求，科学精准编制预算。</w:t>
            </w:r>
          </w:p>
        </w:tc>
      </w:tr>
      <w:tr w14:paraId="5CB1A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2B0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2E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C0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1AF6">
            <w:pPr>
              <w:jc w:val="center"/>
            </w:pPr>
            <w:r>
              <w:rPr>
                <w:rFonts w:ascii="宋体" w:hAnsi="宋体" w:eastAsia="宋体"/>
                <w:sz w:val="16"/>
              </w:rPr>
              <w:t>会议室软硬件提升改造资金（万元）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FB41">
            <w:pPr>
              <w:jc w:val="center"/>
            </w:pPr>
            <w:r>
              <w:rPr>
                <w:rFonts w:ascii="宋体" w:hAnsi="宋体" w:eastAsia="宋体"/>
                <w:sz w:val="16"/>
              </w:rPr>
              <w:t>&lt;=38万元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95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50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D3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FB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F3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1B1D">
            <w:pPr>
              <w:jc w:val="center"/>
            </w:pPr>
            <w:r>
              <w:rPr>
                <w:rFonts w:ascii="宋体" w:hAnsi="宋体" w:eastAsia="宋体"/>
                <w:sz w:val="16"/>
              </w:rPr>
              <w:t>=34.897万元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4629">
            <w:pPr>
              <w:jc w:val="center"/>
            </w:pPr>
            <w:r>
              <w:rPr>
                <w:rFonts w:ascii="宋体" w:hAnsi="宋体" w:eastAsia="宋体"/>
                <w:sz w:val="16"/>
              </w:rPr>
              <w:t>7.96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DD30B">
            <w:pPr>
              <w:jc w:val="center"/>
            </w:pPr>
            <w:r>
              <w:rPr>
                <w:rFonts w:ascii="宋体" w:hAnsi="宋体" w:eastAsia="宋体"/>
                <w:sz w:val="16"/>
              </w:rPr>
              <w:t>偏差原因：预算金额与实际合同支付金额有差异；改进措施：坚决贯彻过紧日子要求，科学精准编制预算。</w:t>
            </w:r>
          </w:p>
        </w:tc>
      </w:tr>
      <w:tr w14:paraId="151B0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4BE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9CF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9A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CAF5">
            <w:pPr>
              <w:jc w:val="center"/>
            </w:pPr>
            <w:r>
              <w:rPr>
                <w:rFonts w:ascii="宋体" w:hAnsi="宋体" w:eastAsia="宋体"/>
                <w:sz w:val="16"/>
              </w:rPr>
              <w:t>促进社会稳定和经济发展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A34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C42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65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03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22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7F2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9A5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C0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8F659">
            <w:pPr>
              <w:jc w:val="center"/>
            </w:pPr>
          </w:p>
        </w:tc>
      </w:tr>
      <w:tr w14:paraId="28A5D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17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42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8F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1060">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EC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C1F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3F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DE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76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A9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0F4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73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63EE8">
            <w:pPr>
              <w:jc w:val="center"/>
            </w:pPr>
          </w:p>
        </w:tc>
      </w:tr>
      <w:tr w14:paraId="29F0AD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81C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F500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C01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C0881D">
            <w:pPr>
              <w:jc w:val="center"/>
            </w:pPr>
            <w:r>
              <w:rPr>
                <w:rFonts w:ascii="宋体" w:hAnsi="宋体" w:eastAsia="宋体"/>
                <w:sz w:val="16"/>
              </w:rPr>
              <w:t>77.82分</w:t>
            </w:r>
          </w:p>
        </w:tc>
      </w:tr>
    </w:tbl>
    <w:p w14:paraId="2A44A9B7">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696"/>
        <w:gridCol w:w="625"/>
        <w:gridCol w:w="632"/>
        <w:gridCol w:w="626"/>
        <w:gridCol w:w="626"/>
        <w:gridCol w:w="626"/>
        <w:gridCol w:w="776"/>
        <w:gridCol w:w="631"/>
        <w:gridCol w:w="617"/>
        <w:gridCol w:w="630"/>
      </w:tblGrid>
      <w:tr w14:paraId="789AEDBA">
        <w:tblPrEx>
          <w:tblCellMar>
            <w:top w:w="0" w:type="dxa"/>
            <w:left w:w="108" w:type="dxa"/>
            <w:bottom w:w="0" w:type="dxa"/>
            <w:right w:w="108" w:type="dxa"/>
          </w:tblCellMar>
        </w:tblPrEx>
        <w:tc>
          <w:tcPr>
            <w:tcW w:w="8848" w:type="dxa"/>
            <w:gridSpan w:val="14"/>
            <w:vAlign w:val="center"/>
          </w:tcPr>
          <w:p w14:paraId="35A9F969">
            <w:pPr>
              <w:jc w:val="center"/>
            </w:pPr>
            <w:r>
              <w:rPr>
                <w:rFonts w:ascii="宋体" w:hAnsi="宋体" w:eastAsia="宋体"/>
                <w:sz w:val="24"/>
              </w:rPr>
              <w:t>项目支出绩效自评表</w:t>
            </w:r>
          </w:p>
        </w:tc>
      </w:tr>
      <w:tr w14:paraId="3A574D5A">
        <w:tblPrEx>
          <w:tblCellMar>
            <w:top w:w="0" w:type="dxa"/>
            <w:left w:w="108" w:type="dxa"/>
            <w:bottom w:w="0" w:type="dxa"/>
            <w:right w:w="108" w:type="dxa"/>
          </w:tblCellMar>
        </w:tblPrEx>
        <w:tc>
          <w:tcPr>
            <w:tcW w:w="8848" w:type="dxa"/>
            <w:gridSpan w:val="14"/>
            <w:vAlign w:val="center"/>
          </w:tcPr>
          <w:p w14:paraId="134A7D10">
            <w:pPr>
              <w:jc w:val="center"/>
            </w:pPr>
            <w:r>
              <w:rPr>
                <w:rFonts w:ascii="宋体" w:hAnsi="宋体" w:eastAsia="宋体"/>
                <w:sz w:val="24"/>
              </w:rPr>
              <w:t>(2024年度)</w:t>
            </w:r>
          </w:p>
        </w:tc>
      </w:tr>
      <w:tr w14:paraId="205BA6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BF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4DDFF3">
            <w:pPr>
              <w:jc w:val="center"/>
            </w:pPr>
            <w:r>
              <w:rPr>
                <w:rFonts w:ascii="宋体" w:hAnsi="宋体" w:eastAsia="宋体"/>
                <w:sz w:val="16"/>
              </w:rPr>
              <w:t>财政业务委托服务费</w:t>
            </w:r>
          </w:p>
        </w:tc>
      </w:tr>
      <w:tr w14:paraId="2EFDA5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3C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B99F57">
            <w:pPr>
              <w:jc w:val="center"/>
            </w:pPr>
            <w:r>
              <w:rPr>
                <w:rFonts w:ascii="宋体" w:hAnsi="宋体" w:eastAsia="宋体"/>
                <w:sz w:val="16"/>
              </w:rPr>
              <w:t>克州财政局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BF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D64B82">
            <w:pPr>
              <w:jc w:val="center"/>
            </w:pPr>
            <w:r>
              <w:rPr>
                <w:rFonts w:ascii="宋体" w:hAnsi="宋体" w:eastAsia="宋体"/>
                <w:sz w:val="16"/>
              </w:rPr>
              <w:t>克孜勒苏柯尔克孜自治州财政局</w:t>
            </w:r>
          </w:p>
        </w:tc>
      </w:tr>
      <w:tr w14:paraId="330C80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2C6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EE13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507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470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80CE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B53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083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B768">
            <w:pPr>
              <w:jc w:val="center"/>
            </w:pPr>
            <w:r>
              <w:rPr>
                <w:rFonts w:ascii="宋体" w:hAnsi="宋体" w:eastAsia="宋体"/>
                <w:sz w:val="16"/>
              </w:rPr>
              <w:t>得分</w:t>
            </w:r>
          </w:p>
        </w:tc>
      </w:tr>
      <w:tr w14:paraId="2F298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665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8BF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AF7A7">
            <w:pPr>
              <w:jc w:val="center"/>
            </w:pPr>
            <w:r>
              <w:rPr>
                <w:rFonts w:ascii="宋体" w:hAnsi="宋体" w:eastAsia="宋体"/>
                <w:sz w:val="16"/>
              </w:rPr>
              <w:t>183.10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77052">
            <w:pPr>
              <w:jc w:val="center"/>
            </w:pPr>
            <w:r>
              <w:rPr>
                <w:rFonts w:ascii="宋体" w:hAnsi="宋体" w:eastAsia="宋体"/>
                <w:sz w:val="16"/>
              </w:rPr>
              <w:t>183.10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9A2C5">
            <w:pPr>
              <w:jc w:val="center"/>
            </w:pPr>
            <w:r>
              <w:rPr>
                <w:rFonts w:ascii="宋体" w:hAnsi="宋体" w:eastAsia="宋体"/>
                <w:sz w:val="16"/>
              </w:rPr>
              <w:t>129.51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CBB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99408">
            <w:pPr>
              <w:jc w:val="center"/>
            </w:pPr>
            <w:r>
              <w:rPr>
                <w:rFonts w:ascii="宋体" w:hAnsi="宋体" w:eastAsia="宋体"/>
                <w:sz w:val="16"/>
              </w:rPr>
              <w:t>70.7%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907F">
            <w:pPr>
              <w:jc w:val="center"/>
            </w:pPr>
            <w:r>
              <w:rPr>
                <w:rFonts w:ascii="宋体" w:hAnsi="宋体" w:eastAsia="宋体"/>
                <w:sz w:val="16"/>
              </w:rPr>
              <w:t>2.68分</w:t>
            </w:r>
          </w:p>
        </w:tc>
      </w:tr>
      <w:tr w14:paraId="7F751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C18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9CF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56036">
            <w:pPr>
              <w:jc w:val="center"/>
            </w:pPr>
            <w:r>
              <w:rPr>
                <w:rFonts w:ascii="宋体" w:hAnsi="宋体" w:eastAsia="宋体"/>
                <w:sz w:val="16"/>
              </w:rPr>
              <w:t>183.10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6CF7A">
            <w:pPr>
              <w:jc w:val="center"/>
            </w:pPr>
            <w:r>
              <w:rPr>
                <w:rFonts w:ascii="宋体" w:hAnsi="宋体" w:eastAsia="宋体"/>
                <w:sz w:val="16"/>
              </w:rPr>
              <w:t>183.10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BA18C">
            <w:pPr>
              <w:jc w:val="center"/>
            </w:pPr>
            <w:r>
              <w:rPr>
                <w:rFonts w:ascii="宋体" w:hAnsi="宋体" w:eastAsia="宋体"/>
                <w:sz w:val="16"/>
              </w:rPr>
              <w:t>129.51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BAE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C18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F71C">
            <w:pPr>
              <w:jc w:val="center"/>
            </w:pPr>
            <w:r>
              <w:rPr>
                <w:rFonts w:ascii="宋体" w:hAnsi="宋体" w:eastAsia="宋体"/>
                <w:sz w:val="16"/>
              </w:rPr>
              <w:t>—</w:t>
            </w:r>
          </w:p>
        </w:tc>
      </w:tr>
      <w:tr w14:paraId="2613C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3E9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6B4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B08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57F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4E5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F43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C4D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7045E">
            <w:pPr>
              <w:jc w:val="center"/>
            </w:pPr>
            <w:r>
              <w:rPr>
                <w:rFonts w:ascii="宋体" w:hAnsi="宋体" w:eastAsia="宋体"/>
                <w:sz w:val="16"/>
              </w:rPr>
              <w:t>—</w:t>
            </w:r>
          </w:p>
        </w:tc>
      </w:tr>
      <w:tr w14:paraId="63FF26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E542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83988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6B915D">
            <w:pPr>
              <w:jc w:val="center"/>
            </w:pPr>
            <w:r>
              <w:rPr>
                <w:rFonts w:ascii="宋体" w:hAnsi="宋体" w:eastAsia="宋体"/>
                <w:sz w:val="16"/>
              </w:rPr>
              <w:t>实际完成情况</w:t>
            </w:r>
          </w:p>
        </w:tc>
      </w:tr>
      <w:tr w14:paraId="771EB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1FD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96E005">
            <w:pPr>
              <w:jc w:val="both"/>
            </w:pPr>
            <w:r>
              <w:rPr>
                <w:rFonts w:ascii="宋体" w:hAnsi="宋体" w:eastAsia="宋体"/>
                <w:sz w:val="16"/>
              </w:rPr>
              <w:t>该项目总投资183.1万元，其中：财政资金183.1万元，其他资金0万元，主要用于全州各单位全面实施预算绩效管理、地方政府</w:t>
            </w:r>
            <w:r>
              <w:rPr>
                <w:rFonts w:hint="eastAsia" w:ascii="宋体" w:hAnsi="宋体"/>
                <w:sz w:val="16"/>
                <w:lang w:eastAsia="zh-CN"/>
              </w:rPr>
              <w:t>债券</w:t>
            </w:r>
            <w:r>
              <w:rPr>
                <w:rFonts w:ascii="宋体" w:hAnsi="宋体" w:eastAsia="宋体"/>
                <w:sz w:val="16"/>
              </w:rPr>
              <w:t>资金使用管理专项检查、内控制度、预决算及政府综合财务报告审核等工作，通过项目实施提高资金绩效管理水平，确保全州防范政府债务风险不出问题，强化今后债券资金管理，提高单位对内控制度的认识和财务人员对内控制度执行能力，完善内控制度体系强化今后债券资金管理，预决算能够及时准确公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B808AE">
            <w:pPr>
              <w:jc w:val="both"/>
            </w:pPr>
            <w:r>
              <w:rPr>
                <w:rFonts w:ascii="宋体" w:hAnsi="宋体" w:eastAsia="宋体"/>
                <w:sz w:val="16"/>
              </w:rPr>
              <w:t>截至2024年12月31日，已完成聘请第三方机构数5家，服务全州预算单位数量139家，第三方审核结果采纳率100%。通过项目的实施，提高资金绩效管理水平，确保全州防范政府债务风险不出问题，强化今后债券资金管理，提高单位对内控制度的认识和财务人员对内控制度执行能力，完善内控制度体系强化今后债券资金管理，预决算能够及时准确公开。</w:t>
            </w:r>
          </w:p>
        </w:tc>
      </w:tr>
      <w:tr w14:paraId="08380E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2BD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957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480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84B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77A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79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FF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231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EE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31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D9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B1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76FCF">
            <w:pPr>
              <w:jc w:val="center"/>
            </w:pPr>
            <w:r>
              <w:rPr>
                <w:rFonts w:ascii="宋体" w:hAnsi="宋体" w:eastAsia="宋体"/>
                <w:sz w:val="16"/>
              </w:rPr>
              <w:t>偏差原因分析及改进措施</w:t>
            </w:r>
          </w:p>
        </w:tc>
      </w:tr>
      <w:tr w14:paraId="4E4983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A8F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A6C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A0E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8BD5">
            <w:pPr>
              <w:jc w:val="center"/>
            </w:pPr>
            <w:r>
              <w:rPr>
                <w:rFonts w:ascii="宋体" w:hAnsi="宋体" w:eastAsia="宋体"/>
                <w:sz w:val="16"/>
              </w:rPr>
              <w:t>聘请第三方机构数（家）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241D">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77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90438">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FE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B7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84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55A5">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033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F2D93">
            <w:pPr>
              <w:jc w:val="center"/>
            </w:pPr>
          </w:p>
        </w:tc>
      </w:tr>
      <w:tr w14:paraId="18214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4F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1A9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4D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9A1F">
            <w:pPr>
              <w:jc w:val="center"/>
            </w:pPr>
            <w:r>
              <w:rPr>
                <w:rFonts w:ascii="宋体" w:hAnsi="宋体" w:eastAsia="宋体"/>
                <w:sz w:val="16"/>
              </w:rPr>
              <w:t>服务全州预算单位数量（家）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9E56">
            <w:pPr>
              <w:jc w:val="center"/>
            </w:pPr>
            <w:r>
              <w:rPr>
                <w:rFonts w:ascii="宋体" w:hAnsi="宋体" w:eastAsia="宋体"/>
                <w:sz w:val="16"/>
              </w:rPr>
              <w:t>&gt;=139家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59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0CA6">
            <w:pPr>
              <w:jc w:val="center"/>
            </w:pPr>
            <w:r>
              <w:rPr>
                <w:rFonts w:ascii="宋体" w:hAnsi="宋体" w:eastAsia="宋体"/>
                <w:sz w:val="16"/>
              </w:rPr>
              <w:t>130家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14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7E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25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2ACF">
            <w:pPr>
              <w:jc w:val="center"/>
            </w:pPr>
            <w:r>
              <w:rPr>
                <w:rFonts w:ascii="宋体" w:hAnsi="宋体" w:eastAsia="宋体"/>
                <w:sz w:val="16"/>
              </w:rPr>
              <w:t>=139家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F73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D0ABA">
            <w:pPr>
              <w:jc w:val="center"/>
            </w:pPr>
          </w:p>
        </w:tc>
      </w:tr>
      <w:tr w14:paraId="283938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87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A18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D4E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3A6A">
            <w:pPr>
              <w:jc w:val="center"/>
            </w:pPr>
            <w:r>
              <w:rPr>
                <w:rFonts w:ascii="宋体" w:hAnsi="宋体" w:eastAsia="宋体"/>
                <w:sz w:val="16"/>
              </w:rPr>
              <w:t>第三方审核结果采纳率（%）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BA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69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8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BF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24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2F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B56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39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287D3">
            <w:pPr>
              <w:jc w:val="center"/>
            </w:pPr>
          </w:p>
        </w:tc>
      </w:tr>
      <w:tr w14:paraId="7C9AF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85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6FB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9AB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DB5B">
            <w:pPr>
              <w:jc w:val="center"/>
            </w:pPr>
            <w:r>
              <w:rPr>
                <w:rFonts w:ascii="宋体" w:hAnsi="宋体" w:eastAsia="宋体"/>
                <w:sz w:val="16"/>
              </w:rPr>
              <w:t>公开数据正确率（%）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88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84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2DD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B0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79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B1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A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77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2AB70">
            <w:pPr>
              <w:jc w:val="center"/>
            </w:pPr>
          </w:p>
        </w:tc>
      </w:tr>
      <w:tr w14:paraId="61E04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49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8AB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49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985A">
            <w:pPr>
              <w:jc w:val="center"/>
            </w:pPr>
            <w:r>
              <w:rPr>
                <w:rFonts w:ascii="宋体" w:hAnsi="宋体" w:eastAsia="宋体"/>
                <w:sz w:val="16"/>
              </w:rPr>
              <w:t>第三方信息化领域委托项目评审合格率（%）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C7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70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1F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EF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9C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1A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63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55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9DA4A">
            <w:pPr>
              <w:jc w:val="center"/>
            </w:pPr>
          </w:p>
        </w:tc>
      </w:tr>
      <w:tr w14:paraId="70B4F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14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393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23C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2602">
            <w:pPr>
              <w:jc w:val="center"/>
            </w:pPr>
            <w:r>
              <w:rPr>
                <w:rFonts w:ascii="宋体" w:hAnsi="宋体" w:eastAsia="宋体"/>
                <w:sz w:val="16"/>
              </w:rPr>
              <w:t>第三方审核结果上报及时率（%）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B0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45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E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5B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C3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13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04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888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5645C">
            <w:pPr>
              <w:jc w:val="center"/>
            </w:pPr>
          </w:p>
        </w:tc>
      </w:tr>
      <w:tr w14:paraId="64456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26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80C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07E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E633">
            <w:pPr>
              <w:jc w:val="center"/>
            </w:pPr>
            <w:r>
              <w:rPr>
                <w:rFonts w:ascii="宋体" w:hAnsi="宋体" w:eastAsia="宋体"/>
                <w:sz w:val="16"/>
              </w:rPr>
              <w:t>第三方审核完成公开数据及时率（%）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79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6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DE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ED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A8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7E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23D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AB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DA39B">
            <w:pPr>
              <w:jc w:val="center"/>
            </w:pPr>
          </w:p>
        </w:tc>
      </w:tr>
      <w:tr w14:paraId="70D9B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1CC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0BF2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F24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C341F">
            <w:pPr>
              <w:jc w:val="center"/>
            </w:pPr>
            <w:r>
              <w:rPr>
                <w:rFonts w:ascii="宋体" w:hAnsi="宋体" w:eastAsia="宋体"/>
                <w:sz w:val="16"/>
              </w:rPr>
              <w:t>预算绩效管理咨询服务费（万元）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D3CE">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51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B47F">
            <w:pPr>
              <w:jc w:val="center"/>
            </w:pPr>
            <w:r>
              <w:rPr>
                <w:rFonts w:ascii="宋体" w:hAnsi="宋体" w:eastAsia="宋体"/>
                <w:sz w:val="16"/>
              </w:rPr>
              <w:t>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63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5F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C2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60F4">
            <w:pPr>
              <w:jc w:val="center"/>
            </w:pPr>
            <w:r>
              <w:rPr>
                <w:rFonts w:ascii="宋体" w:hAnsi="宋体" w:eastAsia="宋体"/>
                <w:sz w:val="16"/>
              </w:rPr>
              <w:t>=66万元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F483">
            <w:pPr>
              <w:jc w:val="center"/>
            </w:pPr>
            <w:r>
              <w:rPr>
                <w:rFonts w:ascii="宋体" w:hAnsi="宋体" w:eastAsia="宋体"/>
                <w:sz w:val="16"/>
              </w:rPr>
              <w:t>3.43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DA394">
            <w:pPr>
              <w:jc w:val="center"/>
            </w:pPr>
            <w:r>
              <w:rPr>
                <w:rFonts w:ascii="宋体" w:hAnsi="宋体" w:eastAsia="宋体"/>
                <w:sz w:val="16"/>
              </w:rPr>
              <w:t>偏差原因：预算金额与实际合同支付金额有差异；改进措施：坚决贯彻过紧日子要求，科学精准编制预算。</w:t>
            </w:r>
          </w:p>
        </w:tc>
      </w:tr>
      <w:tr w14:paraId="3CE91D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AB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40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A9C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46E5">
            <w:pPr>
              <w:jc w:val="center"/>
            </w:pPr>
            <w:r>
              <w:rPr>
                <w:rFonts w:ascii="宋体" w:hAnsi="宋体" w:eastAsia="宋体"/>
                <w:sz w:val="16"/>
              </w:rPr>
              <w:t>预、决算公开审核服务费（万元）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9636F">
            <w:pPr>
              <w:jc w:val="center"/>
            </w:pPr>
            <w:r>
              <w:rPr>
                <w:rFonts w:ascii="宋体" w:hAnsi="宋体" w:eastAsia="宋体"/>
                <w:sz w:val="16"/>
              </w:rPr>
              <w:t>&lt;=14.7万元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E3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5E83">
            <w:pPr>
              <w:jc w:val="center"/>
            </w:pPr>
            <w:r>
              <w:rPr>
                <w:rFonts w:ascii="宋体" w:hAnsi="宋体" w:eastAsia="宋体"/>
                <w:sz w:val="16"/>
              </w:rPr>
              <w:t>16.10万元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70C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7B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35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0906">
            <w:pPr>
              <w:jc w:val="center"/>
            </w:pPr>
            <w:r>
              <w:rPr>
                <w:rFonts w:ascii="宋体" w:hAnsi="宋体" w:eastAsia="宋体"/>
                <w:sz w:val="16"/>
              </w:rPr>
              <w:t>=14.35万元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5E9E">
            <w:pPr>
              <w:jc w:val="center"/>
            </w:pPr>
            <w:r>
              <w:rPr>
                <w:rFonts w:ascii="宋体" w:hAnsi="宋体" w:eastAsia="宋体"/>
                <w:sz w:val="16"/>
              </w:rPr>
              <w:t>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AC814">
            <w:pPr>
              <w:jc w:val="center"/>
            </w:pPr>
            <w:r>
              <w:rPr>
                <w:rFonts w:ascii="宋体" w:hAnsi="宋体" w:eastAsia="宋体"/>
                <w:sz w:val="16"/>
              </w:rPr>
              <w:t>偏差原因：预算金额与实际合同支付金额有差异；改进措施：坚决贯彻过紧日子要求，科学精准编制预算。</w:t>
            </w:r>
          </w:p>
        </w:tc>
      </w:tr>
      <w:tr w14:paraId="36283C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1D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B14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4C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CE24">
            <w:pPr>
              <w:jc w:val="center"/>
            </w:pPr>
            <w:r>
              <w:rPr>
                <w:rFonts w:ascii="宋体" w:hAnsi="宋体" w:eastAsia="宋体"/>
                <w:sz w:val="16"/>
              </w:rPr>
              <w:t>债务资金管理服务费（万元）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D493">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A9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EC973">
            <w:pPr>
              <w:jc w:val="center"/>
            </w:pPr>
            <w:r>
              <w:rPr>
                <w:rFonts w:ascii="宋体" w:hAnsi="宋体" w:eastAsia="宋体"/>
                <w:sz w:val="16"/>
              </w:rPr>
              <w: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E0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9C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FC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25D8">
            <w:pPr>
              <w:jc w:val="center"/>
            </w:pPr>
            <w:r>
              <w:rPr>
                <w:rFonts w:ascii="宋体" w:hAnsi="宋体" w:eastAsia="宋体"/>
                <w:sz w:val="16"/>
              </w:rPr>
              <w:t>=16.8万元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5CF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908DD">
            <w:pPr>
              <w:jc w:val="center"/>
            </w:pPr>
            <w:r>
              <w:rPr>
                <w:rFonts w:ascii="宋体" w:hAnsi="宋体" w:eastAsia="宋体"/>
                <w:sz w:val="16"/>
              </w:rPr>
              <w:t>偏差原因：预算金额与实际合同支付金额有差异；改进措施：坚决贯彻过紧日子要求，科学精准编制预算。</w:t>
            </w:r>
          </w:p>
        </w:tc>
      </w:tr>
      <w:tr w14:paraId="3315E3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F0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505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825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5558">
            <w:pPr>
              <w:jc w:val="center"/>
            </w:pPr>
            <w:r>
              <w:rPr>
                <w:rFonts w:ascii="宋体" w:hAnsi="宋体" w:eastAsia="宋体"/>
                <w:sz w:val="16"/>
              </w:rPr>
              <w:t>内控报告审核服务费（万元）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195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72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C82A">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40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3E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02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401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C23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64276">
            <w:pPr>
              <w:jc w:val="center"/>
            </w:pPr>
          </w:p>
        </w:tc>
      </w:tr>
      <w:tr w14:paraId="28F685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0F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A2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F59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7F80">
            <w:pPr>
              <w:jc w:val="center"/>
            </w:pPr>
            <w:r>
              <w:rPr>
                <w:rFonts w:ascii="宋体" w:hAnsi="宋体" w:eastAsia="宋体"/>
                <w:sz w:val="16"/>
              </w:rPr>
              <w:t>编制政府综合财务报告服务费（万元）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8AFD">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12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FA74">
            <w:pPr>
              <w:jc w:val="center"/>
            </w:pPr>
            <w:r>
              <w:rPr>
                <w:rFonts w:ascii="宋体" w:hAnsi="宋体" w:eastAsia="宋体"/>
                <w:sz w:val="16"/>
              </w:rPr>
              <w:t>11.14万元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5A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54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1C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F951">
            <w:pPr>
              <w:jc w:val="center"/>
            </w:pPr>
            <w:r>
              <w:rPr>
                <w:rFonts w:ascii="宋体" w:hAnsi="宋体" w:eastAsia="宋体"/>
                <w:sz w:val="16"/>
              </w:rPr>
              <w:t>=10.84万元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9D2C">
            <w:pPr>
              <w:jc w:val="center"/>
            </w:pPr>
            <w:r>
              <w:rPr>
                <w:rFonts w:ascii="宋体" w:hAnsi="宋体" w:eastAsia="宋体"/>
                <w:sz w:val="16"/>
              </w:rPr>
              <w:t>1.75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91225">
            <w:pPr>
              <w:jc w:val="center"/>
            </w:pPr>
            <w:r>
              <w:rPr>
                <w:rFonts w:ascii="宋体" w:hAnsi="宋体" w:eastAsia="宋体"/>
                <w:sz w:val="16"/>
              </w:rPr>
              <w:t>偏差原因：预算金额与实际合同支付金额有差异；改进措施：坚决贯彻过紧日子要求，科学精准编制预算</w:t>
            </w:r>
          </w:p>
        </w:tc>
      </w:tr>
      <w:tr w14:paraId="0054E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BA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6F1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3E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69524">
            <w:pPr>
              <w:jc w:val="center"/>
            </w:pPr>
            <w:r>
              <w:rPr>
                <w:rFonts w:ascii="宋体" w:hAnsi="宋体" w:eastAsia="宋体"/>
                <w:sz w:val="16"/>
              </w:rPr>
              <w:t>各类审核费及培训费（万元）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32F4">
            <w:pPr>
              <w:jc w:val="center"/>
            </w:pPr>
            <w:r>
              <w:rPr>
                <w:rFonts w:ascii="宋体" w:hAnsi="宋体" w:eastAsia="宋体"/>
                <w:sz w:val="16"/>
              </w:rPr>
              <w:t>&lt;=20.4万元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43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5DA0">
            <w:pPr>
              <w:jc w:val="center"/>
            </w:pPr>
            <w:r>
              <w:rPr>
                <w:rFonts w:ascii="宋体" w:hAnsi="宋体" w:eastAsia="宋体"/>
                <w:sz w:val="16"/>
              </w:rPr>
              <w:t>5.62万元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501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88E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65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89A1">
            <w:pPr>
              <w:jc w:val="center"/>
            </w:pPr>
            <w:r>
              <w:rPr>
                <w:rFonts w:ascii="宋体" w:hAnsi="宋体" w:eastAsia="宋体"/>
                <w:sz w:val="16"/>
              </w:rPr>
              <w:t>=16.517万元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D543">
            <w:pPr>
              <w:jc w:val="center"/>
            </w:pPr>
            <w:r>
              <w:rPr>
                <w:rFonts w:ascii="宋体" w:hAnsi="宋体" w:eastAsia="宋体"/>
                <w:sz w:val="16"/>
              </w:rPr>
              <w:t>1.57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394C6">
            <w:pPr>
              <w:jc w:val="center"/>
            </w:pPr>
            <w:r>
              <w:rPr>
                <w:rFonts w:ascii="宋体" w:hAnsi="宋体" w:eastAsia="宋体"/>
                <w:sz w:val="16"/>
              </w:rPr>
              <w:t>偏差原因：预算金额与实际合同支付金额有差异；改进措施：坚决贯彻过紧日子要求，科学精准编制预算。</w:t>
            </w:r>
          </w:p>
        </w:tc>
      </w:tr>
      <w:tr w14:paraId="07867B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F0A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64A4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DE82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61AA">
            <w:pPr>
              <w:jc w:val="center"/>
            </w:pPr>
            <w:r>
              <w:rPr>
                <w:rFonts w:ascii="宋体" w:hAnsi="宋体" w:eastAsia="宋体"/>
                <w:sz w:val="16"/>
              </w:rPr>
              <w:t>节约财政预算比例（%）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D8D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7C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6C6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8D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E01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931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52F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0C4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174A7">
            <w:pPr>
              <w:jc w:val="center"/>
            </w:pPr>
          </w:p>
        </w:tc>
      </w:tr>
      <w:tr w14:paraId="74548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1D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EB5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D67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B187">
            <w:pPr>
              <w:jc w:val="center"/>
            </w:pPr>
            <w:r>
              <w:rPr>
                <w:rFonts w:ascii="宋体" w:hAnsi="宋体" w:eastAsia="宋体"/>
                <w:sz w:val="16"/>
              </w:rPr>
              <w:t>提高系统软件运营工作（%）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C7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23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E1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6E1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83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798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29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D1D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91BBE">
            <w:pPr>
              <w:jc w:val="center"/>
            </w:pPr>
          </w:p>
        </w:tc>
      </w:tr>
      <w:tr w14:paraId="19ABF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FF8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5A2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0AA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51D6">
            <w:pPr>
              <w:jc w:val="center"/>
            </w:pPr>
            <w:r>
              <w:rPr>
                <w:rFonts w:ascii="宋体" w:hAnsi="宋体" w:eastAsia="宋体"/>
                <w:sz w:val="16"/>
              </w:rPr>
              <w:t>提高预算资金绩效管理水平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CD7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6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28B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4B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DE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B0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FA8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8D7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7ABF1">
            <w:pPr>
              <w:jc w:val="center"/>
            </w:pPr>
          </w:p>
        </w:tc>
      </w:tr>
      <w:tr w14:paraId="03E66A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633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09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30D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C6A7">
            <w:pPr>
              <w:jc w:val="center"/>
            </w:pPr>
            <w:r>
              <w:rPr>
                <w:rFonts w:ascii="宋体" w:hAnsi="宋体" w:eastAsia="宋体"/>
                <w:sz w:val="16"/>
              </w:rPr>
              <w:t>强化债务资金管理水平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2DD0">
            <w:pPr>
              <w:jc w:val="center"/>
            </w:pPr>
            <w:r>
              <w:rPr>
                <w:rFonts w:ascii="宋体" w:hAnsi="宋体" w:eastAsia="宋体"/>
                <w:sz w:val="16"/>
              </w:rPr>
              <w:t>有效强化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7B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4E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B1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47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8E6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E5CF">
            <w:pPr>
              <w:jc w:val="center"/>
            </w:pPr>
            <w:r>
              <w:rPr>
                <w:rFonts w:ascii="宋体" w:hAnsi="宋体" w:eastAsia="宋体"/>
                <w:sz w:val="16"/>
              </w:rPr>
              <w:t>有效强化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43A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D5676">
            <w:pPr>
              <w:jc w:val="center"/>
            </w:pPr>
          </w:p>
        </w:tc>
      </w:tr>
      <w:tr w14:paraId="1D2AC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FCD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F5E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A4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FAE4">
            <w:pPr>
              <w:jc w:val="center"/>
            </w:pPr>
            <w:r>
              <w:rPr>
                <w:rFonts w:ascii="宋体" w:hAnsi="宋体" w:eastAsia="宋体"/>
                <w:sz w:val="16"/>
              </w:rPr>
              <w:t>提升各单位公共服务水平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BF4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2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C10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055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4D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2E5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7D6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71B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33517">
            <w:pPr>
              <w:jc w:val="center"/>
            </w:pPr>
          </w:p>
        </w:tc>
      </w:tr>
      <w:tr w14:paraId="7BB1E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DC8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7B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ED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F3EA">
            <w:pPr>
              <w:jc w:val="center"/>
            </w:pPr>
            <w:r>
              <w:rPr>
                <w:rFonts w:ascii="宋体" w:hAnsi="宋体" w:eastAsia="宋体"/>
                <w:sz w:val="16"/>
              </w:rPr>
              <w:t>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815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40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D6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BC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CF6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2BF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B9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D8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9B2D4">
            <w:pPr>
              <w:jc w:val="center"/>
            </w:pPr>
          </w:p>
        </w:tc>
      </w:tr>
      <w:tr w14:paraId="440585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C2C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68CE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50F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207420">
            <w:pPr>
              <w:jc w:val="center"/>
            </w:pPr>
            <w:r>
              <w:rPr>
                <w:rFonts w:ascii="宋体" w:hAnsi="宋体" w:eastAsia="宋体"/>
                <w:sz w:val="16"/>
              </w:rPr>
              <w:t>85.19分</w:t>
            </w:r>
          </w:p>
        </w:tc>
      </w:tr>
    </w:tbl>
    <w:p w14:paraId="2E18ABF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2"/>
        <w:gridCol w:w="626"/>
        <w:gridCol w:w="626"/>
        <w:gridCol w:w="626"/>
        <w:gridCol w:w="696"/>
        <w:gridCol w:w="631"/>
        <w:gridCol w:w="617"/>
        <w:gridCol w:w="630"/>
      </w:tblGrid>
      <w:tr w14:paraId="5BF4C44E">
        <w:tblPrEx>
          <w:tblCellMar>
            <w:top w:w="0" w:type="dxa"/>
            <w:left w:w="108" w:type="dxa"/>
            <w:bottom w:w="0" w:type="dxa"/>
            <w:right w:w="108" w:type="dxa"/>
          </w:tblCellMar>
        </w:tblPrEx>
        <w:tc>
          <w:tcPr>
            <w:tcW w:w="8848" w:type="dxa"/>
            <w:gridSpan w:val="14"/>
            <w:vAlign w:val="center"/>
          </w:tcPr>
          <w:p w14:paraId="0FE35BA8">
            <w:pPr>
              <w:jc w:val="center"/>
            </w:pPr>
            <w:r>
              <w:rPr>
                <w:rFonts w:ascii="宋体" w:hAnsi="宋体" w:eastAsia="宋体"/>
                <w:sz w:val="24"/>
              </w:rPr>
              <w:t>项目支出绩效自评表</w:t>
            </w:r>
          </w:p>
        </w:tc>
      </w:tr>
      <w:tr w14:paraId="3E80DEE4">
        <w:tblPrEx>
          <w:tblCellMar>
            <w:top w:w="0" w:type="dxa"/>
            <w:left w:w="108" w:type="dxa"/>
            <w:bottom w:w="0" w:type="dxa"/>
            <w:right w:w="108" w:type="dxa"/>
          </w:tblCellMar>
        </w:tblPrEx>
        <w:tc>
          <w:tcPr>
            <w:tcW w:w="8848" w:type="dxa"/>
            <w:gridSpan w:val="14"/>
            <w:vAlign w:val="center"/>
          </w:tcPr>
          <w:p w14:paraId="2287D366">
            <w:pPr>
              <w:jc w:val="center"/>
            </w:pPr>
            <w:r>
              <w:rPr>
                <w:rFonts w:ascii="宋体" w:hAnsi="宋体" w:eastAsia="宋体"/>
                <w:sz w:val="24"/>
              </w:rPr>
              <w:t>(2024年度)</w:t>
            </w:r>
          </w:p>
        </w:tc>
      </w:tr>
      <w:tr w14:paraId="2A5F43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69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93F835">
            <w:pPr>
              <w:jc w:val="center"/>
            </w:pPr>
            <w:r>
              <w:rPr>
                <w:rFonts w:ascii="宋体" w:hAnsi="宋体" w:eastAsia="宋体"/>
                <w:sz w:val="16"/>
              </w:rPr>
              <w:t>财政业务系统维护费</w:t>
            </w:r>
          </w:p>
        </w:tc>
      </w:tr>
      <w:tr w14:paraId="0480D9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CC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4885C0">
            <w:pPr>
              <w:jc w:val="center"/>
            </w:pPr>
            <w:r>
              <w:rPr>
                <w:rFonts w:ascii="宋体" w:hAnsi="宋体" w:eastAsia="宋体"/>
                <w:sz w:val="16"/>
              </w:rPr>
              <w:t>克州财政局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91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137A61">
            <w:pPr>
              <w:jc w:val="center"/>
            </w:pPr>
            <w:r>
              <w:rPr>
                <w:rFonts w:ascii="宋体" w:hAnsi="宋体" w:eastAsia="宋体"/>
                <w:sz w:val="16"/>
              </w:rPr>
              <w:t>克孜勒苏柯尔克孜自治州财政局</w:t>
            </w:r>
          </w:p>
        </w:tc>
      </w:tr>
      <w:tr w14:paraId="56D53D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6E7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868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10A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4DC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021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F60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1CE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4F79">
            <w:pPr>
              <w:jc w:val="center"/>
            </w:pPr>
            <w:r>
              <w:rPr>
                <w:rFonts w:ascii="宋体" w:hAnsi="宋体" w:eastAsia="宋体"/>
                <w:sz w:val="16"/>
              </w:rPr>
              <w:t>得分</w:t>
            </w:r>
          </w:p>
        </w:tc>
      </w:tr>
      <w:tr w14:paraId="2987A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5A8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240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EE69F">
            <w:pPr>
              <w:jc w:val="center"/>
            </w:pPr>
            <w:r>
              <w:rPr>
                <w:rFonts w:ascii="宋体" w:hAnsi="宋体" w:eastAsia="宋体"/>
                <w:sz w:val="16"/>
              </w:rPr>
              <w:t>96.55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50192">
            <w:pPr>
              <w:jc w:val="center"/>
            </w:pPr>
            <w:r>
              <w:rPr>
                <w:rFonts w:ascii="宋体" w:hAnsi="宋体" w:eastAsia="宋体"/>
                <w:sz w:val="16"/>
              </w:rPr>
              <w:t>96.55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89C14">
            <w:pPr>
              <w:jc w:val="center"/>
            </w:pPr>
            <w:r>
              <w:rPr>
                <w:rFonts w:ascii="宋体" w:hAnsi="宋体" w:eastAsia="宋体"/>
                <w:sz w:val="16"/>
              </w:rPr>
              <w:t>86.27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66E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11FB1">
            <w:pPr>
              <w:jc w:val="center"/>
            </w:pPr>
            <w:r>
              <w:rPr>
                <w:rFonts w:ascii="宋体" w:hAnsi="宋体" w:eastAsia="宋体"/>
                <w:sz w:val="16"/>
              </w:rPr>
              <w:t>89.4%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9D12">
            <w:pPr>
              <w:jc w:val="center"/>
            </w:pPr>
            <w:r>
              <w:rPr>
                <w:rFonts w:ascii="宋体" w:hAnsi="宋体" w:eastAsia="宋体"/>
                <w:sz w:val="16"/>
              </w:rPr>
              <w:t>7.34分</w:t>
            </w:r>
          </w:p>
        </w:tc>
      </w:tr>
      <w:tr w14:paraId="6120A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870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B1D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CD3B9">
            <w:pPr>
              <w:jc w:val="center"/>
            </w:pPr>
            <w:r>
              <w:rPr>
                <w:rFonts w:ascii="宋体" w:hAnsi="宋体" w:eastAsia="宋体"/>
                <w:sz w:val="16"/>
              </w:rPr>
              <w:t>96.55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01108">
            <w:pPr>
              <w:jc w:val="center"/>
            </w:pPr>
            <w:r>
              <w:rPr>
                <w:rFonts w:ascii="宋体" w:hAnsi="宋体" w:eastAsia="宋体"/>
                <w:sz w:val="16"/>
              </w:rPr>
              <w:t>96.55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68C68">
            <w:pPr>
              <w:jc w:val="center"/>
            </w:pPr>
            <w:r>
              <w:rPr>
                <w:rFonts w:ascii="宋体" w:hAnsi="宋体" w:eastAsia="宋体"/>
                <w:sz w:val="16"/>
              </w:rPr>
              <w:t>86.27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D30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BD4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0ABA">
            <w:pPr>
              <w:jc w:val="center"/>
            </w:pPr>
            <w:r>
              <w:rPr>
                <w:rFonts w:ascii="宋体" w:hAnsi="宋体" w:eastAsia="宋体"/>
                <w:sz w:val="16"/>
              </w:rPr>
              <w:t>—</w:t>
            </w:r>
          </w:p>
        </w:tc>
      </w:tr>
      <w:tr w14:paraId="7ACC8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211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CFD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823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AFC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C23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A4D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616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F824">
            <w:pPr>
              <w:jc w:val="center"/>
            </w:pPr>
            <w:r>
              <w:rPr>
                <w:rFonts w:ascii="宋体" w:hAnsi="宋体" w:eastAsia="宋体"/>
                <w:sz w:val="16"/>
              </w:rPr>
              <w:t>—</w:t>
            </w:r>
          </w:p>
        </w:tc>
      </w:tr>
      <w:tr w14:paraId="54A769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3C27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119A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9A52F8">
            <w:pPr>
              <w:jc w:val="center"/>
            </w:pPr>
            <w:r>
              <w:rPr>
                <w:rFonts w:ascii="宋体" w:hAnsi="宋体" w:eastAsia="宋体"/>
                <w:sz w:val="16"/>
              </w:rPr>
              <w:t>实际完成情况</w:t>
            </w:r>
          </w:p>
        </w:tc>
      </w:tr>
      <w:tr w14:paraId="32D6A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99B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3E5B2E">
            <w:pPr>
              <w:jc w:val="both"/>
            </w:pPr>
            <w:r>
              <w:rPr>
                <w:rFonts w:ascii="宋体" w:hAnsi="宋体" w:eastAsia="宋体"/>
                <w:sz w:val="16"/>
              </w:rPr>
              <w:t>该项目总投资96.55万元，其中：财政资金96.55万元，其他资金0万元，主要用于计算机中心对财政业务系统网络设备的维保、维护费，通过该项目实施提升现有系统信息安全和信息共享能力，有效提升财政业务的办理时效，确保系统的安全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D4AEF5">
            <w:pPr>
              <w:jc w:val="both"/>
            </w:pPr>
            <w:r>
              <w:rPr>
                <w:rFonts w:ascii="宋体" w:hAnsi="宋体" w:eastAsia="宋体"/>
                <w:sz w:val="16"/>
              </w:rPr>
              <w:t>截至2024年12月31日，已完成系统维护数量7个，财政应用支撑平台硬件维护1套，信息机房维护空调2台。通过该项目实施，提升现有系统信息安全和信息共享能力，有效提升财政业务的办理时效，确保系统的安全运行。</w:t>
            </w:r>
          </w:p>
        </w:tc>
      </w:tr>
      <w:tr w14:paraId="220D5D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61A0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AA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F8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31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2B2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FD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04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ED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18B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B7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9DA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AA1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2390F">
            <w:pPr>
              <w:jc w:val="center"/>
            </w:pPr>
            <w:r>
              <w:rPr>
                <w:rFonts w:ascii="宋体" w:hAnsi="宋体" w:eastAsia="宋体"/>
                <w:sz w:val="16"/>
              </w:rPr>
              <w:t>偏差原因分析及改进措施</w:t>
            </w:r>
          </w:p>
        </w:tc>
      </w:tr>
      <w:tr w14:paraId="66AEA9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423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C1E7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0A2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61E9">
            <w:pPr>
              <w:jc w:val="center"/>
            </w:pPr>
            <w:r>
              <w:rPr>
                <w:rFonts w:ascii="宋体" w:hAnsi="宋体" w:eastAsia="宋体"/>
                <w:sz w:val="16"/>
              </w:rPr>
              <w:t>系统维护数量（个）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EC3C">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F5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8E1F">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1B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3A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6F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3709">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2F6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2A428">
            <w:pPr>
              <w:jc w:val="center"/>
            </w:pPr>
            <w:r>
              <w:rPr>
                <w:rFonts w:ascii="宋体" w:hAnsi="宋体" w:eastAsia="宋体"/>
                <w:sz w:val="16"/>
              </w:rPr>
              <w:t>偏差原因：预算实施系统维护数与实际系统维护有差异；改进措施：坚决贯彻过紧日子要求，科学精准编制预算。</w:t>
            </w:r>
          </w:p>
        </w:tc>
      </w:tr>
      <w:tr w14:paraId="6C9AB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DBC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46F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CC5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06D7">
            <w:pPr>
              <w:jc w:val="center"/>
            </w:pPr>
            <w:r>
              <w:rPr>
                <w:rFonts w:ascii="宋体" w:hAnsi="宋体" w:eastAsia="宋体"/>
                <w:sz w:val="16"/>
              </w:rPr>
              <w:t>财政应用支撑平台硬件维护（套）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5412">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C2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9D23">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E3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AC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5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49B5">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DD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F6A05">
            <w:pPr>
              <w:jc w:val="center"/>
            </w:pPr>
          </w:p>
        </w:tc>
      </w:tr>
      <w:tr w14:paraId="474C1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B8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532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503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78619">
            <w:pPr>
              <w:jc w:val="center"/>
            </w:pPr>
            <w:r>
              <w:rPr>
                <w:rFonts w:ascii="宋体" w:hAnsi="宋体" w:eastAsia="宋体"/>
                <w:sz w:val="16"/>
              </w:rPr>
              <w:t>信息机房维护空调台数（台）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6094">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3AD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7E72">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26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98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99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A681">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D5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0ED58">
            <w:pPr>
              <w:jc w:val="center"/>
            </w:pPr>
          </w:p>
        </w:tc>
      </w:tr>
      <w:tr w14:paraId="60403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BAA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224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DF3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5001">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7188">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E7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9AE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36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CA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0A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31E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D7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37747">
            <w:pPr>
              <w:jc w:val="center"/>
            </w:pPr>
          </w:p>
        </w:tc>
      </w:tr>
      <w:tr w14:paraId="5FEF7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5D0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21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9F0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32E9">
            <w:pPr>
              <w:jc w:val="center"/>
            </w:pPr>
            <w:r>
              <w:rPr>
                <w:rFonts w:ascii="宋体" w:hAnsi="宋体" w:eastAsia="宋体"/>
                <w:sz w:val="16"/>
              </w:rPr>
              <w:t>系统运行正常率（%）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0F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3B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1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65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16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0C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EC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86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D5D99">
            <w:pPr>
              <w:jc w:val="center"/>
            </w:pPr>
          </w:p>
        </w:tc>
      </w:tr>
      <w:tr w14:paraId="456BB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242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8B4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FE2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0A686">
            <w:pPr>
              <w:jc w:val="center"/>
            </w:pPr>
            <w:r>
              <w:rPr>
                <w:rFonts w:ascii="宋体" w:hAnsi="宋体" w:eastAsia="宋体"/>
                <w:sz w:val="16"/>
              </w:rPr>
              <w:t>系统故障修复处理时间（小时）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52DD">
            <w:pPr>
              <w:jc w:val="center"/>
            </w:pPr>
            <w:r>
              <w:rPr>
                <w:rFonts w:ascii="宋体" w:hAnsi="宋体" w:eastAsia="宋体"/>
                <w:sz w:val="16"/>
              </w:rPr>
              <w:t>&lt;=2小时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BA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6151">
            <w:pPr>
              <w:jc w:val="center"/>
            </w:pPr>
            <w:r>
              <w:rPr>
                <w:rFonts w:ascii="宋体" w:hAnsi="宋体" w:eastAsia="宋体"/>
                <w:sz w:val="16"/>
              </w:rPr>
              <w: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45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FA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B9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2A6C">
            <w:pPr>
              <w:jc w:val="center"/>
            </w:pPr>
            <w:r>
              <w:rPr>
                <w:rFonts w:ascii="宋体" w:hAnsi="宋体" w:eastAsia="宋体"/>
                <w:sz w:val="16"/>
              </w:rPr>
              <w:t>=2小时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1D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50032">
            <w:pPr>
              <w:jc w:val="center"/>
            </w:pPr>
          </w:p>
        </w:tc>
      </w:tr>
      <w:tr w14:paraId="79DDF2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6C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68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311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CA8C5">
            <w:pPr>
              <w:jc w:val="center"/>
            </w:pPr>
            <w:r>
              <w:rPr>
                <w:rFonts w:ascii="宋体" w:hAnsi="宋体" w:eastAsia="宋体"/>
                <w:sz w:val="16"/>
              </w:rPr>
              <w:t>系统运行维护响应时间（小时）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20AF">
            <w:pPr>
              <w:jc w:val="center"/>
            </w:pPr>
            <w:r>
              <w:rPr>
                <w:rFonts w:ascii="宋体" w:hAnsi="宋体" w:eastAsia="宋体"/>
                <w:sz w:val="16"/>
              </w:rPr>
              <w:t>&lt;=1小时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17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E159">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3B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AB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FA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7E90">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AB6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1D93F">
            <w:pPr>
              <w:jc w:val="center"/>
            </w:pPr>
          </w:p>
        </w:tc>
      </w:tr>
      <w:tr w14:paraId="114DC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BC5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A60C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D7C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BB53">
            <w:pPr>
              <w:jc w:val="center"/>
            </w:pPr>
            <w:r>
              <w:rPr>
                <w:rFonts w:ascii="宋体" w:hAnsi="宋体" w:eastAsia="宋体"/>
                <w:sz w:val="16"/>
              </w:rPr>
              <w:t>财政应用支撑平台硬件维护费（万元）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BB33">
            <w:pPr>
              <w:jc w:val="center"/>
            </w:pPr>
            <w:r>
              <w:rPr>
                <w:rFonts w:ascii="宋体" w:hAnsi="宋体" w:eastAsia="宋体"/>
                <w:sz w:val="16"/>
              </w:rPr>
              <w:t>&lt;=14.34万元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87A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02B4">
            <w:pPr>
              <w:jc w:val="center"/>
            </w:pPr>
            <w:r>
              <w:rPr>
                <w:rFonts w:ascii="宋体" w:hAnsi="宋体" w:eastAsia="宋体"/>
                <w:sz w:val="16"/>
              </w:rPr>
              <w:t>14.34万元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30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52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F3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43FC">
            <w:pPr>
              <w:jc w:val="center"/>
            </w:pPr>
            <w:r>
              <w:rPr>
                <w:rFonts w:ascii="宋体" w:hAnsi="宋体" w:eastAsia="宋体"/>
                <w:sz w:val="16"/>
              </w:rPr>
              <w:t>=14.34万元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BE1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33DF8">
            <w:pPr>
              <w:jc w:val="center"/>
            </w:pPr>
          </w:p>
        </w:tc>
      </w:tr>
      <w:tr w14:paraId="031C7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997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58C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E65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6816">
            <w:pPr>
              <w:jc w:val="center"/>
            </w:pPr>
            <w:r>
              <w:rPr>
                <w:rFonts w:ascii="宋体" w:hAnsi="宋体" w:eastAsia="宋体"/>
                <w:sz w:val="16"/>
              </w:rPr>
              <w:t>预算管理一体化系统平台维护费(万元）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6B0D4">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DD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A945">
            <w:pPr>
              <w:jc w:val="center"/>
            </w:pPr>
            <w:r>
              <w:rPr>
                <w:rFonts w:ascii="宋体" w:hAnsi="宋体" w:eastAsia="宋体"/>
                <w:sz w:val="16"/>
              </w:rPr>
              <w:t>32.2万元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4AD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8A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64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3869">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1A87">
            <w:pPr>
              <w:jc w:val="center"/>
            </w:pPr>
            <w:r>
              <w:rPr>
                <w:rFonts w:ascii="宋体" w:hAnsi="宋体" w:eastAsia="宋体"/>
                <w:sz w:val="16"/>
              </w:rPr>
              <w:t>3.21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9668B">
            <w:pPr>
              <w:jc w:val="center"/>
            </w:pPr>
            <w:r>
              <w:rPr>
                <w:rFonts w:ascii="宋体" w:hAnsi="宋体" w:eastAsia="宋体"/>
                <w:sz w:val="16"/>
              </w:rPr>
              <w:t>偏差原因：预算金额与实际合同支付金额有差异；改进措施：坚决贯彻过紧日子要求，科学精准编制预算。</w:t>
            </w:r>
          </w:p>
        </w:tc>
      </w:tr>
      <w:tr w14:paraId="0C74D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373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E67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640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9C155">
            <w:pPr>
              <w:jc w:val="center"/>
            </w:pPr>
            <w:r>
              <w:rPr>
                <w:rFonts w:ascii="宋体" w:hAnsi="宋体" w:eastAsia="宋体"/>
                <w:sz w:val="16"/>
              </w:rPr>
              <w:t>政府债务系统监测服务费（万元）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B7B4">
            <w:pPr>
              <w:jc w:val="center"/>
            </w:pPr>
            <w:r>
              <w:rPr>
                <w:rFonts w:ascii="宋体" w:hAnsi="宋体" w:eastAsia="宋体"/>
                <w:sz w:val="16"/>
              </w:rPr>
              <w:t>&lt;=28万元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4E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35A47">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BC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D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EF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6523">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781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539DC">
            <w:pPr>
              <w:jc w:val="center"/>
            </w:pPr>
          </w:p>
        </w:tc>
      </w:tr>
      <w:tr w14:paraId="1C682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F3F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3B3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62C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E1D8">
            <w:pPr>
              <w:jc w:val="center"/>
            </w:pPr>
            <w:r>
              <w:rPr>
                <w:rFonts w:ascii="宋体" w:hAnsi="宋体" w:eastAsia="宋体"/>
                <w:sz w:val="16"/>
              </w:rPr>
              <w:t>各类系统维护费（万元）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9CF7F">
            <w:pPr>
              <w:jc w:val="center"/>
            </w:pPr>
            <w:r>
              <w:rPr>
                <w:rFonts w:ascii="宋体" w:hAnsi="宋体" w:eastAsia="宋体"/>
                <w:sz w:val="16"/>
              </w:rPr>
              <w:t>&lt;=19.21万元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80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8D26">
            <w:pPr>
              <w:jc w:val="center"/>
            </w:pPr>
            <w:r>
              <w:rPr>
                <w:rFonts w:ascii="宋体" w:hAnsi="宋体" w:eastAsia="宋体"/>
                <w:sz w:val="16"/>
              </w:rPr>
              <w:t>19.21万元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DF2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13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74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EE94">
            <w:pPr>
              <w:jc w:val="center"/>
            </w:pPr>
            <w:r>
              <w:rPr>
                <w:rFonts w:ascii="宋体" w:hAnsi="宋体" w:eastAsia="宋体"/>
                <w:sz w:val="16"/>
              </w:rPr>
              <w:t>=13.93万元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6DC2">
            <w:pPr>
              <w:jc w:val="center"/>
            </w:pPr>
            <w:r>
              <w:rPr>
                <w:rFonts w:ascii="宋体" w:hAnsi="宋体" w:eastAsia="宋体"/>
                <w:sz w:val="16"/>
              </w:rPr>
              <w:t>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BCAB1">
            <w:pPr>
              <w:jc w:val="center"/>
            </w:pPr>
            <w:r>
              <w:rPr>
                <w:rFonts w:ascii="宋体" w:hAnsi="宋体" w:eastAsia="宋体"/>
                <w:sz w:val="16"/>
              </w:rPr>
              <w:t>偏差原因：预算金额与实际合同支付金额有差异；改进措施：坚决贯彻过紧日子要求，科学精准编制预算。</w:t>
            </w:r>
          </w:p>
        </w:tc>
      </w:tr>
      <w:tr w14:paraId="41C0C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2EC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043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76B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D589">
            <w:pPr>
              <w:jc w:val="center"/>
            </w:pPr>
            <w:r>
              <w:rPr>
                <w:rFonts w:ascii="宋体" w:hAnsi="宋体" w:eastAsia="宋体"/>
                <w:sz w:val="16"/>
              </w:rPr>
              <w:t>提高网络系统运行稳定（%）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6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0D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C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0E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04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D4E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BF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2B6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78B1E">
            <w:pPr>
              <w:jc w:val="center"/>
            </w:pPr>
          </w:p>
        </w:tc>
      </w:tr>
      <w:tr w14:paraId="4A037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EE8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5F7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26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34C5">
            <w:pPr>
              <w:jc w:val="center"/>
            </w:pPr>
            <w:r>
              <w:rPr>
                <w:rFonts w:ascii="宋体" w:hAnsi="宋体" w:eastAsia="宋体"/>
                <w:sz w:val="16"/>
              </w:rPr>
              <w:t>提高财政业务工作效率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B8A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ABD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3C03">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67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3E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454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188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55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ECBE3">
            <w:pPr>
              <w:jc w:val="center"/>
            </w:pPr>
          </w:p>
        </w:tc>
      </w:tr>
      <w:tr w14:paraId="1430BB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8A0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B89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F3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F085">
            <w:pPr>
              <w:jc w:val="center"/>
            </w:pPr>
            <w:r>
              <w:rPr>
                <w:rFonts w:ascii="宋体" w:hAnsi="宋体" w:eastAsia="宋体"/>
                <w:sz w:val="16"/>
              </w:rPr>
              <w:t>服务各单位满意度（%）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25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55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E0A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31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F87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98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FF0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4C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207D2">
            <w:pPr>
              <w:jc w:val="center"/>
            </w:pPr>
          </w:p>
        </w:tc>
      </w:tr>
      <w:tr w14:paraId="1BA405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988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F7AB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F52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7689FF">
            <w:pPr>
              <w:jc w:val="center"/>
            </w:pPr>
            <w:r>
              <w:rPr>
                <w:rFonts w:ascii="宋体" w:hAnsi="宋体" w:eastAsia="宋体"/>
                <w:sz w:val="16"/>
              </w:rPr>
              <w:t>92.11分</w:t>
            </w:r>
          </w:p>
        </w:tc>
      </w:tr>
    </w:tbl>
    <w:p w14:paraId="3D5C854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9E0DE7D">
        <w:tblPrEx>
          <w:tblCellMar>
            <w:top w:w="0" w:type="dxa"/>
            <w:left w:w="108" w:type="dxa"/>
            <w:bottom w:w="0" w:type="dxa"/>
            <w:right w:w="108" w:type="dxa"/>
          </w:tblCellMar>
        </w:tblPrEx>
        <w:tc>
          <w:tcPr>
            <w:tcW w:w="8848" w:type="dxa"/>
            <w:gridSpan w:val="14"/>
            <w:vAlign w:val="center"/>
          </w:tcPr>
          <w:p w14:paraId="6070B83E">
            <w:pPr>
              <w:jc w:val="center"/>
            </w:pPr>
            <w:r>
              <w:rPr>
                <w:rFonts w:ascii="宋体" w:hAnsi="宋体" w:eastAsia="宋体"/>
                <w:sz w:val="24"/>
              </w:rPr>
              <w:t>项目支出绩效自评表</w:t>
            </w:r>
          </w:p>
        </w:tc>
      </w:tr>
      <w:tr w14:paraId="2F7F794B">
        <w:tblPrEx>
          <w:tblCellMar>
            <w:top w:w="0" w:type="dxa"/>
            <w:left w:w="108" w:type="dxa"/>
            <w:bottom w:w="0" w:type="dxa"/>
            <w:right w:w="108" w:type="dxa"/>
          </w:tblCellMar>
        </w:tblPrEx>
        <w:tc>
          <w:tcPr>
            <w:tcW w:w="8848" w:type="dxa"/>
            <w:gridSpan w:val="14"/>
            <w:vAlign w:val="center"/>
          </w:tcPr>
          <w:p w14:paraId="77BD9A4F">
            <w:pPr>
              <w:jc w:val="center"/>
            </w:pPr>
            <w:r>
              <w:rPr>
                <w:rFonts w:ascii="宋体" w:hAnsi="宋体" w:eastAsia="宋体"/>
                <w:sz w:val="24"/>
              </w:rPr>
              <w:t>(2024年度)</w:t>
            </w:r>
          </w:p>
        </w:tc>
      </w:tr>
      <w:tr w14:paraId="5B5073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1D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1830CD">
            <w:pPr>
              <w:jc w:val="center"/>
            </w:pPr>
            <w:r>
              <w:rPr>
                <w:rFonts w:ascii="宋体" w:hAnsi="宋体" w:eastAsia="宋体"/>
                <w:sz w:val="16"/>
              </w:rPr>
              <w:t>财政平台运营维护及服务费</w:t>
            </w:r>
          </w:p>
        </w:tc>
      </w:tr>
      <w:tr w14:paraId="46F850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FAD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136C95">
            <w:pPr>
              <w:jc w:val="center"/>
            </w:pPr>
            <w:r>
              <w:rPr>
                <w:rFonts w:ascii="宋体" w:hAnsi="宋体" w:eastAsia="宋体"/>
                <w:sz w:val="16"/>
              </w:rPr>
              <w:t>克州财政局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BA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587F1C">
            <w:pPr>
              <w:jc w:val="center"/>
            </w:pPr>
            <w:r>
              <w:rPr>
                <w:rFonts w:ascii="宋体" w:hAnsi="宋体" w:eastAsia="宋体"/>
                <w:sz w:val="16"/>
              </w:rPr>
              <w:t>克孜勒苏柯尔克孜自治州财政局</w:t>
            </w:r>
          </w:p>
        </w:tc>
      </w:tr>
      <w:tr w14:paraId="37363C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3FB6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4A6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11E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944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87C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45E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2E5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624D">
            <w:pPr>
              <w:jc w:val="center"/>
            </w:pPr>
            <w:r>
              <w:rPr>
                <w:rFonts w:ascii="宋体" w:hAnsi="宋体" w:eastAsia="宋体"/>
                <w:sz w:val="16"/>
              </w:rPr>
              <w:t>得分</w:t>
            </w:r>
          </w:p>
        </w:tc>
      </w:tr>
      <w:tr w14:paraId="07FC26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AAC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2D5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139F8">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EE60A">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25288">
            <w:pPr>
              <w:jc w:val="center"/>
            </w:pPr>
            <w:r>
              <w:rPr>
                <w:rFonts w:ascii="宋体" w:hAnsi="宋体" w:eastAsia="宋体"/>
                <w:sz w:val="16"/>
              </w:rPr>
              <w:t>81.80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3FD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5C752">
            <w:pPr>
              <w:jc w:val="center"/>
            </w:pPr>
            <w:r>
              <w:rPr>
                <w:rFonts w:ascii="宋体" w:hAnsi="宋体" w:eastAsia="宋体"/>
                <w:sz w:val="16"/>
              </w:rPr>
              <w:t>97.4%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BA4E">
            <w:pPr>
              <w:jc w:val="center"/>
            </w:pPr>
            <w:r>
              <w:rPr>
                <w:rFonts w:ascii="宋体" w:hAnsi="宋体" w:eastAsia="宋体"/>
                <w:sz w:val="16"/>
              </w:rPr>
              <w:t>10.00分</w:t>
            </w:r>
          </w:p>
        </w:tc>
      </w:tr>
      <w:tr w14:paraId="69DA57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216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4900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6D195">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BCDAA">
            <w:pPr>
              <w:jc w:val="center"/>
            </w:pPr>
            <w:r>
              <w:rPr>
                <w:rFonts w:ascii="宋体" w:hAnsi="宋体" w:eastAsia="宋体"/>
                <w:sz w:val="16"/>
              </w:rPr>
              <w:t>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C3DB7">
            <w:pPr>
              <w:jc w:val="center"/>
            </w:pPr>
            <w:r>
              <w:rPr>
                <w:rFonts w:ascii="宋体" w:hAnsi="宋体" w:eastAsia="宋体"/>
                <w:sz w:val="16"/>
              </w:rPr>
              <w:t>81.80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228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BE3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3730">
            <w:pPr>
              <w:jc w:val="center"/>
            </w:pPr>
            <w:r>
              <w:rPr>
                <w:rFonts w:ascii="宋体" w:hAnsi="宋体" w:eastAsia="宋体"/>
                <w:sz w:val="16"/>
              </w:rPr>
              <w:t>—</w:t>
            </w:r>
          </w:p>
        </w:tc>
      </w:tr>
      <w:tr w14:paraId="7E0A3E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48C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ADA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EEC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1E8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F72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152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C6C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1118">
            <w:pPr>
              <w:jc w:val="center"/>
            </w:pPr>
            <w:r>
              <w:rPr>
                <w:rFonts w:ascii="宋体" w:hAnsi="宋体" w:eastAsia="宋体"/>
                <w:sz w:val="16"/>
              </w:rPr>
              <w:t>—</w:t>
            </w:r>
          </w:p>
        </w:tc>
      </w:tr>
      <w:tr w14:paraId="4754F8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97BA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257AA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CF0C5D">
            <w:pPr>
              <w:jc w:val="center"/>
            </w:pPr>
            <w:r>
              <w:rPr>
                <w:rFonts w:ascii="宋体" w:hAnsi="宋体" w:eastAsia="宋体"/>
                <w:sz w:val="16"/>
              </w:rPr>
              <w:t>实际完成情况</w:t>
            </w:r>
          </w:p>
        </w:tc>
      </w:tr>
      <w:tr w14:paraId="29322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9A71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DCB7F7">
            <w:pPr>
              <w:jc w:val="both"/>
            </w:pPr>
            <w:r>
              <w:rPr>
                <w:rFonts w:ascii="宋体" w:hAnsi="宋体" w:eastAsia="宋体"/>
                <w:sz w:val="16"/>
              </w:rPr>
              <w:t>该项目总投资84万元，其中：财政资金84万元，其他资金0万元，主要用于全州统一组建政采云平台，非法集资监控平台建设及运营维护费，该平台以互联网为基础，以政府采购电子化交易、管理为重点，充分</w:t>
            </w:r>
            <w:r>
              <w:rPr>
                <w:rFonts w:hint="eastAsia" w:ascii="宋体" w:hAnsi="宋体"/>
                <w:sz w:val="16"/>
                <w:lang w:eastAsia="zh-CN"/>
              </w:rPr>
              <w:t>运</w:t>
            </w:r>
            <w:r>
              <w:rPr>
                <w:rFonts w:ascii="宋体" w:hAnsi="宋体" w:eastAsia="宋体"/>
                <w:sz w:val="16"/>
              </w:rPr>
              <w:t>用云计算、大数据、移动互联技术，通过该项目实施提升业务保障能力和提高打击非法集资力度，同时也提高了云平台运行稳定性。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581B60">
            <w:pPr>
              <w:jc w:val="both"/>
            </w:pPr>
            <w:r>
              <w:rPr>
                <w:rFonts w:ascii="宋体" w:hAnsi="宋体" w:eastAsia="宋体"/>
                <w:sz w:val="16"/>
              </w:rPr>
              <w:t>截至2024年12月31日，已完成政采云平台预算单位覆盖数量146家，政采云平台供应商覆盖数量937家，聘请服务专员1人，云平台运营维护2套。通过该项目实施，全州统一组建政采云平台</w:t>
            </w:r>
            <w:r>
              <w:rPr>
                <w:rFonts w:hint="eastAsia" w:ascii="宋体" w:hAnsi="宋体"/>
                <w:sz w:val="16"/>
                <w:lang w:eastAsia="zh-CN"/>
              </w:rPr>
              <w:t>，</w:t>
            </w:r>
            <w:r>
              <w:rPr>
                <w:rFonts w:ascii="宋体" w:hAnsi="宋体" w:eastAsia="宋体"/>
                <w:sz w:val="16"/>
              </w:rPr>
              <w:t>非法集资监控平台建设及运营维护费，以互联网为基础，以政府采购电子化交易、管理为重点，充分</w:t>
            </w:r>
            <w:r>
              <w:rPr>
                <w:rFonts w:hint="eastAsia" w:ascii="宋体" w:hAnsi="宋体"/>
                <w:sz w:val="16"/>
                <w:lang w:eastAsia="zh-CN"/>
              </w:rPr>
              <w:t>运</w:t>
            </w:r>
            <w:r>
              <w:rPr>
                <w:rFonts w:ascii="宋体" w:hAnsi="宋体" w:eastAsia="宋体"/>
                <w:sz w:val="16"/>
              </w:rPr>
              <w:t>用云计算、大数据、移动互联技术，通过该项目实施提升业务保障能力和提高打击非法集资力度，同时也提高了云平台运行稳定性。</w:t>
            </w:r>
          </w:p>
        </w:tc>
      </w:tr>
      <w:tr w14:paraId="5C44C0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FD93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CF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5F6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1B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A0A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36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BE4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01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DE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CE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6F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3DB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B106D">
            <w:pPr>
              <w:jc w:val="center"/>
            </w:pPr>
            <w:r>
              <w:rPr>
                <w:rFonts w:ascii="宋体" w:hAnsi="宋体" w:eastAsia="宋体"/>
                <w:sz w:val="16"/>
              </w:rPr>
              <w:t>偏差原因分析及改进措施</w:t>
            </w:r>
          </w:p>
        </w:tc>
      </w:tr>
      <w:tr w14:paraId="4F30F1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C7E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C1E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9ED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765A">
            <w:pPr>
              <w:jc w:val="center"/>
            </w:pPr>
            <w:r>
              <w:rPr>
                <w:rFonts w:ascii="宋体" w:hAnsi="宋体" w:eastAsia="宋体"/>
                <w:sz w:val="16"/>
              </w:rPr>
              <w:t>政采云平台预算单位覆盖数量（家）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5E90">
            <w:pPr>
              <w:jc w:val="center"/>
            </w:pPr>
            <w:r>
              <w:rPr>
                <w:rFonts w:ascii="宋体" w:hAnsi="宋体" w:eastAsia="宋体"/>
                <w:sz w:val="16"/>
              </w:rPr>
              <w:t>&gt;=140家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26E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20C0">
            <w:pPr>
              <w:jc w:val="center"/>
            </w:pPr>
            <w:r>
              <w:rPr>
                <w:rFonts w:ascii="宋体" w:hAnsi="宋体" w:eastAsia="宋体"/>
                <w:sz w:val="16"/>
              </w:rPr>
              <w:t>142家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61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92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09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CFFD">
            <w:pPr>
              <w:jc w:val="center"/>
            </w:pPr>
            <w:r>
              <w:rPr>
                <w:rFonts w:ascii="宋体" w:hAnsi="宋体" w:eastAsia="宋体"/>
                <w:sz w:val="16"/>
              </w:rPr>
              <w:t>=146家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4B2B">
            <w:pPr>
              <w:jc w:val="center"/>
            </w:pPr>
            <w:r>
              <w:rPr>
                <w:rFonts w:ascii="宋体" w:hAnsi="宋体" w:eastAsia="宋体"/>
                <w:sz w:val="16"/>
              </w:rPr>
              <w:t>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CEE6D">
            <w:pPr>
              <w:jc w:val="center"/>
            </w:pPr>
            <w:r>
              <w:rPr>
                <w:rFonts w:ascii="宋体" w:hAnsi="宋体" w:eastAsia="宋体"/>
                <w:sz w:val="16"/>
              </w:rPr>
              <w:t>偏差原因：政采云平台预算单位覆盖数量与实际有差异；改进措施：提前做好调查摸底，科学精准设定指标值。</w:t>
            </w:r>
          </w:p>
        </w:tc>
      </w:tr>
      <w:tr w14:paraId="5A507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72D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22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8A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3C98">
            <w:pPr>
              <w:jc w:val="center"/>
            </w:pPr>
            <w:r>
              <w:rPr>
                <w:rFonts w:ascii="宋体" w:hAnsi="宋体" w:eastAsia="宋体"/>
                <w:sz w:val="16"/>
              </w:rPr>
              <w:t>政采云平台供应商覆盖数量（家）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69B3">
            <w:pPr>
              <w:jc w:val="center"/>
            </w:pPr>
            <w:r>
              <w:rPr>
                <w:rFonts w:ascii="宋体" w:hAnsi="宋体" w:eastAsia="宋体"/>
                <w:sz w:val="16"/>
              </w:rPr>
              <w:t>&gt;=859家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D8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C26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F51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7A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C9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F576">
            <w:pPr>
              <w:jc w:val="center"/>
            </w:pPr>
            <w:r>
              <w:rPr>
                <w:rFonts w:ascii="宋体" w:hAnsi="宋体" w:eastAsia="宋体"/>
                <w:sz w:val="16"/>
              </w:rPr>
              <w:t>=937家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6B14">
            <w:pPr>
              <w:jc w:val="center"/>
            </w:pPr>
            <w:r>
              <w:rPr>
                <w:rFonts w:ascii="宋体" w:hAnsi="宋体" w:eastAsia="宋体"/>
                <w:sz w:val="16"/>
              </w:rPr>
              <w:t>3.64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B3495">
            <w:pPr>
              <w:jc w:val="center"/>
            </w:pPr>
            <w:r>
              <w:rPr>
                <w:rFonts w:ascii="宋体" w:hAnsi="宋体" w:eastAsia="宋体"/>
                <w:sz w:val="16"/>
              </w:rPr>
              <w:t>偏差原因：政采云平台供应商覆盖数量与实际有差异；改进措施：提前做好调查摸底，科学精准设定指标值。</w:t>
            </w:r>
          </w:p>
        </w:tc>
      </w:tr>
      <w:tr w14:paraId="72B02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15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B2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542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27F9">
            <w:pPr>
              <w:jc w:val="center"/>
            </w:pPr>
            <w:r>
              <w:rPr>
                <w:rFonts w:ascii="宋体" w:hAnsi="宋体" w:eastAsia="宋体"/>
                <w:sz w:val="16"/>
              </w:rPr>
              <w:t>聘请服务专员人数（人）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46A3">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1F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79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75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45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46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F12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CA0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62458">
            <w:pPr>
              <w:jc w:val="center"/>
            </w:pPr>
          </w:p>
        </w:tc>
      </w:tr>
      <w:tr w14:paraId="4FCA9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4AB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47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9C7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7984">
            <w:pPr>
              <w:jc w:val="center"/>
            </w:pPr>
            <w:r>
              <w:rPr>
                <w:rFonts w:ascii="宋体" w:hAnsi="宋体" w:eastAsia="宋体"/>
                <w:sz w:val="16"/>
              </w:rPr>
              <w:t>平台运营维护数量（套）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5856">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2B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36EE">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FC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F2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9B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4E71">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455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9557A">
            <w:pPr>
              <w:jc w:val="center"/>
            </w:pPr>
          </w:p>
        </w:tc>
      </w:tr>
      <w:tr w14:paraId="136D6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424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F31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879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BABF">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604CE">
            <w:pPr>
              <w:jc w:val="center"/>
            </w:pPr>
            <w:r>
              <w:rPr>
                <w:rFonts w:ascii="宋体" w:hAnsi="宋体" w:eastAsia="宋体"/>
                <w:sz w:val="16"/>
              </w:rPr>
              <w:t>&lt;=2%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18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BD3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66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DF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CF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457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205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05F8F">
            <w:pPr>
              <w:jc w:val="center"/>
            </w:pPr>
          </w:p>
        </w:tc>
      </w:tr>
      <w:tr w14:paraId="30984B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EF7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518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645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1A1B">
            <w:pPr>
              <w:jc w:val="center"/>
            </w:pPr>
            <w:r>
              <w:rPr>
                <w:rFonts w:ascii="宋体" w:hAnsi="宋体" w:eastAsia="宋体"/>
                <w:sz w:val="16"/>
              </w:rPr>
              <w:t>政府采购规范率（%）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74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6B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F9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CF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D3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A0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5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3BB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4174F">
            <w:pPr>
              <w:jc w:val="center"/>
            </w:pPr>
          </w:p>
        </w:tc>
      </w:tr>
      <w:tr w14:paraId="67A99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BD3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738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7F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E9A6">
            <w:pPr>
              <w:jc w:val="center"/>
            </w:pPr>
            <w:r>
              <w:rPr>
                <w:rFonts w:ascii="宋体" w:hAnsi="宋体" w:eastAsia="宋体"/>
                <w:sz w:val="16"/>
              </w:rPr>
              <w:t>非法集资监测预警率（%）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8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8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A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C5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D9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A8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E4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6C1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5B798">
            <w:pPr>
              <w:jc w:val="center"/>
            </w:pPr>
          </w:p>
        </w:tc>
      </w:tr>
      <w:tr w14:paraId="029C34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007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024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60A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6220B">
            <w:pPr>
              <w:jc w:val="center"/>
            </w:pPr>
            <w:r>
              <w:rPr>
                <w:rFonts w:ascii="宋体" w:hAnsi="宋体" w:eastAsia="宋体"/>
                <w:sz w:val="16"/>
              </w:rPr>
              <w:t>系统故障修复处理时间（小时）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509A">
            <w:pPr>
              <w:jc w:val="center"/>
            </w:pPr>
            <w:r>
              <w:rPr>
                <w:rFonts w:ascii="宋体" w:hAnsi="宋体" w:eastAsia="宋体"/>
                <w:sz w:val="16"/>
              </w:rPr>
              <w:t>&lt;=1小时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D9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D6CB">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BB8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2F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6C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5117">
            <w:pPr>
              <w:jc w:val="center"/>
            </w:pPr>
            <w:r>
              <w:rPr>
                <w:rFonts w:ascii="宋体" w:hAnsi="宋体" w:eastAsia="宋体"/>
                <w:sz w:val="16"/>
              </w:rPr>
              <w:t>=1小时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E05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E2066">
            <w:pPr>
              <w:jc w:val="center"/>
            </w:pPr>
          </w:p>
        </w:tc>
      </w:tr>
      <w:tr w14:paraId="26FE4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22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D2A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0F4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0D12">
            <w:pPr>
              <w:jc w:val="center"/>
            </w:pPr>
            <w:r>
              <w:rPr>
                <w:rFonts w:ascii="宋体" w:hAnsi="宋体" w:eastAsia="宋体"/>
                <w:sz w:val="16"/>
              </w:rPr>
              <w:t>政府</w:t>
            </w:r>
            <w:r>
              <w:rPr>
                <w:rFonts w:hint="eastAsia" w:ascii="宋体" w:hAnsi="宋体"/>
                <w:sz w:val="16"/>
                <w:lang w:eastAsia="zh-CN"/>
              </w:rPr>
              <w:t>采购</w:t>
            </w:r>
            <w:r>
              <w:rPr>
                <w:rFonts w:ascii="宋体" w:hAnsi="宋体" w:eastAsia="宋体"/>
                <w:sz w:val="16"/>
              </w:rPr>
              <w:t>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C6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5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44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F7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4D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AE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DD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6D9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37664">
            <w:pPr>
              <w:jc w:val="center"/>
            </w:pPr>
          </w:p>
        </w:tc>
      </w:tr>
      <w:tr w14:paraId="77638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5B9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A4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7B9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DCCE0">
            <w:pPr>
              <w:jc w:val="center"/>
            </w:pPr>
            <w:r>
              <w:rPr>
                <w:rFonts w:ascii="宋体" w:hAnsi="宋体" w:eastAsia="宋体"/>
                <w:sz w:val="16"/>
              </w:rPr>
              <w:t>非法集资监测预警及时率（%）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10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E8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03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B3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54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C1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3D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24B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D54D6">
            <w:pPr>
              <w:jc w:val="center"/>
            </w:pPr>
          </w:p>
        </w:tc>
      </w:tr>
      <w:tr w14:paraId="51BBD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E14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0093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C4F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9431">
            <w:pPr>
              <w:jc w:val="center"/>
            </w:pPr>
            <w:r>
              <w:rPr>
                <w:rFonts w:ascii="宋体" w:hAnsi="宋体" w:eastAsia="宋体"/>
                <w:sz w:val="16"/>
              </w:rPr>
              <w:t>政府采购云平台服务费（万元）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909F">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0B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2E4E">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BC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58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63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3E44">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F1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CBD93">
            <w:pPr>
              <w:jc w:val="center"/>
            </w:pPr>
          </w:p>
        </w:tc>
      </w:tr>
      <w:tr w14:paraId="43EAF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67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1EF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F16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05C9">
            <w:pPr>
              <w:jc w:val="center"/>
            </w:pPr>
            <w:r>
              <w:rPr>
                <w:rFonts w:ascii="宋体" w:hAnsi="宋体" w:eastAsia="宋体"/>
                <w:sz w:val="16"/>
              </w:rPr>
              <w:t>非法集资监测预警运营维护费（万元）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2B38">
            <w:pPr>
              <w:jc w:val="center"/>
            </w:pPr>
            <w:r>
              <w:rPr>
                <w:rFonts w:ascii="宋体" w:hAnsi="宋体" w:eastAsia="宋体"/>
                <w:sz w:val="16"/>
              </w:rPr>
              <w:t>&lt;=44万元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4A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D97F">
            <w:pPr>
              <w:jc w:val="center"/>
            </w:pPr>
            <w:r>
              <w:rPr>
                <w:rFonts w:ascii="宋体" w:hAnsi="宋体" w:eastAsia="宋体"/>
                <w:sz w:val="16"/>
              </w:rPr>
              <w: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D4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E79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0E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200B">
            <w:pPr>
              <w:jc w:val="center"/>
            </w:pPr>
            <w:r>
              <w:rPr>
                <w:rFonts w:ascii="宋体" w:hAnsi="宋体" w:eastAsia="宋体"/>
                <w:sz w:val="16"/>
              </w:rPr>
              <w:t>=41.8万元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C543">
            <w:pPr>
              <w:jc w:val="center"/>
            </w:pPr>
            <w:r>
              <w:rPr>
                <w:rFonts w:ascii="宋体" w:hAnsi="宋体" w:eastAsia="宋体"/>
                <w:sz w:val="16"/>
              </w:rPr>
              <w:t>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A1B33">
            <w:pPr>
              <w:jc w:val="center"/>
            </w:pPr>
            <w:r>
              <w:rPr>
                <w:rFonts w:ascii="宋体" w:hAnsi="宋体" w:eastAsia="宋体"/>
                <w:sz w:val="16"/>
              </w:rPr>
              <w:t>偏差原因：预算金额与实际合同支付金额有差异；改进措施：坚决贯彻过紧日子要求，科学精准编制预算。</w:t>
            </w:r>
          </w:p>
        </w:tc>
      </w:tr>
      <w:tr w14:paraId="7A9F05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E71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5DCD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369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95E5">
            <w:pPr>
              <w:jc w:val="center"/>
            </w:pPr>
            <w:r>
              <w:rPr>
                <w:rFonts w:ascii="宋体" w:hAnsi="宋体" w:eastAsia="宋体"/>
                <w:sz w:val="16"/>
              </w:rPr>
              <w:t>提升政府采购信息化水平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615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B4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C26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21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C7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940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475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39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08584">
            <w:pPr>
              <w:jc w:val="center"/>
            </w:pPr>
          </w:p>
        </w:tc>
      </w:tr>
      <w:tr w14:paraId="201EE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8C0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77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E75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EAC7">
            <w:pPr>
              <w:jc w:val="center"/>
            </w:pPr>
            <w:r>
              <w:rPr>
                <w:rFonts w:ascii="宋体" w:hAnsi="宋体" w:eastAsia="宋体"/>
                <w:sz w:val="16"/>
              </w:rPr>
              <w:t>提高打击非法集资力度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B7D0">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29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86A5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6B4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66A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300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254D">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15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292E4">
            <w:pPr>
              <w:jc w:val="center"/>
            </w:pPr>
          </w:p>
        </w:tc>
      </w:tr>
      <w:tr w14:paraId="082F2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46E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4F7F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E8D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023C">
            <w:pPr>
              <w:jc w:val="center"/>
            </w:pPr>
            <w:r>
              <w:rPr>
                <w:rFonts w:ascii="宋体" w:hAnsi="宋体" w:eastAsia="宋体"/>
                <w:sz w:val="16"/>
              </w:rPr>
              <w:t>供应商满意度（%）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634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BE4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18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5C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304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E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C9E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6A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AC8F5">
            <w:pPr>
              <w:jc w:val="center"/>
            </w:pPr>
          </w:p>
        </w:tc>
      </w:tr>
      <w:tr w14:paraId="31C39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B3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58F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02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E32E">
            <w:pPr>
              <w:jc w:val="center"/>
            </w:pPr>
            <w:r>
              <w:rPr>
                <w:rFonts w:ascii="宋体" w:hAnsi="宋体" w:eastAsia="宋体"/>
                <w:sz w:val="16"/>
              </w:rPr>
              <w:t>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57E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E6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D1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25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5F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BBC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5D0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BDD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72224">
            <w:pPr>
              <w:jc w:val="center"/>
            </w:pPr>
          </w:p>
        </w:tc>
      </w:tr>
      <w:tr w14:paraId="79DCAD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237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8991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7BF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18B931">
            <w:pPr>
              <w:jc w:val="center"/>
            </w:pPr>
            <w:r>
              <w:rPr>
                <w:rFonts w:ascii="宋体" w:hAnsi="宋体" w:eastAsia="宋体"/>
                <w:sz w:val="16"/>
              </w:rPr>
              <w:t>98.22分</w:t>
            </w:r>
          </w:p>
        </w:tc>
      </w:tr>
    </w:tbl>
    <w:p w14:paraId="122A9815">
      <w:r>
        <w:br w:type="page"/>
      </w:r>
    </w:p>
    <w:p w14:paraId="0C628905">
      <w:pPr>
        <w:spacing w:line="640" w:lineRule="exact"/>
        <w:ind w:firstLine="640"/>
        <w:jc w:val="both"/>
        <w:outlineLvl w:val="2"/>
      </w:pPr>
      <w:r>
        <w:rPr>
          <w:rFonts w:ascii="黑体" w:hAnsi="黑体" w:eastAsia="黑体"/>
          <w:sz w:val="32"/>
        </w:rPr>
        <w:t>十二、其他需说明的事项</w:t>
      </w:r>
    </w:p>
    <w:p w14:paraId="1B138BAE">
      <w:pPr>
        <w:spacing w:line="580" w:lineRule="exact"/>
        <w:ind w:firstLine="640"/>
        <w:jc w:val="both"/>
      </w:pPr>
      <w:r>
        <w:rPr>
          <w:rFonts w:ascii="仿宋_GB2312" w:hAnsi="仿宋_GB2312" w:eastAsia="仿宋_GB2312"/>
          <w:b w:val="0"/>
          <w:sz w:val="32"/>
        </w:rPr>
        <w:t>本单位无其他需说明的事项。</w:t>
      </w:r>
    </w:p>
    <w:p w14:paraId="2DA93221">
      <w:r>
        <w:br w:type="page"/>
      </w:r>
    </w:p>
    <w:p w14:paraId="022F9869">
      <w:pPr>
        <w:spacing w:line="240" w:lineRule="auto"/>
        <w:jc w:val="center"/>
        <w:outlineLvl w:val="1"/>
      </w:pPr>
      <w:r>
        <w:rPr>
          <w:rFonts w:ascii="黑体" w:hAnsi="黑体" w:eastAsia="黑体"/>
          <w:sz w:val="32"/>
        </w:rPr>
        <w:t>第三部分 专业名词解释</w:t>
      </w:r>
    </w:p>
    <w:p w14:paraId="6C34356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B2608D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FC04E6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141F30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5E40EE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EAF9F8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5C24A2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D14556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43D03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5553E4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C250FF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685260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2680F6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A4007C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E011635">
      <w:r>
        <w:br w:type="page"/>
      </w:r>
    </w:p>
    <w:p w14:paraId="256096E2">
      <w:pPr>
        <w:spacing w:line="240" w:lineRule="auto"/>
        <w:jc w:val="center"/>
        <w:outlineLvl w:val="1"/>
      </w:pPr>
      <w:r>
        <w:rPr>
          <w:rFonts w:ascii="黑体" w:hAnsi="黑体" w:eastAsia="黑体"/>
          <w:sz w:val="32"/>
        </w:rPr>
        <w:t>第四部分 部门决算报表（见附表）</w:t>
      </w:r>
    </w:p>
    <w:p w14:paraId="6B54A662">
      <w:pPr>
        <w:spacing w:line="240" w:lineRule="auto"/>
        <w:ind w:firstLine="640"/>
        <w:jc w:val="both"/>
      </w:pPr>
      <w:r>
        <w:rPr>
          <w:rFonts w:ascii="仿宋_GB2312" w:hAnsi="仿宋_GB2312" w:eastAsia="仿宋_GB2312"/>
          <w:b w:val="0"/>
          <w:sz w:val="32"/>
        </w:rPr>
        <w:t>一、《收入支出决算总表》</w:t>
      </w:r>
    </w:p>
    <w:p w14:paraId="02A59102">
      <w:pPr>
        <w:spacing w:line="240" w:lineRule="auto"/>
        <w:ind w:firstLine="640"/>
        <w:jc w:val="both"/>
      </w:pPr>
      <w:r>
        <w:rPr>
          <w:rFonts w:ascii="仿宋_GB2312" w:hAnsi="仿宋_GB2312" w:eastAsia="仿宋_GB2312"/>
          <w:b w:val="0"/>
          <w:sz w:val="32"/>
        </w:rPr>
        <w:t>二、《收入决算表》</w:t>
      </w:r>
    </w:p>
    <w:p w14:paraId="55CB54A4">
      <w:pPr>
        <w:spacing w:line="240" w:lineRule="auto"/>
        <w:ind w:firstLine="640"/>
        <w:jc w:val="both"/>
      </w:pPr>
      <w:r>
        <w:rPr>
          <w:rFonts w:ascii="仿宋_GB2312" w:hAnsi="仿宋_GB2312" w:eastAsia="仿宋_GB2312"/>
          <w:b w:val="0"/>
          <w:sz w:val="32"/>
        </w:rPr>
        <w:t>三、《支出决算表》</w:t>
      </w:r>
    </w:p>
    <w:p w14:paraId="3F28DB7D">
      <w:pPr>
        <w:spacing w:line="240" w:lineRule="auto"/>
        <w:ind w:firstLine="640"/>
        <w:jc w:val="both"/>
      </w:pPr>
      <w:r>
        <w:rPr>
          <w:rFonts w:ascii="仿宋_GB2312" w:hAnsi="仿宋_GB2312" w:eastAsia="仿宋_GB2312"/>
          <w:b w:val="0"/>
          <w:sz w:val="32"/>
        </w:rPr>
        <w:t>四、《财政拨款收入支出决算总表》</w:t>
      </w:r>
    </w:p>
    <w:p w14:paraId="73D7E55F">
      <w:pPr>
        <w:spacing w:line="240" w:lineRule="auto"/>
        <w:ind w:firstLine="640"/>
        <w:jc w:val="both"/>
      </w:pPr>
      <w:r>
        <w:rPr>
          <w:rFonts w:ascii="仿宋_GB2312" w:hAnsi="仿宋_GB2312" w:eastAsia="仿宋_GB2312"/>
          <w:b w:val="0"/>
          <w:sz w:val="32"/>
        </w:rPr>
        <w:t>五、《一般公共预算财政拨款支出决算表》</w:t>
      </w:r>
    </w:p>
    <w:p w14:paraId="012D4D97">
      <w:pPr>
        <w:spacing w:line="240" w:lineRule="auto"/>
        <w:ind w:firstLine="640"/>
        <w:jc w:val="both"/>
      </w:pPr>
      <w:r>
        <w:rPr>
          <w:rFonts w:ascii="仿宋_GB2312" w:hAnsi="仿宋_GB2312" w:eastAsia="仿宋_GB2312"/>
          <w:b w:val="0"/>
          <w:sz w:val="32"/>
        </w:rPr>
        <w:t>六、《一般公共预算财政拨款基本支出决算表》</w:t>
      </w:r>
    </w:p>
    <w:p w14:paraId="7DA8CEEC">
      <w:pPr>
        <w:spacing w:line="240" w:lineRule="auto"/>
        <w:ind w:firstLine="640"/>
        <w:jc w:val="both"/>
      </w:pPr>
      <w:r>
        <w:rPr>
          <w:rFonts w:ascii="仿宋_GB2312" w:hAnsi="仿宋_GB2312" w:eastAsia="仿宋_GB2312"/>
          <w:b w:val="0"/>
          <w:sz w:val="32"/>
        </w:rPr>
        <w:t>七、《政府性基金预算财政拨款收入支出决算表》</w:t>
      </w:r>
    </w:p>
    <w:p w14:paraId="1C596A29">
      <w:pPr>
        <w:spacing w:line="240" w:lineRule="auto"/>
        <w:ind w:firstLine="640"/>
        <w:jc w:val="both"/>
      </w:pPr>
      <w:r>
        <w:rPr>
          <w:rFonts w:ascii="仿宋_GB2312" w:hAnsi="仿宋_GB2312" w:eastAsia="仿宋_GB2312"/>
          <w:b w:val="0"/>
          <w:sz w:val="32"/>
        </w:rPr>
        <w:t>八、《国有资本经营预算财政拨款收入支出决算表》</w:t>
      </w:r>
    </w:p>
    <w:p w14:paraId="180214E3">
      <w:pPr>
        <w:spacing w:line="240" w:lineRule="auto"/>
        <w:ind w:firstLine="640"/>
        <w:jc w:val="both"/>
      </w:pPr>
      <w:r>
        <w:rPr>
          <w:rFonts w:ascii="仿宋_GB2312" w:hAnsi="仿宋_GB2312" w:eastAsia="仿宋_GB2312"/>
          <w:b w:val="0"/>
          <w:sz w:val="32"/>
        </w:rPr>
        <w:t>九、《财政拨款“三公”经费支出决算表》</w:t>
      </w:r>
    </w:p>
    <w:p w14:paraId="229D53BA">
      <w:pPr>
        <w:spacing w:line="240" w:lineRule="auto"/>
        <w:ind w:firstLine="640"/>
        <w:jc w:val="both"/>
      </w:pPr>
    </w:p>
    <w:p w14:paraId="5674005F">
      <w:pPr>
        <w:spacing w:line="240" w:lineRule="auto"/>
        <w:ind w:firstLine="640"/>
        <w:jc w:val="both"/>
      </w:pPr>
    </w:p>
    <w:p w14:paraId="2686E785">
      <w:pPr>
        <w:spacing w:line="240" w:lineRule="auto"/>
        <w:ind w:firstLine="640"/>
        <w:jc w:val="both"/>
      </w:pPr>
    </w:p>
    <w:p w14:paraId="2E2ED08F">
      <w:pPr>
        <w:spacing w:line="240" w:lineRule="auto"/>
        <w:ind w:firstLine="640"/>
        <w:jc w:val="both"/>
      </w:pPr>
    </w:p>
    <w:p w14:paraId="67C4AB6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5A3369-0F40-4EA9-889F-B4887FF5681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A73E883-3E44-4A4C-9873-A0620560DF1E}"/>
  </w:font>
  <w:font w:name="仿宋_GB2312">
    <w:panose1 w:val="02010609030101010101"/>
    <w:charset w:val="86"/>
    <w:family w:val="auto"/>
    <w:pitch w:val="default"/>
    <w:sig w:usb0="00000001" w:usb1="080E0000" w:usb2="00000000" w:usb3="00000000" w:csb0="00040000" w:csb1="00000000"/>
    <w:embedRegular r:id="rId3" w:fontKey="{C7854AF8-C737-4041-80FB-B1250BB1C5E1}"/>
  </w:font>
  <w:font w:name="楷体_GB2312">
    <w:panose1 w:val="02010609030101010101"/>
    <w:charset w:val="86"/>
    <w:family w:val="auto"/>
    <w:pitch w:val="default"/>
    <w:sig w:usb0="00000001" w:usb1="080E0000" w:usb2="00000000" w:usb3="00000000" w:csb0="00040000" w:csb1="00000000"/>
    <w:embedRegular r:id="rId4" w:fontKey="{3DA4CF32-614B-452D-9F65-B9283F45997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1D7E3B"/>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1850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DB1396"/>
    <w:rsid w:val="73423603"/>
    <w:rsid w:val="737A5923"/>
    <w:rsid w:val="73DE4104"/>
    <w:rsid w:val="73FB6630"/>
    <w:rsid w:val="74CE04EC"/>
    <w:rsid w:val="74E76DCD"/>
    <w:rsid w:val="76660D7C"/>
    <w:rsid w:val="77ED6F44"/>
    <w:rsid w:val="795A0A34"/>
    <w:rsid w:val="7A0D3BC7"/>
    <w:rsid w:val="7A290A9C"/>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7169</Words>
  <Characters>7937</Characters>
  <Lines>0</Lines>
  <Paragraphs>0</Paragraphs>
  <TotalTime>6</TotalTime>
  <ScaleCrop>false</ScaleCrop>
  <LinksUpToDate>false</LinksUpToDate>
  <CharactersWithSpaces>7945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2025-09-02T05:19:21Z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