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0B8B52">
      <w:pPr>
        <w:spacing w:line="570" w:lineRule="exact"/>
        <w:jc w:val="center"/>
        <w:rPr>
          <w:rFonts w:ascii="华文中宋" w:hAnsi="华文中宋" w:eastAsia="华文中宋" w:cs="宋体"/>
          <w:b/>
          <w:kern w:val="0"/>
          <w:sz w:val="52"/>
          <w:szCs w:val="52"/>
        </w:rPr>
      </w:pPr>
      <w:bookmarkStart w:id="0" w:name="_GoBack"/>
      <w:bookmarkEnd w:id="0"/>
    </w:p>
    <w:p w14:paraId="0ECA9FBB">
      <w:pPr>
        <w:spacing w:line="570" w:lineRule="exact"/>
        <w:jc w:val="center"/>
        <w:rPr>
          <w:rFonts w:ascii="华文中宋" w:hAnsi="华文中宋" w:eastAsia="华文中宋" w:cs="宋体"/>
          <w:b/>
          <w:kern w:val="0"/>
          <w:sz w:val="52"/>
          <w:szCs w:val="52"/>
        </w:rPr>
      </w:pPr>
    </w:p>
    <w:p w14:paraId="6DEA0A26">
      <w:pPr>
        <w:spacing w:line="570" w:lineRule="exact"/>
        <w:jc w:val="center"/>
        <w:rPr>
          <w:rFonts w:ascii="华文中宋" w:hAnsi="华文中宋" w:eastAsia="华文中宋" w:cs="宋体"/>
          <w:b/>
          <w:kern w:val="0"/>
          <w:sz w:val="52"/>
          <w:szCs w:val="52"/>
        </w:rPr>
      </w:pPr>
    </w:p>
    <w:p w14:paraId="61E5A832">
      <w:pPr>
        <w:spacing w:line="570" w:lineRule="exact"/>
        <w:jc w:val="center"/>
        <w:rPr>
          <w:rFonts w:ascii="华文中宋" w:hAnsi="华文中宋" w:eastAsia="华文中宋" w:cs="宋体"/>
          <w:b/>
          <w:kern w:val="0"/>
          <w:sz w:val="52"/>
          <w:szCs w:val="52"/>
        </w:rPr>
      </w:pPr>
    </w:p>
    <w:p w14:paraId="227FC0E8">
      <w:pPr>
        <w:spacing w:line="570" w:lineRule="exact"/>
        <w:jc w:val="both"/>
        <w:rPr>
          <w:rFonts w:ascii="华文中宋" w:hAnsi="华文中宋" w:eastAsia="华文中宋" w:cs="宋体"/>
          <w:b/>
          <w:kern w:val="0"/>
          <w:sz w:val="52"/>
          <w:szCs w:val="52"/>
        </w:rPr>
      </w:pPr>
    </w:p>
    <w:p w14:paraId="7B66AD53">
      <w:pPr>
        <w:spacing w:line="570" w:lineRule="exact"/>
        <w:jc w:val="center"/>
        <w:rPr>
          <w:rFonts w:ascii="华文中宋" w:hAnsi="华文中宋" w:eastAsia="华文中宋" w:cs="宋体"/>
          <w:b/>
          <w:kern w:val="0"/>
          <w:sz w:val="52"/>
          <w:szCs w:val="52"/>
        </w:rPr>
      </w:pPr>
    </w:p>
    <w:p w14:paraId="494FF6EB">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5122E3F4">
      <w:pPr>
        <w:spacing w:line="570" w:lineRule="exact"/>
        <w:jc w:val="center"/>
        <w:rPr>
          <w:rFonts w:ascii="华文中宋" w:hAnsi="华文中宋" w:eastAsia="华文中宋" w:cs="宋体"/>
          <w:b/>
          <w:kern w:val="0"/>
          <w:sz w:val="52"/>
          <w:szCs w:val="52"/>
        </w:rPr>
      </w:pPr>
    </w:p>
    <w:p w14:paraId="24874981">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173542E5">
      <w:pPr>
        <w:spacing w:line="570" w:lineRule="exact"/>
        <w:jc w:val="center"/>
        <w:rPr>
          <w:rFonts w:hAnsi="宋体" w:eastAsia="仿宋_GB2312" w:cs="宋体"/>
          <w:kern w:val="0"/>
          <w:sz w:val="30"/>
          <w:szCs w:val="30"/>
        </w:rPr>
      </w:pPr>
    </w:p>
    <w:p w14:paraId="285D18FF">
      <w:pPr>
        <w:spacing w:line="570" w:lineRule="exact"/>
        <w:jc w:val="center"/>
        <w:rPr>
          <w:rFonts w:hAnsi="宋体" w:eastAsia="仿宋_GB2312" w:cs="宋体"/>
          <w:kern w:val="0"/>
          <w:sz w:val="30"/>
          <w:szCs w:val="30"/>
        </w:rPr>
      </w:pPr>
    </w:p>
    <w:p w14:paraId="02FA7925">
      <w:pPr>
        <w:spacing w:line="570" w:lineRule="exact"/>
        <w:jc w:val="center"/>
        <w:rPr>
          <w:rFonts w:hAnsi="宋体" w:eastAsia="仿宋_GB2312" w:cs="宋体"/>
          <w:kern w:val="0"/>
          <w:sz w:val="30"/>
          <w:szCs w:val="30"/>
        </w:rPr>
      </w:pPr>
    </w:p>
    <w:p w14:paraId="4F9FDE75">
      <w:pPr>
        <w:spacing w:line="570" w:lineRule="exact"/>
        <w:jc w:val="center"/>
        <w:rPr>
          <w:rFonts w:hAnsi="宋体" w:eastAsia="仿宋_GB2312" w:cs="宋体"/>
          <w:kern w:val="0"/>
          <w:sz w:val="30"/>
          <w:szCs w:val="30"/>
        </w:rPr>
      </w:pPr>
    </w:p>
    <w:p w14:paraId="2D343AFE">
      <w:pPr>
        <w:spacing w:line="570" w:lineRule="exact"/>
        <w:jc w:val="center"/>
        <w:rPr>
          <w:rFonts w:hAnsi="宋体" w:eastAsia="仿宋_GB2312" w:cs="宋体"/>
          <w:kern w:val="0"/>
          <w:sz w:val="30"/>
          <w:szCs w:val="30"/>
        </w:rPr>
      </w:pPr>
    </w:p>
    <w:p w14:paraId="6B5AEFD5">
      <w:pPr>
        <w:spacing w:line="570" w:lineRule="exact"/>
        <w:jc w:val="center"/>
        <w:rPr>
          <w:rFonts w:hAnsi="宋体" w:eastAsia="仿宋_GB2312" w:cs="宋体"/>
          <w:kern w:val="0"/>
          <w:sz w:val="30"/>
          <w:szCs w:val="30"/>
        </w:rPr>
      </w:pPr>
    </w:p>
    <w:p w14:paraId="3E42F4CB">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财政业务委托服务费</w:t>
      </w:r>
    </w:p>
    <w:p w14:paraId="2F7785E6">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克孜勒苏柯尔克孜自治州财政局</w:t>
      </w:r>
    </w:p>
    <w:p w14:paraId="1A7F956F">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克孜勒苏柯尔克孜自治州财政局</w:t>
      </w:r>
    </w:p>
    <w:p w14:paraId="65D06AE2">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鲁清</w:t>
      </w:r>
    </w:p>
    <w:p w14:paraId="27ED459A">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2025年05月19日</w:t>
      </w:r>
    </w:p>
    <w:p w14:paraId="4214EFFC">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786779E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52A34960">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66064AB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州“十四五”规划及财政项目绩效管理工作需要，按自治区绩效管理及业务咨询培训工作要求，经自治州党委、人民政府同意，结合本单位财政业务方面管理职能、绩效管理工作职责，按照年度工作计划，开展财政业务咨询、培训服务项目。为进一步补齐绩效管理工作短板，提升绩效管理及地方债务工作质量，达到规范化、高效化工作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总投资175.3万元，其中：财政资金175.3万元，其他资金0万元，主要用于全州各单位全面实施预算绩效管理、地方政府债劵资金使用管理专项检查、内控制度、预决算及政府综合财务报告审核等工作，通过项目实施提高资金绩效管理水平，确保全州防范政府债务风险不出问题，强化今后债券资金管理，提高单位对内控制度的认识和财务人员对内控制度执行能力，完善内控制度体系强化今后债券资金管理，预决算能够及时准确公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已完成聘请第三方机构数5家，服务全州预算单位数量139家，第三方审核结果采纳率100%。通过项目的实施，提高资金绩效管理水平，确保全州防范政府债务风险不出问题，强化今后债券资金管理，提高单位对内控制度的认识和财务人员对内控制度执行能力，完善内控制度体系强化今后债券资金管理，预决算能够及时准确公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财政局实施，内设23个科室，分别是：办公室、预算科、人事财务科、综合科、国库科、经济企业科、农业农村科、会计科、社会保障科、财政监督检查科、行政事业资产与金融监管科、文行科、国库支付中心、政府采购服务中心、国有资产运营和金融服务中心、财政信息化管理中心、乡镇财政管理中心、乡村振兴资金管理中心、债务管理中心、部门预算审核中心、财政资金绩效评价中心、社会保障基金管理中心、财政工资统发中心。主要职能是贯彻执行国家财政、税收、行政事业单位国有资产管理法规、制度和方针政策；结合克州实际制定克州财政、财务、会计管理、行政事业单位国有资产管理等方面的实施办法和部门规章制度，并监督实施。根据克州国民经济和社会发展战略，拟定克州财政发展战略、中长期财政规划和改革方案并组织实施；承担克州各项财政收支管理责任；负责编制克州本级预决算草案并组织执行。拟定和执行统一规定的行政事业单位开支标准，负责建立和实施国库集中支付制度；管理财政社会保障支出，组织实施对社会保障资金使用的财政监督；执行社会保障资金财务制度、基本建设财务管理规定</w:t>
      </w:r>
      <w:r>
        <w:rPr>
          <w:rStyle w:val="18"/>
          <w:rFonts w:hint="eastAsia" w:ascii="仿宋" w:hAnsi="仿宋" w:eastAsia="仿宋" w:cs="仿宋"/>
          <w:b w:val="0"/>
          <w:bCs w:val="0"/>
          <w:spacing w:val="-4"/>
          <w:sz w:val="32"/>
          <w:szCs w:val="32"/>
          <w:lang w:eastAsia="zh-CN"/>
        </w:rPr>
        <w:t>及</w:t>
      </w:r>
      <w:r>
        <w:rPr>
          <w:rStyle w:val="18"/>
          <w:rFonts w:hint="eastAsia" w:ascii="仿宋" w:hAnsi="仿宋" w:eastAsia="仿宋" w:cs="仿宋"/>
          <w:b w:val="0"/>
          <w:bCs w:val="0"/>
          <w:spacing w:val="-4"/>
          <w:sz w:val="32"/>
          <w:szCs w:val="32"/>
        </w:rPr>
        <w:t>分行业企业制度、行政、事业单位会计制度、财务规则。执行非经营性国有资产的产权管理制度；负责非经营性国有资产的监管。参与财政性资金项目安排总量研究；组织调度财政性基本建设资金等。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78人，其中：行政人员编制22人、工勤3人、参公16人、事业编制37人。实有在职人数62人，其中：行政在职20人、工勤2人、参公12人、事业在职28人。离退休人员59人，其中：行政退休人员56人、事业退休3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（1）项目资金安排落实、总投入等情况分析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克财预【2024】1号文本年度安排下达资金183.1万元，为本级财力安排资金，最终确定项目资金总数为183.1万元。其中：中央财政拨款0万元，自治区财政拨款0万元，本级财政拨款183.1万元，上年结余0万元。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(2)项目资金实际使用情况分析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截至2024年12月31日，财政业务委托服务费项目，实际支出129.51万元，预算执行率70.7%。主要用于财政业务第三方委托服务费用支付。</w:t>
      </w:r>
    </w:p>
    <w:p w14:paraId="55E76A26">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2EDC7CE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用于全州各单位全面实施预算绩效管理、地方政府债劵资金使用管理专项检查、内控制度、预决算及政府综合财务报告审核等工作，通过项目实施提高资金绩效管理水平，确保全州防范政府债务风险不出问题，强化今后债券资金管理，提高单位对内控制度的认识和财务人员对内控制度执行能力，完善内控制度体系强化今后债券资金管理，预决算能够及时准确公开。</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“聘请第三方机构数”指标，预期指标值为≥5家；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“服务全州预算单位数量”指标，预期指标值为≥139家；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“第三方审核结果采纳率”指标，预期指标值为＝100%；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“公开数据正确率”指标，预期指标值为＝100%；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“第三方信息化领域委托项目评审合格率”指标，预期指标值为＝100%。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“第三方审核结果上报及时率”指标，预期指标值为=100%；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“第三方审核完成公开数据及时率”指标，预期指标值为=100%。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“预算绩效管理咨询服务费”指标，预期指标值为≤70万元；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“预、决算公开审核服务费”指标，预期指标值为≤14.7万元；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“债务资金管理服务费”指标，预期指标值为≤60万元；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“内控报告审核服务费”指标，预期指标值为≤5万元；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“编制政府综合财务报告服务费”指标，预期指标值为≤13万元；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“各类审核费及培训费”指标，预期指标值为≤20.4万元。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“节约财政预算比例”指标，预期指标值为≥90%；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“提高系统软件运营工作”指标，预期指标值为＝100%。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“提高预算资金绩效管理水平”指标，预期指标值为有效提高；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“强化债务资金管理水平”指标，预期指标值为有效强化；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“提升各单位公共服务水平”指标，预期指标值为有效提升；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无此类指标。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（4）相关满意度指标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“服务单位满意度”指标，预期指标值为≥95%。</w:t>
      </w:r>
    </w:p>
    <w:p w14:paraId="2B0B12D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7CE19CD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和</w:t>
      </w:r>
      <w:r>
        <w:rPr>
          <w:rStyle w:val="18"/>
          <w:rFonts w:hint="eastAsia" w:ascii="楷体" w:hAnsi="楷体" w:eastAsia="楷体" w:cs="楷体"/>
          <w:bCs w:val="0"/>
          <w:spacing w:val="-4"/>
          <w:sz w:val="32"/>
          <w:szCs w:val="32"/>
        </w:rPr>
        <w:t>范围。</w:t>
      </w:r>
    </w:p>
    <w:p w14:paraId="7A8C237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财政业务委托服务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58083613">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4685F05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财政业务委托服务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绩效指标明确性：比较法，比较分析年初编制项目支出绩效目标表是否符合双七原则，是否可衡量。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定性指标：公众评判法，通过问卷及抽样调查等方式评价本项目实施后社会公众对于其实施效果的满意程度。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05E8F022">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73A77CA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海军：主要负责绩效评价组织协调工作，上情下达，制定绩效评价目标及考核项目；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黄波：主要负责对接项目承建单位经办人员，组织收集审核项目相关工程资料，审核项目相关文件、实施方案、招投标档案等资料；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董念念：主要负责对接项目相关财务人员，负责收集查阅项目资金支付财务凭证相关附件资料，审核资金使用合规性、管理机制及操作流程。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鲁清：主要负责记录整理绩效评价过程中存在问题，编制绩效评价目标初稿，撰写绩效评价相关文稿。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5.问题整改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6.档案整理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4011CDC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7A75109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财政业务委托服务费”项目绩效进行客观公正的评价，本项目总得分为95.45分，绩效评级属于“优”。其中，决策类指标得分20分，过程类指标得分18.54分，产出类指标得分36.91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截至2024年12月31日，已完成聘请第三方机构数5家，服务全州预算单位数量139家，第三方审核结果采纳率100%。通过项目的实施，提高资金绩效管理水平，确保全州防范政府债务风险不出问题，强化今后债券资金管理，提高单位对内控制度的认识和财务人员对内控制度执行能力，完善内控制度体系强化今后债券资金管理，预决算能够及时准确公开。</w:t>
      </w:r>
    </w:p>
    <w:p w14:paraId="08D5642C">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4C20DEB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067539A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1.项目立项情况分析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关于下达自治州本级2024年度部门预算指标的通知》（克财预〔2024〕1号），并结合克州财政局职责组织实施。围绕克州财政局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（2）立项程序规范性：根据决策依据编制工作计划和经费预算，经过与克州财政局财经领导小组进行沟通、筛选确定经费预算计划，上局务会研究确定最终预算方案，根据评分标准，该指标不扣分，得2分。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2.绩效目标情况分析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预算编制科学性：预算编制经过《关于下达自治州本级2024年度部门预算指标的通知》（克财预〔2024〕1号）文件下拨，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资金分配合理性：资金分配按照年初预算安排，用于全州各单位全面实施预算绩效管理、地方政府债劵资金使用管理专项检查、内控制度、预决算及政府综合财务报告审核等工作，资金分配与实际相适应，根据评分标准，该指标不扣分，得5分。</w:t>
      </w:r>
    </w:p>
    <w:p w14:paraId="5C7B6ED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4F07DCE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5个三级指标构成，权重分为20分，实际得分18.54分，得分率为92.7%。</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1.资金管理情况分析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（1）资金到位率：该项目总投资183.1万元，克州财政局实际下达经费183.1万元，其中当年财政拨款183.1万元，财政资金足额拨付到位，根据评分标准，该指标不扣分，得5分。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（2）预算执行率：本项目申请预算金额为183.1万元，预算批复实际下达金额为183.1万元，截至 2024年 12 月 31日，资金执行129.51万元，资金执行率70.7%。项目资金支出总体能够按照预算执行，根据评分标准（70.7%×5=3.54），该指标扣1.46分，得3.54分。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下达自治州本级2024年度部门预算指标的通知》（克财预〔2024〕1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2.组织实施情况分析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（1）管理制度健全性：该项目严格按照克州财政局相关管理办法，对财政专项资金进行严格管理，基本做到了专款专用，根据评分标准，该指标不扣分，得2分。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556AA59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44F0FDA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项目产出类指标包括产出数量、产出质量、产出时效、产出成本四方面的内容，由13个三级指标构成，权重分为40分，实际得分36.91分，得分率为92.28%。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1.数量指标完成情况分析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聘请第三方机构数5家，与预期目标一致，根据评分标准，该指标不扣分，得5分。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服务全州预算单位数量13家，与预期目标一致，根据评分标准，该指标不扣分，得5分。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2.质量指标完成情况分析：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第三方审核结果采纳率100%，与预期目标一致，根据评分标准，该指标不扣分，得3分。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公开数据正确率100%，与预期目标一致，根据评分标准，该指标不扣分，得3分。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第三方信息化领域委托项目评审合格率100%，与预期目标一致，根据评分标准，该指标不扣分，得4分。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3.时效指标完成情况分析：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第三方审核结果上报及时率100%，与预期目标一致，根据评分标准，该指标不扣分，得5分。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第三方审核完成公开数据及时率100%，与预期目标一致，根据评分标准，该指标不扣分，得5分。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4.成本指标完成情况分析：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预算绩效管理咨询服务费66万元，与预期目标存在偏差：预期绩效目标70万元，实际完成值为66万元，偏差率为5.71% ，偏差原因：预算金额与实际合同支付金额有差异；改进措施：坚决贯彻过紧日子要求，科学精准编制预算。根据评分标准（5.71%×2=0.11），该指标扣0.11分，得1.89分。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预、决算公开审核服务费14.35万元，与预期目标存在偏差：预期绩效目标14.7万元，实际完成值为14.35万元，偏差率为2.4% ，偏差原因：预算金额与实际合同支付金额有差异；改进措施：坚决贯彻过紧日子要求，科学精准编制预算。根据评分标准（2.4%×1=0.02），该指标扣0.02分，得0.98分。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债务资金管理服务费16.8万元，与预期目标存在偏差：预期绩效目标60万元，实际完成值为16.8万元，偏差率为72% ，偏差原因：预算金额与实际合同支付金额有差异；改进措施：坚决贯彻过紧日子要求，科学精准编制预算。根据评分标准（72%×2=1.44），该指标扣1.44分，得0.56分。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内控报告审核服务费5万元，与预期目标一致，根据评分标准，该指标不扣分，得1分。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编制政府综合财务报告服务费10.84万元，与预期目标存在偏差：预期绩效目标13万元，实际完成值为10.84万元，偏差率为19.03% ，偏差原因：预算金额与实际合同支付金额有差异；改进措施：坚决贯彻过紧日子要求，科学精准编制预算。根据评分标准（19.03%×1=0.19），该指标扣0.19分，得0.81分。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各类审核费及培训费16.52万元，与预期目标存在偏差：预期绩效目标20.4万元，实际完成值为16.52万元，偏差率为16.62% ，偏差原因：预算金额与实际合同支付金额有差异；改进措施：坚决贯彻过紧日子要求，科学精准编制预算。根据评分标准（16.62%×2=0.33），该指标扣0.33分，得1.67分。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合计得6.91分。</w:t>
      </w:r>
    </w:p>
    <w:p w14:paraId="66FCD97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6198EED9">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项目效益类指标由3个二级指标和6个三级指标构成构成，权重分为20分，实际得分20分，得分率为100%。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1.经济效益完成情况分析：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节约财政预算比例90%，与预期目标一致，根据评分标准，该指标不扣分，得2分。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提高系统软件运营工作100%，与预期目标一致，根据评分标准，该指标不扣分，得2分。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2.社会效益完成情况分析：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提高预算资金绩效管理水平有效提高，与预期目标一致，根据评分标准，该指标不扣分，得2分。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强化债务资金管理水平有效强化，与预期目标一致，根据评分标准，该指标不扣分，得2分。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提升各单位公共服务水平有效提升，与预期目标一致，根据评分标准，该指标不扣分，得2分。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3.生态效益完成情况分析：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p>
    <w:p w14:paraId="7B94826F">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4.满意度指标完成情况：</w:t>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对于满意度指标：服务单位满意度95%，与预期目标一致，根据评分标准，该指标不扣分，得10分。</w:t>
      </w:r>
    </w:p>
    <w:p w14:paraId="31211367">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五、主要经验及做法、存在的问题及原因分析</w:t>
      </w:r>
    </w:p>
    <w:p w14:paraId="5002DD6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3C005EA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14:paraId="1D85893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45F9A82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14:paraId="7D1ADBD9">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附件1：2024年财政业务委托服务费项目绩效评价指标体系及评分标准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69FCE7E">
        <w:pPr>
          <w:pStyle w:val="12"/>
          <w:jc w:val="center"/>
        </w:pPr>
        <w:r>
          <w:fldChar w:fldCharType="begin"/>
        </w:r>
        <w:r>
          <w:instrText xml:space="preserve">PAGE   \* MERGEFORMAT</w:instrText>
        </w:r>
        <w:r>
          <w:fldChar w:fldCharType="separate"/>
        </w:r>
        <w:r>
          <w:rPr>
            <w:lang w:val="zh-CN"/>
          </w:rPr>
          <w:t>1</w:t>
        </w:r>
        <w:r>
          <w:fldChar w:fldCharType="end"/>
        </w:r>
      </w:p>
    </w:sdtContent>
  </w:sdt>
  <w:p w14:paraId="7DE5346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8877A58"/>
    <w:rsid w:val="29542C89"/>
    <w:rsid w:val="2AE11386"/>
    <w:rsid w:val="2D4C6AD2"/>
    <w:rsid w:val="2D5A6638"/>
    <w:rsid w:val="2D9B5225"/>
    <w:rsid w:val="340D5924"/>
    <w:rsid w:val="43B04001"/>
    <w:rsid w:val="4609551D"/>
    <w:rsid w:val="4D2606A1"/>
    <w:rsid w:val="4DD42C22"/>
    <w:rsid w:val="503863D1"/>
    <w:rsid w:val="50796DE0"/>
    <w:rsid w:val="5DA70C36"/>
    <w:rsid w:val="6ACB5763"/>
    <w:rsid w:val="700D171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28</Pages>
  <Words>10686</Words>
  <Characters>11247</Characters>
  <Lines>5</Lines>
  <Paragraphs>1</Paragraphs>
  <TotalTime>0</TotalTime>
  <ScaleCrop>false</ScaleCrop>
  <LinksUpToDate>false</LinksUpToDate>
  <CharactersWithSpaces>11653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2025-09-04T08:39:49Z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eyJoZGlkIjoiZjFmZWIzNDg2MmIzZjExOTIzMmViNTBmYTMwYTk0ZWYiLCJ1c2VySWQiOiI0MzIyODY2NzMifQ==</vt:lpwstr>
  </property>
  <property fmtid="{D5CDD505-2E9C-101B-9397-08002B2CF9AE}" pid="4" name="ICV">
    <vt:lpwstr>A4C5C72A2B3A4150A850E05C01A2A310_12</vt:lpwstr>
  </property>
</Properties>
</file>