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5D98166">
      <w:r>
        <w:br w:type="page"/>
      </w:r>
    </w:p>
    <w:p w14:paraId="61C296F8">
      <w:pPr>
        <w:spacing w:line="640" w:lineRule="exact"/>
        <w:jc w:val="center"/>
        <w:outlineLvl w:val="1"/>
      </w:pPr>
      <w:r>
        <w:rPr>
          <w:rFonts w:ascii="黑体" w:hAnsi="黑体" w:eastAsia="黑体"/>
          <w:sz w:val="32"/>
        </w:rPr>
        <w:t>第一部分 单位概况</w:t>
      </w:r>
    </w:p>
    <w:p w14:paraId="1424DE9D">
      <w:pPr>
        <w:spacing w:line="640" w:lineRule="exact"/>
        <w:ind w:firstLine="640"/>
        <w:jc w:val="both"/>
        <w:outlineLvl w:val="2"/>
      </w:pPr>
      <w:r>
        <w:rPr>
          <w:rFonts w:ascii="黑体" w:hAnsi="黑体" w:eastAsia="黑体"/>
          <w:sz w:val="32"/>
        </w:rPr>
        <w:t>一、主要职能</w:t>
      </w:r>
    </w:p>
    <w:p w14:paraId="29B52496">
      <w:pPr>
        <w:spacing w:line="580" w:lineRule="exact"/>
        <w:ind w:firstLine="640"/>
        <w:jc w:val="both"/>
      </w:pPr>
      <w:r>
        <w:rPr>
          <w:rFonts w:ascii="仿宋_GB2312" w:hAnsi="仿宋_GB2312" w:eastAsia="仿宋_GB2312"/>
          <w:sz w:val="32"/>
        </w:rPr>
        <w:t>1.负责指导州直机关党组织制度化建设，加强基层组织建设，具体安排党建活动和党建目标管理的实施工作。</w:t>
      </w:r>
    </w:p>
    <w:p w14:paraId="7385C18F">
      <w:pPr>
        <w:spacing w:line="580" w:lineRule="exact"/>
        <w:ind w:firstLine="640"/>
        <w:jc w:val="both"/>
      </w:pPr>
      <w:r>
        <w:rPr>
          <w:rFonts w:ascii="仿宋_GB2312" w:hAnsi="仿宋_GB2312" w:eastAsia="仿宋_GB2312"/>
          <w:sz w:val="32"/>
        </w:rPr>
        <w:t>2.负责搞好对州直机关党员的宣传教育工作，做好考察入党积极分子、发展新党员及处理不合格党员的工作，负责了解并反映州直机关党员领导干部的情况和问题，</w:t>
      </w:r>
      <w:r>
        <w:rPr>
          <w:rFonts w:hint="eastAsia" w:ascii="仿宋_GB2312" w:hAnsi="仿宋_GB2312" w:eastAsia="仿宋_GB2312"/>
          <w:sz w:val="32"/>
          <w:lang w:eastAsia="zh-CN"/>
        </w:rPr>
        <w:t>负责</w:t>
      </w:r>
      <w:r>
        <w:rPr>
          <w:rFonts w:ascii="仿宋_GB2312" w:hAnsi="仿宋_GB2312" w:eastAsia="仿宋_GB2312"/>
          <w:sz w:val="32"/>
        </w:rPr>
        <w:t>州直各部门基层党组织的设置和换届选举以及负责</w:t>
      </w:r>
      <w:r>
        <w:rPr>
          <w:rFonts w:hint="eastAsia" w:ascii="仿宋_GB2312" w:hAnsi="仿宋_GB2312" w:eastAsia="仿宋_GB2312"/>
          <w:sz w:val="32"/>
          <w:lang w:eastAsia="zh-CN"/>
        </w:rPr>
        <w:t>州县</w:t>
      </w:r>
      <w:r>
        <w:rPr>
          <w:rFonts w:ascii="仿宋_GB2312" w:hAnsi="仿宋_GB2312" w:eastAsia="仿宋_GB2312"/>
          <w:sz w:val="32"/>
        </w:rPr>
        <w:t>各部门</w:t>
      </w:r>
      <w:r>
        <w:rPr>
          <w:rFonts w:hint="eastAsia" w:ascii="仿宋_GB2312" w:hAnsi="仿宋_GB2312" w:eastAsia="仿宋_GB2312"/>
          <w:sz w:val="32"/>
          <w:lang w:eastAsia="zh-CN"/>
        </w:rPr>
        <w:t>基层党员</w:t>
      </w:r>
      <w:r>
        <w:rPr>
          <w:rFonts w:ascii="仿宋_GB2312" w:hAnsi="仿宋_GB2312" w:eastAsia="仿宋_GB2312"/>
          <w:sz w:val="32"/>
        </w:rPr>
        <w:t>成员、入党积极分子培训工作。</w:t>
      </w:r>
    </w:p>
    <w:p w14:paraId="6037D920">
      <w:pPr>
        <w:spacing w:line="580" w:lineRule="exact"/>
        <w:ind w:firstLine="640"/>
        <w:jc w:val="both"/>
      </w:pPr>
      <w:r>
        <w:rPr>
          <w:rFonts w:ascii="仿宋_GB2312" w:hAnsi="仿宋_GB2312" w:eastAsia="仿宋_GB2312"/>
          <w:sz w:val="32"/>
        </w:rPr>
        <w:t>3.负责州直机关出席上级党代会的</w:t>
      </w:r>
      <w:r>
        <w:rPr>
          <w:rFonts w:hint="eastAsia" w:ascii="仿宋_GB2312" w:hAnsi="仿宋_GB2312" w:eastAsia="仿宋_GB2312"/>
          <w:sz w:val="32"/>
          <w:lang w:eastAsia="zh-CN"/>
        </w:rPr>
        <w:t>人员</w:t>
      </w:r>
      <w:r>
        <w:rPr>
          <w:rFonts w:ascii="仿宋_GB2312" w:hAnsi="仿宋_GB2312" w:eastAsia="仿宋_GB2312"/>
          <w:sz w:val="32"/>
        </w:rPr>
        <w:t>言登报批工作。</w:t>
      </w:r>
    </w:p>
    <w:p w14:paraId="6808968A">
      <w:pPr>
        <w:spacing w:line="580" w:lineRule="exact"/>
        <w:ind w:firstLine="640"/>
        <w:jc w:val="both"/>
      </w:pPr>
      <w:r>
        <w:rPr>
          <w:rFonts w:ascii="仿宋_GB2312" w:hAnsi="仿宋_GB2312" w:eastAsia="仿宋_GB2312"/>
          <w:sz w:val="32"/>
        </w:rPr>
        <w:t>4.负责州直机关</w:t>
      </w:r>
      <w:r>
        <w:rPr>
          <w:rFonts w:hint="eastAsia" w:ascii="仿宋_GB2312" w:hAnsi="仿宋_GB2312" w:eastAsia="仿宋_GB2312"/>
          <w:sz w:val="32"/>
          <w:lang w:eastAsia="zh-CN"/>
        </w:rPr>
        <w:t>党内</w:t>
      </w:r>
      <w:r>
        <w:rPr>
          <w:rFonts w:ascii="仿宋_GB2312" w:hAnsi="仿宋_GB2312" w:eastAsia="仿宋_GB2312"/>
          <w:sz w:val="32"/>
        </w:rPr>
        <w:t>统计工作，指三州宣各部门党组织开展</w:t>
      </w:r>
      <w:r>
        <w:rPr>
          <w:rFonts w:hint="eastAsia" w:ascii="仿宋_GB2312" w:hAnsi="仿宋_GB2312" w:eastAsia="仿宋_GB2312"/>
          <w:sz w:val="32"/>
          <w:lang w:eastAsia="zh-CN"/>
        </w:rPr>
        <w:t>民主评议党员</w:t>
      </w:r>
      <w:r>
        <w:rPr>
          <w:rFonts w:ascii="仿宋_GB2312" w:hAnsi="仿宋_GB2312" w:eastAsia="仿宋_GB2312"/>
          <w:sz w:val="32"/>
        </w:rPr>
        <w:t>和创先争优表彰先进工作。</w:t>
      </w:r>
    </w:p>
    <w:p w14:paraId="201D95CD">
      <w:pPr>
        <w:spacing w:line="640" w:lineRule="exact"/>
        <w:ind w:firstLine="640"/>
        <w:jc w:val="both"/>
        <w:outlineLvl w:val="2"/>
      </w:pPr>
      <w:r>
        <w:rPr>
          <w:rFonts w:ascii="黑体" w:hAnsi="黑体" w:eastAsia="黑体"/>
          <w:sz w:val="32"/>
        </w:rPr>
        <w:t>二、机构设置及人员情况</w:t>
      </w:r>
    </w:p>
    <w:p w14:paraId="38FA25DE">
      <w:pPr>
        <w:spacing w:line="580" w:lineRule="exact"/>
        <w:ind w:firstLine="640"/>
        <w:jc w:val="both"/>
      </w:pPr>
      <w:r>
        <w:rPr>
          <w:rFonts w:ascii="仿宋_GB2312" w:hAnsi="仿宋_GB2312" w:eastAsia="仿宋_GB2312"/>
          <w:sz w:val="32"/>
        </w:rPr>
        <w:t>中共克孜勒苏柯尔克孜自治州直属机关工作委员会2024年度，实有人数20人，其中：在职人员11人，增加2人；离休人员0人，增加0人；退休人员9人,增加0人。</w:t>
      </w:r>
    </w:p>
    <w:p w14:paraId="5D021064">
      <w:pPr>
        <w:spacing w:line="580" w:lineRule="exact"/>
        <w:ind w:firstLine="640"/>
        <w:jc w:val="both"/>
      </w:pPr>
      <w:r>
        <w:rPr>
          <w:rFonts w:ascii="仿宋_GB2312" w:hAnsi="仿宋_GB2312" w:eastAsia="仿宋_GB2312"/>
          <w:sz w:val="32"/>
        </w:rPr>
        <w:t>中共克孜勒苏柯尔克孜自治州直属机关工作委员会无下属预算单位，下设2个科室，分别是：办公室、组宣科。</w:t>
      </w:r>
    </w:p>
    <w:p w14:paraId="5BE815F7">
      <w:r>
        <w:br w:type="page"/>
      </w:r>
    </w:p>
    <w:p w14:paraId="4CD4252E">
      <w:pPr>
        <w:spacing w:line="240" w:lineRule="auto"/>
        <w:jc w:val="center"/>
        <w:outlineLvl w:val="1"/>
      </w:pPr>
      <w:r>
        <w:rPr>
          <w:rFonts w:ascii="黑体" w:hAnsi="黑体" w:eastAsia="黑体"/>
          <w:sz w:val="32"/>
        </w:rPr>
        <w:t>第二部分 部门决算情况说明</w:t>
      </w:r>
    </w:p>
    <w:p w14:paraId="004C7887">
      <w:pPr>
        <w:spacing w:line="640" w:lineRule="exact"/>
        <w:ind w:firstLine="640"/>
        <w:jc w:val="both"/>
        <w:outlineLvl w:val="2"/>
      </w:pPr>
      <w:r>
        <w:rPr>
          <w:rFonts w:ascii="黑体" w:hAnsi="黑体" w:eastAsia="黑体"/>
          <w:sz w:val="32"/>
        </w:rPr>
        <w:t>一、收入支出决算总体情况说明</w:t>
      </w:r>
    </w:p>
    <w:p w14:paraId="1265EECE">
      <w:pPr>
        <w:spacing w:line="580" w:lineRule="exact"/>
        <w:ind w:firstLine="640"/>
        <w:jc w:val="both"/>
      </w:pPr>
      <w:r>
        <w:rPr>
          <w:rFonts w:ascii="仿宋_GB2312" w:hAnsi="仿宋_GB2312" w:eastAsia="仿宋_GB2312"/>
          <w:b/>
          <w:sz w:val="32"/>
        </w:rPr>
        <w:t>2024年度收入总计244.46万元，</w:t>
      </w:r>
      <w:r>
        <w:rPr>
          <w:rFonts w:ascii="仿宋_GB2312" w:hAnsi="仿宋_GB2312" w:eastAsia="仿宋_GB2312"/>
          <w:b w:val="0"/>
          <w:sz w:val="32"/>
        </w:rPr>
        <w:t>其中：本年收入合计243.94万元，使用非财政拨款结余（含专用结余）0.00万元，年初结转和结余0.52万元。</w:t>
      </w:r>
    </w:p>
    <w:p w14:paraId="0891BD5F">
      <w:pPr>
        <w:spacing w:line="580" w:lineRule="exact"/>
        <w:ind w:firstLine="640"/>
        <w:jc w:val="both"/>
      </w:pPr>
      <w:r>
        <w:rPr>
          <w:rFonts w:ascii="仿宋_GB2312" w:hAnsi="仿宋_GB2312" w:eastAsia="仿宋_GB2312"/>
          <w:b/>
          <w:sz w:val="32"/>
        </w:rPr>
        <w:t>2024年度支出总计244.46万元，</w:t>
      </w:r>
      <w:r>
        <w:rPr>
          <w:rFonts w:ascii="仿宋_GB2312" w:hAnsi="仿宋_GB2312" w:eastAsia="仿宋_GB2312"/>
          <w:b w:val="0"/>
          <w:sz w:val="32"/>
        </w:rPr>
        <w:t>其中：本年支出合计244.31万元，结余分配0.00万元，年末结转和结余0.15万元。</w:t>
      </w:r>
    </w:p>
    <w:p w14:paraId="1149DF45">
      <w:pPr>
        <w:spacing w:line="580" w:lineRule="exact"/>
        <w:ind w:firstLine="640"/>
        <w:jc w:val="both"/>
      </w:pPr>
      <w:r>
        <w:rPr>
          <w:rFonts w:ascii="仿宋_GB2312" w:hAnsi="仿宋_GB2312" w:eastAsia="仿宋_GB2312"/>
          <w:b w:val="0"/>
          <w:sz w:val="32"/>
        </w:rPr>
        <w:t>收入支出总体与上年相比，增加22.14万元，增长9.96%，主要原因是：本年在职人员增加，在职人员工资调增、社保、公积金基数调增，人员经费增加。</w:t>
      </w:r>
    </w:p>
    <w:p w14:paraId="45A6441B">
      <w:pPr>
        <w:spacing w:line="640" w:lineRule="exact"/>
        <w:ind w:firstLine="640"/>
        <w:jc w:val="both"/>
        <w:outlineLvl w:val="2"/>
      </w:pPr>
      <w:r>
        <w:rPr>
          <w:rFonts w:ascii="黑体" w:hAnsi="黑体" w:eastAsia="黑体"/>
          <w:sz w:val="32"/>
        </w:rPr>
        <w:t>二、收入决算情况说明</w:t>
      </w:r>
    </w:p>
    <w:p w14:paraId="7C519DA5">
      <w:pPr>
        <w:spacing w:line="580" w:lineRule="exact"/>
        <w:ind w:firstLine="640"/>
        <w:jc w:val="both"/>
      </w:pPr>
      <w:r>
        <w:rPr>
          <w:rFonts w:ascii="仿宋_GB2312" w:hAnsi="仿宋_GB2312" w:eastAsia="仿宋_GB2312"/>
          <w:b/>
          <w:sz w:val="32"/>
        </w:rPr>
        <w:t>本年收入243.94万元，</w:t>
      </w:r>
      <w:r>
        <w:rPr>
          <w:rFonts w:ascii="仿宋_GB2312" w:hAnsi="仿宋_GB2312" w:eastAsia="仿宋_GB2312"/>
          <w:b w:val="0"/>
          <w:sz w:val="32"/>
        </w:rPr>
        <w:t>其中：财政拨款收入242.93万元，占99.59%；上级补助收入0.00万元，占0.00%；事业收入0.00万元，占0.00%；经营收入0.00万元，占0.00%；附属单位上缴收入0.00万元，占0.00%；其他收入1.01万元，占0.41%。</w:t>
      </w:r>
    </w:p>
    <w:p w14:paraId="43361067">
      <w:pPr>
        <w:spacing w:line="640" w:lineRule="exact"/>
        <w:ind w:firstLine="640"/>
        <w:jc w:val="both"/>
        <w:outlineLvl w:val="2"/>
      </w:pPr>
      <w:r>
        <w:rPr>
          <w:rFonts w:ascii="黑体" w:hAnsi="黑体" w:eastAsia="黑体"/>
          <w:sz w:val="32"/>
        </w:rPr>
        <w:t>三、支出决算情况说明</w:t>
      </w:r>
    </w:p>
    <w:p w14:paraId="7016D644">
      <w:pPr>
        <w:spacing w:line="580" w:lineRule="exact"/>
        <w:ind w:firstLine="640"/>
        <w:jc w:val="both"/>
      </w:pPr>
      <w:r>
        <w:rPr>
          <w:rFonts w:ascii="仿宋_GB2312" w:hAnsi="仿宋_GB2312" w:eastAsia="仿宋_GB2312"/>
          <w:b/>
          <w:sz w:val="32"/>
        </w:rPr>
        <w:t>本年支出244.31万元，</w:t>
      </w:r>
      <w:r>
        <w:rPr>
          <w:rFonts w:ascii="仿宋_GB2312" w:hAnsi="仿宋_GB2312" w:eastAsia="仿宋_GB2312"/>
          <w:b w:val="0"/>
          <w:sz w:val="32"/>
        </w:rPr>
        <w:t>其中：基本支出227.31万元，占93.04%；项目支出17.00万元，占6.96%；上缴上级支出0.00万元，占0.00%；经营支出0.00万元，占0.00%；对附属单位补助支出0.00万元，占0.00%。</w:t>
      </w:r>
    </w:p>
    <w:p w14:paraId="20A3CCB3">
      <w:pPr>
        <w:spacing w:line="640" w:lineRule="exact"/>
        <w:ind w:firstLine="640"/>
        <w:jc w:val="both"/>
        <w:outlineLvl w:val="2"/>
      </w:pPr>
      <w:r>
        <w:rPr>
          <w:rFonts w:ascii="黑体" w:hAnsi="黑体" w:eastAsia="黑体"/>
          <w:sz w:val="32"/>
        </w:rPr>
        <w:t>四、财政拨款收入支出决算总体情况说明</w:t>
      </w:r>
    </w:p>
    <w:p w14:paraId="6D39B671">
      <w:pPr>
        <w:spacing w:line="580" w:lineRule="exact"/>
        <w:ind w:firstLine="640"/>
        <w:jc w:val="both"/>
      </w:pPr>
      <w:r>
        <w:rPr>
          <w:rFonts w:ascii="仿宋_GB2312" w:hAnsi="仿宋_GB2312" w:eastAsia="仿宋_GB2312"/>
          <w:b/>
          <w:sz w:val="32"/>
        </w:rPr>
        <w:t>2024年度财政拨款收入总计242.93万元，</w:t>
      </w:r>
      <w:r>
        <w:rPr>
          <w:rFonts w:ascii="仿宋_GB2312" w:hAnsi="仿宋_GB2312" w:eastAsia="仿宋_GB2312"/>
          <w:b w:val="0"/>
          <w:sz w:val="32"/>
        </w:rPr>
        <w:t>其中：年初财政拨款结转和结余0.00万元，本年财政拨款收入242.93万元。</w:t>
      </w:r>
      <w:r>
        <w:rPr>
          <w:rFonts w:ascii="仿宋_GB2312" w:hAnsi="仿宋_GB2312" w:eastAsia="仿宋_GB2312"/>
          <w:b/>
          <w:sz w:val="32"/>
        </w:rPr>
        <w:t>财政拨款支出总计242.93万元，</w:t>
      </w:r>
      <w:r>
        <w:rPr>
          <w:rFonts w:ascii="仿宋_GB2312" w:hAnsi="仿宋_GB2312" w:eastAsia="仿宋_GB2312"/>
          <w:b w:val="0"/>
          <w:sz w:val="32"/>
        </w:rPr>
        <w:t>其中：年末财政拨款结转和结余0.00万元，本年财政拨款支出242.93万元。</w:t>
      </w:r>
    </w:p>
    <w:p w14:paraId="65EDEEE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增加22.17万元，增长10.04%，主要原因是：本年在职人员增加，在职人员工资调增、社保、公积金基数调增，人员经费增加。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年初预算数215.30万元，决算数242.93万元，预决算差异率12.83%，主要原因是：本年在职人员增加，年中追加人员经费及人员工资、社保、公积金基数调增部分资金，导致预决算差异。</w:t>
      </w:r>
    </w:p>
    <w:p w14:paraId="01E6B097">
      <w:pPr>
        <w:spacing w:line="640" w:lineRule="exact"/>
        <w:ind w:firstLine="640"/>
        <w:jc w:val="both"/>
        <w:outlineLvl w:val="2"/>
      </w:pPr>
      <w:r>
        <w:rPr>
          <w:rFonts w:ascii="黑体" w:hAnsi="黑体" w:eastAsia="黑体"/>
          <w:sz w:val="32"/>
        </w:rPr>
        <w:t>五、一般公共预算财政拨款支出决算情况说明</w:t>
      </w:r>
    </w:p>
    <w:p w14:paraId="14239F78">
      <w:pPr>
        <w:spacing w:line="640" w:lineRule="exact"/>
        <w:ind w:firstLine="640"/>
        <w:jc w:val="both"/>
        <w:outlineLvl w:val="3"/>
      </w:pPr>
      <w:r>
        <w:rPr>
          <w:rFonts w:ascii="楷体_GB2312" w:hAnsi="楷体_GB2312" w:eastAsia="楷体_GB2312"/>
          <w:b/>
          <w:sz w:val="32"/>
        </w:rPr>
        <w:t>（一）一般公共预算财政拨款支出决算总体情况</w:t>
      </w:r>
    </w:p>
    <w:p w14:paraId="4731AA64">
      <w:pPr>
        <w:spacing w:line="580" w:lineRule="exact"/>
        <w:ind w:firstLine="640"/>
        <w:jc w:val="both"/>
      </w:pPr>
      <w:r>
        <w:rPr>
          <w:rFonts w:ascii="仿宋_GB2312" w:hAnsi="仿宋_GB2312" w:eastAsia="仿宋_GB2312"/>
          <w:b/>
          <w:sz w:val="32"/>
        </w:rPr>
        <w:t>2024年度一般公共预算财政拨款支出242.93万元，</w:t>
      </w:r>
      <w:r>
        <w:rPr>
          <w:rFonts w:ascii="仿宋_GB2312" w:hAnsi="仿宋_GB2312" w:eastAsia="仿宋_GB2312"/>
          <w:b w:val="0"/>
          <w:sz w:val="32"/>
        </w:rPr>
        <w:t>占本年支出合计的99.44%。</w:t>
      </w:r>
      <w:r>
        <w:rPr>
          <w:rFonts w:ascii="仿宋_GB2312" w:hAnsi="仿宋_GB2312" w:eastAsia="仿宋_GB2312"/>
          <w:b/>
          <w:sz w:val="32"/>
        </w:rPr>
        <w:t>与上年相比，</w:t>
      </w:r>
      <w:r>
        <w:rPr>
          <w:rFonts w:ascii="仿宋_GB2312" w:hAnsi="仿宋_GB2312" w:eastAsia="仿宋_GB2312"/>
          <w:b w:val="0"/>
          <w:sz w:val="32"/>
        </w:rPr>
        <w:t>增加22.17万元，增长10.04%，主要原因是：本年在职人员增加，在职人员工资调增、社保、公积金基数调增，人员经费增加。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年初预算数215.30万元，决算数242.93万元，预决算差异率12.83%，主要原因是：本年在职人员增加，年中追加人员经费及人员工资、社保、公积金基数调增部分资金，导致预决算差异。</w:t>
      </w:r>
    </w:p>
    <w:p w14:paraId="7E54B0D4">
      <w:pPr>
        <w:spacing w:line="640" w:lineRule="exact"/>
        <w:ind w:firstLine="640"/>
        <w:jc w:val="both"/>
        <w:outlineLvl w:val="3"/>
      </w:pPr>
      <w:r>
        <w:rPr>
          <w:rFonts w:ascii="楷体_GB2312" w:hAnsi="楷体_GB2312" w:eastAsia="楷体_GB2312"/>
          <w:b/>
          <w:sz w:val="32"/>
        </w:rPr>
        <w:t>（二）一般公共预算财政拨款支出决算结构情况</w:t>
      </w:r>
    </w:p>
    <w:p w14:paraId="4B2F80B9">
      <w:pPr>
        <w:spacing w:line="580" w:lineRule="exact"/>
        <w:ind w:firstLine="640"/>
        <w:jc w:val="both"/>
      </w:pPr>
      <w:r>
        <w:rPr>
          <w:rFonts w:ascii="仿宋_GB2312" w:hAnsi="仿宋_GB2312" w:eastAsia="仿宋_GB2312"/>
          <w:b w:val="0"/>
          <w:sz w:val="32"/>
        </w:rPr>
        <w:t>1.一般公共服务支出(类)207.42万元,占85.38%。</w:t>
      </w:r>
    </w:p>
    <w:p w14:paraId="756AC707">
      <w:pPr>
        <w:spacing w:line="580" w:lineRule="exact"/>
        <w:ind w:firstLine="640"/>
        <w:jc w:val="both"/>
      </w:pPr>
      <w:r>
        <w:rPr>
          <w:rFonts w:ascii="仿宋_GB2312" w:hAnsi="仿宋_GB2312" w:eastAsia="仿宋_GB2312"/>
          <w:b w:val="0"/>
          <w:sz w:val="32"/>
        </w:rPr>
        <w:t>2.社会保障和就业支出(类)35.51万元,占14.62%。</w:t>
      </w:r>
    </w:p>
    <w:p w14:paraId="086182ED">
      <w:pPr>
        <w:spacing w:line="640" w:lineRule="exact"/>
        <w:ind w:firstLine="640"/>
        <w:jc w:val="both"/>
        <w:outlineLvl w:val="3"/>
      </w:pPr>
      <w:r>
        <w:rPr>
          <w:rFonts w:ascii="楷体_GB2312" w:hAnsi="楷体_GB2312" w:eastAsia="楷体_GB2312"/>
          <w:b/>
          <w:sz w:val="32"/>
        </w:rPr>
        <w:t>（三）一般公共预算财政拨款支出决算具体情况</w:t>
      </w:r>
    </w:p>
    <w:p w14:paraId="7025B285">
      <w:pPr>
        <w:spacing w:line="580" w:lineRule="exact"/>
        <w:ind w:firstLine="640"/>
        <w:jc w:val="both"/>
      </w:pPr>
      <w:r>
        <w:rPr>
          <w:rFonts w:ascii="仿宋_GB2312" w:hAnsi="仿宋_GB2312" w:eastAsia="仿宋_GB2312"/>
          <w:b w:val="0"/>
          <w:sz w:val="32"/>
        </w:rPr>
        <w:t>1.一般公共服务支出(类)其他共产党事务支出(款)行政运行(项):支出决算数为113.90万元，比上年决算增加22.24万元，增长24.26%,主要原因是：本年新增在职人员，在职人员工资调增，导致相关人员经费较上年有所增加。</w:t>
      </w:r>
    </w:p>
    <w:p w14:paraId="1F01A1D7">
      <w:pPr>
        <w:spacing w:line="580" w:lineRule="exact"/>
        <w:ind w:firstLine="640"/>
        <w:jc w:val="both"/>
      </w:pPr>
      <w:r>
        <w:rPr>
          <w:rFonts w:ascii="仿宋_GB2312" w:hAnsi="仿宋_GB2312" w:eastAsia="仿宋_GB2312"/>
          <w:b w:val="0"/>
          <w:sz w:val="32"/>
        </w:rPr>
        <w:t>2.一般公共服务支出(类)其他共产党事务支出(款)事业运行(项):支出决算数为76.52万元，比上年决算增加9.22万元，增长13.70%,主要原因是：本年新增在职人员，在职人员工资调增，导致相关人员经费较上年有所增加。</w:t>
      </w:r>
    </w:p>
    <w:p w14:paraId="021721EA">
      <w:pPr>
        <w:spacing w:line="580" w:lineRule="exact"/>
        <w:ind w:firstLine="640"/>
        <w:jc w:val="both"/>
      </w:pPr>
      <w:r>
        <w:rPr>
          <w:rFonts w:ascii="仿宋_GB2312" w:hAnsi="仿宋_GB2312" w:eastAsia="仿宋_GB2312"/>
          <w:b w:val="0"/>
          <w:sz w:val="32"/>
        </w:rPr>
        <w:t>3.一般公共服务支出(类)其他共产党事务支出(款)其他共产党事务支出(项):支出决算数为10.00万元，比上年决算减少10.50万元，下降51.22%,主要原因是：本年减少为民办实事工作队经费项目。</w:t>
      </w:r>
    </w:p>
    <w:p w14:paraId="2B13A063">
      <w:pPr>
        <w:spacing w:line="580" w:lineRule="exact"/>
        <w:ind w:firstLine="640"/>
        <w:jc w:val="both"/>
      </w:pPr>
      <w:r>
        <w:rPr>
          <w:rFonts w:ascii="仿宋_GB2312" w:hAnsi="仿宋_GB2312" w:eastAsia="仿宋_GB2312"/>
          <w:b w:val="0"/>
          <w:sz w:val="32"/>
        </w:rPr>
        <w:t>4.一般公共服务支出(类)其他一般公共服务支出(款)其他一般公共服务支出(项):支出决算数为7.00万元，比上年决算增加7.00万元，增长100.00%,主要原因是：本年新增党建工作经费项目，导致经费较上年增加。</w:t>
      </w:r>
    </w:p>
    <w:p w14:paraId="2DB1F2BA">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5.社会保障和就业支出(类)行政事业单位养老支出(款)行政单位离退休(项):支出决算数为18.73万元，比上年决算增加2.18万元，增长13.17%,主要原因是：本年增加退休人员基础绩效奖，退休费支出增加。</w:t>
      </w:r>
    </w:p>
    <w:p w14:paraId="594BA37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16.79万元，比上年决算增加1.23万元，增长7.90%,主要原因是：本年在职人员工资基数调增，养老缴费基数上涨，相应支出增加。</w:t>
      </w:r>
    </w:p>
    <w:p w14:paraId="16B36B0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9.19万元，下降100.00%,主要原因是：本年无新增退休人员，职业年金缴费较上年减少。</w:t>
      </w:r>
    </w:p>
    <w:p w14:paraId="13DE9B92">
      <w:pPr>
        <w:spacing w:line="640" w:lineRule="exact"/>
        <w:ind w:firstLine="640"/>
        <w:jc w:val="both"/>
        <w:outlineLvl w:val="2"/>
      </w:pPr>
      <w:r>
        <w:rPr>
          <w:rFonts w:ascii="黑体" w:hAnsi="黑体" w:eastAsia="黑体"/>
          <w:sz w:val="32"/>
        </w:rPr>
        <w:t>六、一般公共预算财政拨款基本支出决算情况说明</w:t>
      </w:r>
    </w:p>
    <w:p w14:paraId="6AE26F26">
      <w:pPr>
        <w:spacing w:line="580" w:lineRule="exact"/>
        <w:ind w:firstLine="640"/>
        <w:jc w:val="both"/>
      </w:pPr>
      <w:r>
        <w:rPr>
          <w:rFonts w:ascii="仿宋_GB2312" w:hAnsi="仿宋_GB2312" w:eastAsia="仿宋_GB2312"/>
          <w:b w:val="0"/>
          <w:sz w:val="32"/>
        </w:rPr>
        <w:t>2024年度一般公共预算财政拨款基本支出225.93万元，其中：</w:t>
      </w:r>
      <w:r>
        <w:rPr>
          <w:rFonts w:ascii="仿宋_GB2312" w:hAnsi="仿宋_GB2312" w:eastAsia="仿宋_GB2312"/>
          <w:b/>
          <w:sz w:val="32"/>
        </w:rPr>
        <w:t>人员经费218.30万元，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w:t>
      </w:r>
    </w:p>
    <w:p w14:paraId="294DAD85">
      <w:pPr>
        <w:spacing w:line="580" w:lineRule="exact"/>
        <w:ind w:firstLine="640"/>
        <w:jc w:val="both"/>
      </w:pPr>
      <w:r>
        <w:rPr>
          <w:rFonts w:ascii="仿宋_GB2312" w:hAnsi="仿宋_GB2312" w:eastAsia="仿宋_GB2312"/>
          <w:b/>
          <w:sz w:val="32"/>
        </w:rPr>
        <w:t>公用经费7.63万元，</w:t>
      </w:r>
      <w:r>
        <w:rPr>
          <w:rFonts w:ascii="仿宋_GB2312" w:hAnsi="仿宋_GB2312" w:eastAsia="仿宋_GB2312"/>
          <w:b w:val="0"/>
          <w:sz w:val="32"/>
        </w:rPr>
        <w:t>包括：水费、电费、差旅费、公务接待费、劳务费、工会经费、福利费、其他商品和服务支出。</w:t>
      </w:r>
    </w:p>
    <w:p w14:paraId="4F8596E5">
      <w:pPr>
        <w:spacing w:line="640" w:lineRule="exact"/>
        <w:ind w:firstLine="640"/>
        <w:jc w:val="both"/>
        <w:outlineLvl w:val="2"/>
      </w:pPr>
      <w:r>
        <w:rPr>
          <w:rFonts w:ascii="黑体" w:hAnsi="黑体" w:eastAsia="黑体"/>
          <w:sz w:val="32"/>
        </w:rPr>
        <w:t>七、政府性基金预算财政拨款收入支出决算情况说明</w:t>
      </w:r>
    </w:p>
    <w:p w14:paraId="7DB8BAE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60F54FC">
      <w:pPr>
        <w:spacing w:line="640" w:lineRule="exact"/>
        <w:ind w:firstLine="640"/>
        <w:jc w:val="both"/>
        <w:outlineLvl w:val="2"/>
      </w:pPr>
      <w:r>
        <w:rPr>
          <w:rFonts w:ascii="黑体" w:hAnsi="黑体" w:eastAsia="黑体"/>
          <w:sz w:val="32"/>
        </w:rPr>
        <w:t>八、国有资本经营预算财政拨款收入支出决算情况说明</w:t>
      </w:r>
    </w:p>
    <w:p w14:paraId="25865D9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989D67">
      <w:pPr>
        <w:spacing w:line="640" w:lineRule="exact"/>
        <w:ind w:firstLine="640"/>
        <w:jc w:val="both"/>
        <w:outlineLvl w:val="2"/>
      </w:pPr>
      <w:r>
        <w:rPr>
          <w:rFonts w:ascii="黑体" w:hAnsi="黑体" w:eastAsia="黑体"/>
          <w:sz w:val="32"/>
        </w:rPr>
        <w:t>九、财政拨款“三公”经费支出决算情况说明</w:t>
      </w:r>
    </w:p>
    <w:p w14:paraId="5B58214B">
      <w:pPr>
        <w:spacing w:line="580" w:lineRule="exact"/>
        <w:ind w:firstLine="640"/>
        <w:jc w:val="both"/>
      </w:pPr>
      <w:r>
        <w:rPr>
          <w:rFonts w:ascii="仿宋_GB2312" w:hAnsi="仿宋_GB2312" w:eastAsia="仿宋_GB2312"/>
          <w:b/>
          <w:sz w:val="32"/>
        </w:rPr>
        <w:t>2024年度财政拨款“三公”经费支出2.30万元，</w:t>
      </w:r>
      <w:r>
        <w:rPr>
          <w:rFonts w:ascii="仿宋_GB2312" w:hAnsi="仿宋_GB2312" w:eastAsia="仿宋_GB2312"/>
          <w:b w:val="0"/>
          <w:sz w:val="32"/>
        </w:rPr>
        <w:t>比上年增加0.80万元，增长53.33%，主要原因是：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2.00万元，占86.96%，比上年增加0.50万元，增长33.33%，主要原因是：本年因业务需求，用车次数增加，燃油费增加，导致公务用车运行维护费较上年增加。公务接待费支出0.30万元，占13.04%，比上年增加0.30万元，增长100.00%，主要原因是：本年因业务需求，增加公务接待工作，导致公务接待费较上年增加。</w:t>
      </w:r>
    </w:p>
    <w:p w14:paraId="0F6F4147">
      <w:pPr>
        <w:spacing w:line="580" w:lineRule="exact"/>
        <w:ind w:firstLine="640"/>
        <w:jc w:val="both"/>
      </w:pPr>
      <w:r>
        <w:rPr>
          <w:rFonts w:ascii="仿宋_GB2312" w:hAnsi="仿宋_GB2312" w:eastAsia="仿宋_GB2312"/>
          <w:b/>
          <w:sz w:val="32"/>
        </w:rPr>
        <w:t>具体情况如下：</w:t>
      </w:r>
    </w:p>
    <w:p w14:paraId="75742C6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5F173F4">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过路费。公务用车购置数0辆，公务用车保有量1辆。国有资产占用情况中固定资产车辆1辆，与公务用车保有量差异原因是：本单位固定资产车辆与公务用车保有量一致无差异。</w:t>
      </w:r>
    </w:p>
    <w:p w14:paraId="507F9E2B">
      <w:pPr>
        <w:spacing w:line="580" w:lineRule="exact"/>
        <w:ind w:firstLine="640"/>
        <w:jc w:val="both"/>
      </w:pPr>
      <w:r>
        <w:rPr>
          <w:rFonts w:ascii="仿宋_GB2312" w:hAnsi="仿宋_GB2312" w:eastAsia="仿宋_GB2312"/>
          <w:b w:val="0"/>
          <w:sz w:val="32"/>
        </w:rPr>
        <w:t>公务接待费0.30万元，开支内容包括因业务工作安排，接待工作小组考察学习产生的就餐费。单位全年安排的国内公务接待5批次，40人次。</w:t>
      </w:r>
    </w:p>
    <w:p w14:paraId="361DF44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2.30万元，决算数2.30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0.30万元，决算数0.30万元，预决算差异率0.00%，主要原因是：严格按照预算执行，预决算无差异。</w:t>
      </w:r>
    </w:p>
    <w:p w14:paraId="07AE0ACA">
      <w:pPr>
        <w:spacing w:line="640" w:lineRule="exact"/>
        <w:ind w:firstLine="640"/>
        <w:jc w:val="both"/>
        <w:outlineLvl w:val="2"/>
      </w:pPr>
      <w:r>
        <w:rPr>
          <w:rFonts w:ascii="黑体" w:hAnsi="黑体" w:eastAsia="黑体"/>
          <w:sz w:val="32"/>
        </w:rPr>
        <w:t>十、其他重要事项的情况说明</w:t>
      </w:r>
    </w:p>
    <w:p w14:paraId="516CE2D8">
      <w:pPr>
        <w:spacing w:line="640" w:lineRule="exact"/>
        <w:ind w:firstLine="640"/>
        <w:jc w:val="both"/>
        <w:outlineLvl w:val="3"/>
      </w:pPr>
      <w:r>
        <w:rPr>
          <w:rFonts w:ascii="楷体_GB2312" w:hAnsi="楷体_GB2312" w:eastAsia="楷体_GB2312"/>
          <w:b/>
          <w:sz w:val="32"/>
        </w:rPr>
        <w:t>（一）机关运行经费及公用经费支出情况</w:t>
      </w:r>
    </w:p>
    <w:p w14:paraId="2B72C514">
      <w:pPr>
        <w:spacing w:line="580" w:lineRule="exact"/>
        <w:ind w:firstLine="640"/>
        <w:jc w:val="both"/>
      </w:pPr>
      <w:r>
        <w:rPr>
          <w:rFonts w:ascii="仿宋_GB2312" w:hAnsi="仿宋_GB2312" w:eastAsia="仿宋_GB2312"/>
          <w:b w:val="0"/>
          <w:sz w:val="32"/>
        </w:rPr>
        <w:t>2024年度中共克孜勒苏柯尔克孜自治州直属机关工作委员会（行政单位和参照公务员法管理事业单位）机关运行经费支出7.63万元，比上年减少7.82万元，下降50.61%，主要原因是：严格控制公用经费，合理节约办公用品，办公费减少，导致机关运行经费较上年减少。</w:t>
      </w:r>
    </w:p>
    <w:p w14:paraId="6B034818">
      <w:pPr>
        <w:spacing w:line="640" w:lineRule="exact"/>
        <w:ind w:firstLine="640"/>
        <w:jc w:val="both"/>
        <w:outlineLvl w:val="3"/>
      </w:pPr>
      <w:r>
        <w:rPr>
          <w:rFonts w:ascii="楷体_GB2312" w:hAnsi="楷体_GB2312" w:eastAsia="楷体_GB2312"/>
          <w:b/>
          <w:sz w:val="32"/>
        </w:rPr>
        <w:t>（二）政府采购情况</w:t>
      </w:r>
    </w:p>
    <w:p w14:paraId="1281CAD0">
      <w:pPr>
        <w:spacing w:line="580" w:lineRule="exact"/>
        <w:ind w:firstLine="640"/>
        <w:jc w:val="both"/>
      </w:pPr>
      <w:r>
        <w:rPr>
          <w:rFonts w:ascii="仿宋_GB2312" w:hAnsi="仿宋_GB2312" w:eastAsia="仿宋_GB2312"/>
          <w:b w:val="0"/>
          <w:sz w:val="32"/>
        </w:rPr>
        <w:t>2024年度政府采购支出总额9.19万元，其中：政府采购货物支出1.37万元、政府采购工程支出6.76万元、政府采购服务支出1.06万元。</w:t>
      </w:r>
    </w:p>
    <w:p w14:paraId="56A366E8">
      <w:pPr>
        <w:spacing w:line="580" w:lineRule="exact"/>
        <w:ind w:firstLine="640"/>
        <w:jc w:val="both"/>
      </w:pPr>
      <w:r>
        <w:rPr>
          <w:rFonts w:ascii="仿宋_GB2312" w:hAnsi="仿宋_GB2312" w:eastAsia="仿宋_GB2312"/>
          <w:b w:val="0"/>
          <w:sz w:val="32"/>
        </w:rPr>
        <w:t>授予中小企业合同金额9.19万元，占政府采购支出总额的100.00%，其中：授予小微企业合同金额8.91万元，占政府采购支出总额的96.95%。</w:t>
      </w:r>
    </w:p>
    <w:p w14:paraId="7B1058B7">
      <w:pPr>
        <w:spacing w:line="640" w:lineRule="exact"/>
        <w:ind w:firstLine="640"/>
        <w:jc w:val="both"/>
        <w:outlineLvl w:val="3"/>
      </w:pPr>
      <w:r>
        <w:rPr>
          <w:rFonts w:ascii="楷体_GB2312" w:hAnsi="楷体_GB2312" w:eastAsia="楷体_GB2312"/>
          <w:b/>
          <w:sz w:val="32"/>
        </w:rPr>
        <w:t>（三）国有资产占用情况说明</w:t>
      </w:r>
    </w:p>
    <w:p w14:paraId="42B17D9D">
      <w:pPr>
        <w:spacing w:line="580" w:lineRule="exact"/>
        <w:ind w:firstLine="640"/>
        <w:jc w:val="both"/>
      </w:pPr>
      <w:r>
        <w:rPr>
          <w:rFonts w:ascii="仿宋_GB2312" w:hAnsi="仿宋_GB2312" w:eastAsia="仿宋_GB2312"/>
          <w:b w:val="0"/>
          <w:sz w:val="32"/>
        </w:rPr>
        <w:t>截至2024年12月31日，房屋0.00平方米，价值0.00万元。车辆1辆，价值14.45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4BD9265">
      <w:pPr>
        <w:spacing w:line="640" w:lineRule="exact"/>
        <w:ind w:firstLine="640"/>
        <w:jc w:val="both"/>
        <w:outlineLvl w:val="2"/>
      </w:pPr>
      <w:r>
        <w:rPr>
          <w:rFonts w:ascii="黑体" w:hAnsi="黑体" w:eastAsia="黑体"/>
          <w:sz w:val="32"/>
        </w:rPr>
        <w:t>十一、预算绩效的情况说明</w:t>
      </w:r>
    </w:p>
    <w:p w14:paraId="18DB143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244.45万元，实际执行总额244.30万元；预算绩效评价项目4个，全年预算数17.62万元，全年执行数17.62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7265226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CD4884C">
        <w:tblPrEx>
          <w:tblCellMar>
            <w:top w:w="0" w:type="dxa"/>
            <w:left w:w="108" w:type="dxa"/>
            <w:bottom w:w="0" w:type="dxa"/>
            <w:right w:w="108" w:type="dxa"/>
          </w:tblCellMar>
        </w:tblPrEx>
        <w:tc>
          <w:tcPr>
            <w:tcW w:w="8840" w:type="dxa"/>
            <w:gridSpan w:val="8"/>
            <w:vAlign w:val="center"/>
          </w:tcPr>
          <w:p w14:paraId="098C9A85">
            <w:pPr>
              <w:jc w:val="center"/>
            </w:pPr>
            <w:r>
              <w:rPr>
                <w:rFonts w:ascii="宋体" w:hAnsi="宋体" w:eastAsia="宋体"/>
                <w:sz w:val="24"/>
              </w:rPr>
              <w:t>单位整体支出绩效自评表</w:t>
            </w:r>
          </w:p>
        </w:tc>
      </w:tr>
      <w:tr w14:paraId="1C8AEA4F">
        <w:tblPrEx>
          <w:tblCellMar>
            <w:top w:w="0" w:type="dxa"/>
            <w:left w:w="108" w:type="dxa"/>
            <w:bottom w:w="0" w:type="dxa"/>
            <w:right w:w="108" w:type="dxa"/>
          </w:tblCellMar>
        </w:tblPrEx>
        <w:tc>
          <w:tcPr>
            <w:tcW w:w="8840" w:type="dxa"/>
            <w:gridSpan w:val="8"/>
            <w:vAlign w:val="center"/>
          </w:tcPr>
          <w:p w14:paraId="4D07E683">
            <w:pPr>
              <w:jc w:val="center"/>
            </w:pPr>
            <w:r>
              <w:rPr>
                <w:rFonts w:ascii="宋体" w:hAnsi="宋体" w:eastAsia="宋体"/>
                <w:sz w:val="24"/>
              </w:rPr>
              <w:t>（2024年度）</w:t>
            </w:r>
          </w:p>
        </w:tc>
      </w:tr>
      <w:tr w14:paraId="58E0510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B0BC24">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E9A01">
            <w:pPr>
              <w:jc w:val="center"/>
            </w:pPr>
            <w:r>
              <w:rPr>
                <w:rFonts w:ascii="宋体" w:hAnsi="宋体" w:eastAsia="宋体"/>
                <w:sz w:val="16"/>
              </w:rPr>
              <w:t>中共克孜勒苏柯尔克孜自治州直属机关工作委员会</w:t>
            </w:r>
          </w:p>
        </w:tc>
      </w:tr>
      <w:tr w14:paraId="2F02A5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8CC0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0F8F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9C9F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B575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BC26E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6C08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6C40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0F4B3">
            <w:pPr>
              <w:jc w:val="center"/>
            </w:pPr>
            <w:r>
              <w:rPr>
                <w:rFonts w:ascii="宋体" w:hAnsi="宋体" w:eastAsia="宋体"/>
                <w:sz w:val="16"/>
              </w:rPr>
              <w:t>得分</w:t>
            </w:r>
          </w:p>
        </w:tc>
      </w:tr>
      <w:tr w14:paraId="0FB40E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9B54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5CA51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3C146">
            <w:pPr>
              <w:jc w:val="center"/>
            </w:pPr>
            <w:r>
              <w:rPr>
                <w:rFonts w:ascii="宋体" w:hAnsi="宋体" w:eastAsia="宋体"/>
                <w:sz w:val="16"/>
              </w:rPr>
              <w:t>216.92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A6F60D">
            <w:pPr>
              <w:jc w:val="center"/>
            </w:pPr>
            <w:r>
              <w:rPr>
                <w:rFonts w:ascii="宋体" w:hAnsi="宋体" w:eastAsia="宋体"/>
                <w:sz w:val="16"/>
              </w:rPr>
              <w:t>244.45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1E859">
            <w:pPr>
              <w:jc w:val="center"/>
            </w:pPr>
            <w:r>
              <w:rPr>
                <w:rFonts w:ascii="宋体" w:hAnsi="宋体" w:eastAsia="宋体"/>
                <w:sz w:val="16"/>
              </w:rPr>
              <w:t>244.30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F8DF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8BE1D1">
            <w:pPr>
              <w:jc w:val="center"/>
            </w:pPr>
            <w:r>
              <w:rPr>
                <w:rFonts w:ascii="宋体" w:hAnsi="宋体" w:eastAsia="宋体"/>
                <w:sz w:val="16"/>
              </w:rPr>
              <w:t>99.94%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18777">
            <w:pPr>
              <w:jc w:val="center"/>
              <w:rPr>
                <w:rFonts w:hint="default" w:eastAsia="宋体"/>
                <w:lang w:val="en-US" w:eastAsia="zh-CN"/>
              </w:rPr>
            </w:pPr>
            <w:r>
              <w:rPr>
                <w:rFonts w:hint="eastAsia" w:ascii="宋体" w:hAnsi="宋体"/>
                <w:sz w:val="16"/>
                <w:lang w:val="en-US" w:eastAsia="zh-CN"/>
              </w:rPr>
              <w:t>9.99分</w:t>
            </w:r>
            <w:bookmarkStart w:id="0" w:name="_GoBack"/>
            <w:bookmarkEnd w:id="0"/>
            <w:r>
              <w:rPr>
                <w:rFonts w:hint="eastAsia" w:ascii="宋体" w:hAnsi="宋体"/>
                <w:sz w:val="16"/>
                <w:lang w:val="en-US" w:eastAsia="zh-CN"/>
              </w:rPr>
              <w:t>分</w:t>
            </w:r>
          </w:p>
        </w:tc>
      </w:tr>
      <w:tr w14:paraId="53265A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3C4E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2ED0D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D58C3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4639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766B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B187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7245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95800">
            <w:pPr>
              <w:jc w:val="center"/>
            </w:pPr>
            <w:r>
              <w:rPr>
                <w:rFonts w:ascii="宋体" w:hAnsi="宋体" w:eastAsia="宋体"/>
                <w:sz w:val="16"/>
              </w:rPr>
              <w:t>—</w:t>
            </w:r>
          </w:p>
        </w:tc>
      </w:tr>
      <w:tr w14:paraId="59A5BF4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13F5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EEF3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CED3E">
            <w:pPr>
              <w:jc w:val="center"/>
            </w:pPr>
            <w:r>
              <w:rPr>
                <w:rFonts w:ascii="宋体" w:hAnsi="宋体" w:eastAsia="宋体"/>
                <w:sz w:val="16"/>
              </w:rPr>
              <w:t>215.30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77F96">
            <w:pPr>
              <w:jc w:val="center"/>
            </w:pPr>
            <w:r>
              <w:rPr>
                <w:rFonts w:ascii="宋体" w:hAnsi="宋体" w:eastAsia="宋体"/>
                <w:sz w:val="16"/>
              </w:rPr>
              <w:t>244.45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2F6C24">
            <w:pPr>
              <w:jc w:val="center"/>
            </w:pPr>
            <w:r>
              <w:rPr>
                <w:rFonts w:ascii="宋体" w:hAnsi="宋体" w:eastAsia="宋体"/>
                <w:sz w:val="16"/>
              </w:rPr>
              <w:t>244.30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2BA0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A5DD5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0AF16">
            <w:pPr>
              <w:jc w:val="center"/>
            </w:pPr>
            <w:r>
              <w:rPr>
                <w:rFonts w:ascii="宋体" w:hAnsi="宋体" w:eastAsia="宋体"/>
                <w:sz w:val="16"/>
              </w:rPr>
              <w:t>—</w:t>
            </w:r>
          </w:p>
        </w:tc>
      </w:tr>
      <w:tr w14:paraId="672329B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899FF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2F56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4D212B">
            <w:pPr>
              <w:jc w:val="center"/>
            </w:pPr>
            <w:r>
              <w:rPr>
                <w:rFonts w:ascii="宋体" w:hAnsi="宋体" w:eastAsia="宋体"/>
                <w:sz w:val="16"/>
              </w:rPr>
              <w:t>1.62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E9B45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E48C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FAB0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7CB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9C522">
            <w:pPr>
              <w:jc w:val="center"/>
            </w:pPr>
            <w:r>
              <w:rPr>
                <w:rFonts w:ascii="宋体" w:hAnsi="宋体" w:eastAsia="宋体"/>
                <w:sz w:val="16"/>
              </w:rPr>
              <w:t>—</w:t>
            </w:r>
          </w:p>
        </w:tc>
      </w:tr>
      <w:tr w14:paraId="0FB5DD4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597A8">
            <w:pPr>
              <w:jc w:val="center"/>
            </w:pPr>
            <w:r>
              <w:rPr>
                <w:rFonts w:ascii="宋体" w:hAnsi="宋体" w:eastAsia="宋体"/>
                <w:sz w:val="16"/>
              </w:rPr>
              <w:t>年度总体目标</w:t>
            </w:r>
          </w:p>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53518">
            <w:pPr>
              <w:jc w:val="center"/>
            </w:pPr>
            <w:r>
              <w:rPr>
                <w:rFonts w:ascii="宋体" w:hAnsi="宋体" w:eastAsia="宋体"/>
                <w:sz w:val="16"/>
              </w:rPr>
              <w:t>预期目标</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873DB0">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77894C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AF2E9C"/>
        </w:tc>
        <w:tc>
          <w:tcPr>
            <w:tcW w:w="2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D1F86">
            <w:pPr>
              <w:jc w:val="both"/>
            </w:pPr>
            <w:r>
              <w:rPr>
                <w:rFonts w:ascii="宋体" w:hAnsi="宋体" w:eastAsia="宋体"/>
                <w:sz w:val="16"/>
              </w:rPr>
              <w:t>1.创建“五个好”标准化规范化党支部，9月底前完成验收达标工作；2.加强模范机关创建；3.严把党员发展关，计划年度发展党员80人；4.加强党员教育管理培训，举办2期赴外培训100人，举办各类示范培训班1000余人次；5.抓实党内政治生活，规范</w:t>
            </w:r>
            <w:r>
              <w:rPr>
                <w:rFonts w:hint="eastAsia" w:ascii="宋体" w:hAnsi="宋体"/>
                <w:sz w:val="16"/>
                <w:lang w:eastAsia="zh-CN"/>
              </w:rPr>
              <w:t>“三会一课”</w:t>
            </w:r>
            <w:r>
              <w:rPr>
                <w:rFonts w:ascii="宋体" w:hAnsi="宋体" w:eastAsia="宋体"/>
                <w:sz w:val="16"/>
              </w:rPr>
              <w:t>、组织生活会、民主评议党员等制度落实；6.打造机关党建品牌，2024年计划打造12家机关单位党建品牌，形成品牌特色，推动机关党建高质量发展。</w:t>
            </w:r>
          </w:p>
        </w:tc>
        <w:tc>
          <w:tcPr>
            <w:tcW w:w="55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7DCCA">
            <w:pPr>
              <w:jc w:val="both"/>
            </w:pPr>
            <w:r>
              <w:rPr>
                <w:rFonts w:hint="eastAsia" w:ascii="宋体" w:hAnsi="宋体"/>
                <w:sz w:val="16"/>
                <w:lang w:eastAsia="zh-CN"/>
              </w:rPr>
              <w:t>截至2024</w:t>
            </w:r>
            <w:r>
              <w:rPr>
                <w:rFonts w:ascii="宋体" w:hAnsi="宋体" w:eastAsia="宋体"/>
                <w:sz w:val="16"/>
              </w:rPr>
              <w:t>年12月31日，已完成：1.组织开展“让党中央放心、让人民群众满意的模范机关”暨“五个好”标准化规范化党支部创建互观互学互鉴观摩会2场次，6家单位展示了特色做法、6家单位开展了成果交流，通过整合各单位党建优势资源，采取互观互学互鉴形式，推动州直机关各级党组织全面进步、全面过硬，模范机关和“五个好”党支部创建走深走实。2.运用好《克州党委直属机关工委加强机关党建联系服务和督促指导机制》，划分6个片区包联所属基层党组织和县（市）机关工委，常态化联系指导，保持机制畅通，推动机关基层党组织落实模范机关和“五个好”党支部建设等重点工作更加有力；3.坚持将党组织成立、党员发展、党建活动嵌入经济高质量发展全过程，完成2024年换届选举基层党组织44个、62个基层党支部补选委员154名、新成立党支部18个、撤销党组织8个、完成党支部更名5个，举办发展对象培训班1期98人，参加自治区积极分子线上培训1期144人，新任职党支部书记、支部委员示范培训班等各类培训班4期“零距离”受教育400余人次，不断提升机关各级党组织的组织力；4.紧紧围绕州委新时代干部培养机制，聚焦加强党务干部能力素质提升，开展“请进来、走出去”专题培训。参加自治区直属机关工委能力素质提升专题培训班7期11人，举办“浙江大学——机关党建引领保障经济社会高质量发展能力素质提升”专题培训班1期50人，“延安干部学院——机关党务干部专业化水平提升”专题培训班1期49人，努力营造解放思想、改革创新的浓厚氛围，以思想大解放推动克州机关党建高质量发展；深入开展自治州直属机关党务干部“提能力、抓落实、促规范”跟班培训计划，完善把业务骨干培养成党员、党员培养成业务骨干的双向吸收机制，发挥党员示范引领作用，目前4批14名党务干部已接受系统培训；5.坚持把讲政治的要求贯穿到机关工作各方面全过程，加强机关党的政治建设，严格落实党组（党委）会议“第一议题”、理论学习中心组“第一任务”、党支部政治理论学习“第一内容”制度。所属机关基层党组织围绕党的二十届三中全会精神等重要内容，开展理论学习中心组专题学习1300余场次、党支部政治理论学习7100余场次，不断强化机关政治建设；二是抓实党员过“政治生日”这个重要切口，统一设计党员过“政治生日”提示牌237块，以重温入党誓词、重读入党志愿书、讲述“党员心声”、回顾入党成长经历为重点，唤醒党员意识，以党内政治生活“小切口”撬动政治建设“大转变”；三是把机关国家通用语言文字推广普及工作作为一项重要政治任务盯紧抓实，全面统计州直党政机关工作人员达标情况，督促指导所属单位干部职工全面完成达标工作，摸排统计应参加达标测试6040人，已达标4904人，达标率81.19%，确保机关干部职工率先达标；6.围绕“发展提质、党建聚力、服务创优”创新内容，确定“培育打造机关党建品牌，全面提高机关党建质量”调研课题，积极打造“三个走进”（走进基层党组织、走进每名党员、走进各族群众）机关党建总品牌，引导各级党组织主动创品牌特色、促质量提升。“三个走进”品牌创新案例成功入选新疆《机关党建》杂志作为地州典型经验首期推广。通过深度挖掘各单位中心工作特色，指导80余家单位打造机关党建品牌，为有效破解制约机关党建高质量发展瓶颈问题，带来新的解题思路，推动克州机关党建晋位升级；</w:t>
            </w:r>
          </w:p>
        </w:tc>
      </w:tr>
      <w:tr w14:paraId="58FB7C9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D6BF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527C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3D58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1F79C">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8456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EE19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25B6A">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E7AFE">
            <w:pPr>
              <w:jc w:val="center"/>
            </w:pPr>
            <w:r>
              <w:rPr>
                <w:rFonts w:ascii="宋体" w:hAnsi="宋体" w:eastAsia="宋体"/>
                <w:sz w:val="16"/>
              </w:rPr>
              <w:t>得分</w:t>
            </w:r>
          </w:p>
        </w:tc>
      </w:tr>
      <w:tr w14:paraId="737633D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A6470F">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E0A2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45022">
            <w:pPr>
              <w:jc w:val="center"/>
            </w:pPr>
            <w:r>
              <w:rPr>
                <w:rFonts w:ascii="宋体" w:hAnsi="宋体" w:eastAsia="宋体"/>
                <w:sz w:val="16"/>
              </w:rPr>
              <w:t>督促下属党支部党建工作规范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53AE8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F55F0">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1896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1E9B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0580D">
            <w:pPr>
              <w:jc w:val="center"/>
            </w:pPr>
            <w:r>
              <w:rPr>
                <w:rFonts w:ascii="宋体" w:hAnsi="宋体" w:eastAsia="宋体"/>
                <w:sz w:val="16"/>
              </w:rPr>
              <w:t>20</w:t>
            </w:r>
          </w:p>
        </w:tc>
      </w:tr>
      <w:tr w14:paraId="0CF7363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3926B">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940A1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0E11D5">
            <w:pPr>
              <w:jc w:val="center"/>
            </w:pPr>
            <w:r>
              <w:rPr>
                <w:rFonts w:ascii="宋体" w:hAnsi="宋体" w:eastAsia="宋体"/>
                <w:sz w:val="16"/>
              </w:rPr>
              <w:t>力争达到“五个好”党支部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BAC063">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96F11">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F713D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2C1B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5D90E">
            <w:pPr>
              <w:jc w:val="center"/>
            </w:pPr>
            <w:r>
              <w:rPr>
                <w:rFonts w:ascii="宋体" w:hAnsi="宋体" w:eastAsia="宋体"/>
                <w:sz w:val="16"/>
              </w:rPr>
              <w:t>15</w:t>
            </w:r>
          </w:p>
        </w:tc>
      </w:tr>
      <w:tr w14:paraId="6E6E33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8B3BF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61EE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C9CE5">
            <w:pPr>
              <w:jc w:val="center"/>
            </w:pPr>
            <w:r>
              <w:rPr>
                <w:rFonts w:ascii="宋体" w:hAnsi="宋体" w:eastAsia="宋体"/>
                <w:sz w:val="16"/>
              </w:rPr>
              <w:t>力争创建模范机关党支部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A8B89">
            <w:pPr>
              <w:jc w:val="center"/>
            </w:pPr>
            <w:r>
              <w:rPr>
                <w:rFonts w:ascii="宋体" w:hAnsi="宋体" w:eastAsia="宋体"/>
                <w:sz w:val="16"/>
              </w:rPr>
              <w:t>&gt;=70%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A04A0">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4784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023C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89288">
            <w:pPr>
              <w:jc w:val="center"/>
            </w:pPr>
            <w:r>
              <w:rPr>
                <w:rFonts w:ascii="宋体" w:hAnsi="宋体" w:eastAsia="宋体"/>
                <w:sz w:val="16"/>
              </w:rPr>
              <w:t>15</w:t>
            </w:r>
          </w:p>
        </w:tc>
      </w:tr>
      <w:tr w14:paraId="4886B8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7CD8E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6CE7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1A45A">
            <w:pPr>
              <w:jc w:val="center"/>
            </w:pPr>
            <w:r>
              <w:rPr>
                <w:rFonts w:ascii="宋体" w:hAnsi="宋体" w:eastAsia="宋体"/>
                <w:sz w:val="16"/>
              </w:rPr>
              <w:t>党员干部培训全覆盖</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56DE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B06C16">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1098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253A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33F29">
            <w:pPr>
              <w:jc w:val="center"/>
            </w:pPr>
            <w:r>
              <w:rPr>
                <w:rFonts w:ascii="宋体" w:hAnsi="宋体" w:eastAsia="宋体"/>
                <w:sz w:val="16"/>
              </w:rPr>
              <w:t>15</w:t>
            </w:r>
          </w:p>
        </w:tc>
      </w:tr>
      <w:tr w14:paraId="6AD0F9F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585F5E">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8CE5FE">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8546F">
            <w:pPr>
              <w:jc w:val="center"/>
            </w:pPr>
            <w:r>
              <w:rPr>
                <w:rFonts w:ascii="宋体" w:hAnsi="宋体" w:eastAsia="宋体"/>
                <w:sz w:val="16"/>
              </w:rPr>
              <w:t>以党建引领推动各项工作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E5BA8">
            <w:pPr>
              <w:jc w:val="center"/>
            </w:pPr>
            <w:r>
              <w:rPr>
                <w:rFonts w:ascii="宋体" w:hAnsi="宋体" w:eastAsia="宋体"/>
                <w:sz w:val="16"/>
              </w:rPr>
              <w:t>=239基层党组织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BDADD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C896D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B9ACC">
            <w:pPr>
              <w:jc w:val="center"/>
            </w:pPr>
            <w:r>
              <w:rPr>
                <w:rFonts w:ascii="宋体" w:hAnsi="宋体" w:eastAsia="宋体"/>
                <w:sz w:val="16"/>
              </w:rPr>
              <w:t>239基层党组织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E927C">
            <w:pPr>
              <w:jc w:val="center"/>
            </w:pPr>
            <w:r>
              <w:rPr>
                <w:rFonts w:ascii="宋体" w:hAnsi="宋体" w:eastAsia="宋体"/>
                <w:sz w:val="16"/>
              </w:rPr>
              <w:t>15</w:t>
            </w:r>
          </w:p>
        </w:tc>
      </w:tr>
      <w:tr w14:paraId="3C0A1EB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51570">
            <w:pPr>
              <w:jc w:val="center"/>
            </w:pPr>
            <w:r>
              <w:rPr>
                <w:rFonts w:ascii="宋体" w:hAnsi="宋体" w:eastAsia="宋体"/>
                <w:sz w:val="16"/>
              </w:rPr>
              <w:t>可持续发展能力</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5CD1B1">
            <w:pPr>
              <w:jc w:val="center"/>
            </w:pPr>
            <w:r>
              <w:rPr>
                <w:rFonts w:ascii="宋体" w:hAnsi="宋体" w:eastAsia="宋体"/>
                <w:sz w:val="16"/>
              </w:rPr>
              <w:t>可持续影响指标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F69CC">
            <w:pPr>
              <w:jc w:val="center"/>
            </w:pPr>
            <w:r>
              <w:rPr>
                <w:rFonts w:ascii="宋体" w:hAnsi="宋体" w:eastAsia="宋体"/>
                <w:sz w:val="16"/>
              </w:rPr>
              <w:t>建设“四个合格”党员队伍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203A8F">
            <w:pPr>
              <w:jc w:val="center"/>
            </w:pPr>
            <w:r>
              <w:rPr>
                <w:rFonts w:ascii="宋体" w:hAnsi="宋体" w:eastAsia="宋体"/>
                <w:sz w:val="16"/>
              </w:rPr>
              <w:t>=80个州直单位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0373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FC583">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51698">
            <w:pPr>
              <w:jc w:val="center"/>
            </w:pPr>
            <w:r>
              <w:rPr>
                <w:rFonts w:ascii="宋体" w:hAnsi="宋体" w:eastAsia="宋体"/>
                <w:sz w:val="16"/>
              </w:rPr>
              <w:t>80个州直党委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D462D">
            <w:pPr>
              <w:jc w:val="center"/>
            </w:pPr>
            <w:r>
              <w:rPr>
                <w:rFonts w:ascii="宋体" w:hAnsi="宋体" w:eastAsia="宋体"/>
                <w:sz w:val="16"/>
              </w:rPr>
              <w:t>10</w:t>
            </w:r>
          </w:p>
        </w:tc>
      </w:tr>
    </w:tbl>
    <w:p w14:paraId="501F68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BED6B21">
        <w:tblPrEx>
          <w:tblCellMar>
            <w:top w:w="0" w:type="dxa"/>
            <w:left w:w="108" w:type="dxa"/>
            <w:bottom w:w="0" w:type="dxa"/>
            <w:right w:w="108" w:type="dxa"/>
          </w:tblCellMar>
        </w:tblPrEx>
        <w:tc>
          <w:tcPr>
            <w:tcW w:w="8848" w:type="dxa"/>
            <w:gridSpan w:val="14"/>
            <w:vAlign w:val="center"/>
          </w:tcPr>
          <w:p w14:paraId="60190D8F">
            <w:pPr>
              <w:jc w:val="center"/>
            </w:pPr>
            <w:r>
              <w:rPr>
                <w:rFonts w:ascii="宋体" w:hAnsi="宋体" w:eastAsia="宋体"/>
                <w:sz w:val="24"/>
              </w:rPr>
              <w:t>项目支出绩效自评表</w:t>
            </w:r>
          </w:p>
        </w:tc>
      </w:tr>
      <w:tr w14:paraId="6DD2151D">
        <w:tblPrEx>
          <w:tblCellMar>
            <w:top w:w="0" w:type="dxa"/>
            <w:left w:w="108" w:type="dxa"/>
            <w:bottom w:w="0" w:type="dxa"/>
            <w:right w:w="108" w:type="dxa"/>
          </w:tblCellMar>
        </w:tblPrEx>
        <w:tc>
          <w:tcPr>
            <w:tcW w:w="8848" w:type="dxa"/>
            <w:gridSpan w:val="14"/>
            <w:vAlign w:val="center"/>
          </w:tcPr>
          <w:p w14:paraId="1411EE01">
            <w:pPr>
              <w:jc w:val="center"/>
            </w:pPr>
            <w:r>
              <w:rPr>
                <w:rFonts w:ascii="宋体" w:hAnsi="宋体" w:eastAsia="宋体"/>
                <w:sz w:val="24"/>
              </w:rPr>
              <w:t>(2024年度)</w:t>
            </w:r>
          </w:p>
        </w:tc>
      </w:tr>
      <w:tr w14:paraId="36ED45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2B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E78229">
            <w:pPr>
              <w:jc w:val="center"/>
            </w:pPr>
            <w:r>
              <w:rPr>
                <w:rFonts w:ascii="宋体" w:hAnsi="宋体" w:eastAsia="宋体"/>
                <w:sz w:val="16"/>
              </w:rPr>
              <w:t>2024党建阵地经费</w:t>
            </w:r>
          </w:p>
        </w:tc>
      </w:tr>
      <w:tr w14:paraId="62C024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FB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70C8EB">
            <w:pPr>
              <w:jc w:val="center"/>
            </w:pPr>
            <w:r>
              <w:rPr>
                <w:rFonts w:ascii="宋体" w:hAnsi="宋体" w:eastAsia="宋体"/>
                <w:sz w:val="16"/>
              </w:rPr>
              <w:t>中共克孜勒苏柯尔克孜自治州直属机关工作委员会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92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D7D67D">
            <w:pPr>
              <w:jc w:val="center"/>
            </w:pPr>
            <w:r>
              <w:rPr>
                <w:rFonts w:ascii="宋体" w:hAnsi="宋体" w:eastAsia="宋体"/>
                <w:sz w:val="16"/>
              </w:rPr>
              <w:t>中共克孜勒苏柯尔克孜自治州直属机关工作委员会</w:t>
            </w:r>
          </w:p>
        </w:tc>
      </w:tr>
      <w:tr w14:paraId="5D76F9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250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34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C4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D6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219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5ED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23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152D">
            <w:pPr>
              <w:jc w:val="center"/>
            </w:pPr>
            <w:r>
              <w:rPr>
                <w:rFonts w:ascii="宋体" w:hAnsi="宋体" w:eastAsia="宋体"/>
                <w:sz w:val="16"/>
              </w:rPr>
              <w:t>得分</w:t>
            </w:r>
          </w:p>
        </w:tc>
      </w:tr>
      <w:tr w14:paraId="0757E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825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70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5DA1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AF9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BD69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C77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FAF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4507">
            <w:pPr>
              <w:jc w:val="center"/>
            </w:pPr>
            <w:r>
              <w:rPr>
                <w:rFonts w:ascii="宋体" w:hAnsi="宋体" w:eastAsia="宋体"/>
                <w:sz w:val="16"/>
              </w:rPr>
              <w:t>10.00分</w:t>
            </w:r>
          </w:p>
        </w:tc>
      </w:tr>
      <w:tr w14:paraId="08F1F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F23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DEF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815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420D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808D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AD6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75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31EF">
            <w:pPr>
              <w:jc w:val="center"/>
            </w:pPr>
            <w:r>
              <w:rPr>
                <w:rFonts w:ascii="宋体" w:hAnsi="宋体" w:eastAsia="宋体"/>
                <w:sz w:val="16"/>
              </w:rPr>
              <w:t>—</w:t>
            </w:r>
          </w:p>
        </w:tc>
      </w:tr>
      <w:tr w14:paraId="1EFEB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39D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17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CB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0CB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D07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382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19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1EE7">
            <w:pPr>
              <w:jc w:val="center"/>
            </w:pPr>
            <w:r>
              <w:rPr>
                <w:rFonts w:ascii="宋体" w:hAnsi="宋体" w:eastAsia="宋体"/>
                <w:sz w:val="16"/>
              </w:rPr>
              <w:t>—</w:t>
            </w:r>
          </w:p>
        </w:tc>
      </w:tr>
      <w:tr w14:paraId="010317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72C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D526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2F3C4">
            <w:pPr>
              <w:jc w:val="center"/>
            </w:pPr>
            <w:r>
              <w:rPr>
                <w:rFonts w:ascii="宋体" w:hAnsi="宋体" w:eastAsia="宋体"/>
                <w:sz w:val="16"/>
              </w:rPr>
              <w:t>实际完成情况</w:t>
            </w:r>
          </w:p>
        </w:tc>
      </w:tr>
      <w:tr w14:paraId="71B8E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535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FA57D">
            <w:pPr>
              <w:jc w:val="both"/>
            </w:pPr>
            <w:r>
              <w:rPr>
                <w:rFonts w:ascii="宋体" w:hAnsi="宋体" w:eastAsia="宋体"/>
                <w:sz w:val="16"/>
              </w:rPr>
              <w:t>该项目资金3万元，其中：财政资金3万元，其他资金0万元，该项目资金主要用于我单位开展党建阵地建设，通过该项目实施保障党建活动顺利完成，提升机关党建工作水平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30F539">
            <w:pPr>
              <w:jc w:val="both"/>
            </w:pPr>
            <w:r>
              <w:rPr>
                <w:rFonts w:ascii="宋体" w:hAnsi="宋体" w:eastAsia="宋体"/>
                <w:sz w:val="16"/>
              </w:rPr>
              <w:t>截至2024年12月31日，已完成该项目资金3万元，党建阵地维修1次，通过该项目实施保障党建活动顺利完成，提升机关党建工作水平。</w:t>
            </w:r>
          </w:p>
        </w:tc>
      </w:tr>
      <w:tr w14:paraId="6D9105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F49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97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EF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CC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23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5B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91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C8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C2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A0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AAC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7A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ADA58">
            <w:pPr>
              <w:jc w:val="center"/>
            </w:pPr>
            <w:r>
              <w:rPr>
                <w:rFonts w:ascii="宋体" w:hAnsi="宋体" w:eastAsia="宋体"/>
                <w:sz w:val="16"/>
              </w:rPr>
              <w:t>偏差原因分析及改进措施</w:t>
            </w:r>
          </w:p>
        </w:tc>
      </w:tr>
      <w:tr w14:paraId="34C8D3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0E9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E79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DB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12BE">
            <w:pPr>
              <w:jc w:val="center"/>
            </w:pPr>
            <w:r>
              <w:rPr>
                <w:rFonts w:ascii="宋体" w:hAnsi="宋体" w:eastAsia="宋体"/>
                <w:sz w:val="16"/>
              </w:rPr>
              <w:t>党建阵地维修（次）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F0F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1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07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9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0D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7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F8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D1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F5BAA">
            <w:pPr>
              <w:jc w:val="center"/>
            </w:pPr>
          </w:p>
        </w:tc>
      </w:tr>
      <w:tr w14:paraId="2C845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29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F2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9A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E5C9">
            <w:pPr>
              <w:jc w:val="center"/>
            </w:pPr>
            <w:r>
              <w:rPr>
                <w:rFonts w:ascii="宋体" w:hAnsi="宋体" w:eastAsia="宋体"/>
                <w:sz w:val="16"/>
              </w:rPr>
              <w:t>党建阵地维修合格率（%）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5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9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E6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21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4E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D5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7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FF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0F39">
            <w:pPr>
              <w:jc w:val="center"/>
            </w:pPr>
          </w:p>
        </w:tc>
      </w:tr>
      <w:tr w14:paraId="56059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AF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33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64F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DFA0">
            <w:pPr>
              <w:jc w:val="center"/>
            </w:pPr>
            <w:r>
              <w:rPr>
                <w:rFonts w:ascii="宋体" w:hAnsi="宋体" w:eastAsia="宋体"/>
                <w:sz w:val="16"/>
              </w:rPr>
              <w:t>党建阵地维修完成及时率（%）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3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E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FA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A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6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3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B1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E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E192">
            <w:pPr>
              <w:jc w:val="center"/>
            </w:pPr>
          </w:p>
        </w:tc>
      </w:tr>
      <w:tr w14:paraId="39070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A9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1D1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E7F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1C2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6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58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E8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1A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3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9E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A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D1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C8FA">
            <w:pPr>
              <w:jc w:val="center"/>
            </w:pPr>
          </w:p>
        </w:tc>
      </w:tr>
      <w:tr w14:paraId="5895D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92F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DAB6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8ED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EAF3">
            <w:pPr>
              <w:jc w:val="center"/>
            </w:pPr>
            <w:r>
              <w:rPr>
                <w:rFonts w:hint="eastAsia" w:ascii="宋体" w:hAnsi="宋体"/>
                <w:sz w:val="16"/>
                <w:lang w:eastAsia="zh-CN"/>
              </w:rPr>
              <w:t>房建</w:t>
            </w:r>
            <w:r>
              <w:rPr>
                <w:rFonts w:ascii="宋体" w:hAnsi="宋体" w:eastAsia="宋体"/>
                <w:sz w:val="16"/>
              </w:rPr>
              <w:t>征地维修成本（万元）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6C6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73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F3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D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6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C0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507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6E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BD32">
            <w:pPr>
              <w:jc w:val="center"/>
            </w:pPr>
          </w:p>
        </w:tc>
      </w:tr>
      <w:tr w14:paraId="398B9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3A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58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D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8DE9">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FE21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92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77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2F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CE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D7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1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0F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525B">
            <w:pPr>
              <w:jc w:val="center"/>
            </w:pPr>
          </w:p>
        </w:tc>
      </w:tr>
      <w:tr w14:paraId="64324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50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E6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1D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D9B5">
            <w:pPr>
              <w:jc w:val="center"/>
            </w:pPr>
            <w:r>
              <w:rPr>
                <w:rFonts w:ascii="宋体" w:hAnsi="宋体" w:eastAsia="宋体"/>
                <w:sz w:val="16"/>
              </w:rPr>
              <w:t>提高阵地利用率（%）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5C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6C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23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19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07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384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335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92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F7A50">
            <w:pPr>
              <w:jc w:val="center"/>
            </w:pPr>
          </w:p>
        </w:tc>
      </w:tr>
      <w:tr w14:paraId="2B7D3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D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58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47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7D99">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6D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28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32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66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20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EC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AE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8A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F924">
            <w:pPr>
              <w:jc w:val="center"/>
            </w:pPr>
          </w:p>
        </w:tc>
      </w:tr>
      <w:tr w14:paraId="42B70D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F515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72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E6D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914BBA">
            <w:pPr>
              <w:jc w:val="center"/>
            </w:pPr>
            <w:r>
              <w:rPr>
                <w:rFonts w:ascii="宋体" w:hAnsi="宋体" w:eastAsia="宋体"/>
                <w:sz w:val="16"/>
              </w:rPr>
              <w:t>100分</w:t>
            </w:r>
          </w:p>
        </w:tc>
      </w:tr>
    </w:tbl>
    <w:p w14:paraId="4B2ABF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17B4302">
        <w:tblPrEx>
          <w:tblCellMar>
            <w:top w:w="0" w:type="dxa"/>
            <w:left w:w="108" w:type="dxa"/>
            <w:bottom w:w="0" w:type="dxa"/>
            <w:right w:w="108" w:type="dxa"/>
          </w:tblCellMar>
        </w:tblPrEx>
        <w:tc>
          <w:tcPr>
            <w:tcW w:w="8848" w:type="dxa"/>
            <w:gridSpan w:val="14"/>
            <w:vAlign w:val="center"/>
          </w:tcPr>
          <w:p w14:paraId="7A75A128">
            <w:pPr>
              <w:jc w:val="center"/>
            </w:pPr>
            <w:r>
              <w:rPr>
                <w:rFonts w:ascii="宋体" w:hAnsi="宋体" w:eastAsia="宋体"/>
                <w:sz w:val="24"/>
              </w:rPr>
              <w:t>项目支出绩效自评表</w:t>
            </w:r>
          </w:p>
        </w:tc>
      </w:tr>
      <w:tr w14:paraId="6ABD0E1B">
        <w:tblPrEx>
          <w:tblCellMar>
            <w:top w:w="0" w:type="dxa"/>
            <w:left w:w="108" w:type="dxa"/>
            <w:bottom w:w="0" w:type="dxa"/>
            <w:right w:w="108" w:type="dxa"/>
          </w:tblCellMar>
        </w:tblPrEx>
        <w:tc>
          <w:tcPr>
            <w:tcW w:w="8848" w:type="dxa"/>
            <w:gridSpan w:val="14"/>
            <w:vAlign w:val="center"/>
          </w:tcPr>
          <w:p w14:paraId="1F999421">
            <w:pPr>
              <w:jc w:val="center"/>
            </w:pPr>
            <w:r>
              <w:rPr>
                <w:rFonts w:ascii="宋体" w:hAnsi="宋体" w:eastAsia="宋体"/>
                <w:sz w:val="24"/>
              </w:rPr>
              <w:t>(2024年度)</w:t>
            </w:r>
          </w:p>
        </w:tc>
      </w:tr>
      <w:tr w14:paraId="0A636B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EB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E65278">
            <w:pPr>
              <w:jc w:val="center"/>
            </w:pPr>
            <w:r>
              <w:rPr>
                <w:rFonts w:ascii="宋体" w:hAnsi="宋体" w:eastAsia="宋体"/>
                <w:sz w:val="16"/>
              </w:rPr>
              <w:t>2024年党建工作经费2</w:t>
            </w:r>
          </w:p>
        </w:tc>
      </w:tr>
      <w:tr w14:paraId="277EA9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27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EFB50">
            <w:pPr>
              <w:jc w:val="center"/>
            </w:pPr>
            <w:r>
              <w:rPr>
                <w:rFonts w:ascii="宋体" w:hAnsi="宋体" w:eastAsia="宋体"/>
                <w:sz w:val="16"/>
              </w:rPr>
              <w:t>中共克孜勒苏柯尔克孜自治州直属机关工作委员会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00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F9F1D">
            <w:pPr>
              <w:jc w:val="center"/>
            </w:pPr>
            <w:r>
              <w:rPr>
                <w:rFonts w:ascii="宋体" w:hAnsi="宋体" w:eastAsia="宋体"/>
                <w:sz w:val="16"/>
              </w:rPr>
              <w:t>中共克孜勒苏柯尔克孜自治州直属机关工作委员会</w:t>
            </w:r>
          </w:p>
        </w:tc>
      </w:tr>
      <w:tr w14:paraId="53C821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3577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F7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CAE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0A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FD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EF1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50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B4E1">
            <w:pPr>
              <w:jc w:val="center"/>
            </w:pPr>
            <w:r>
              <w:rPr>
                <w:rFonts w:ascii="宋体" w:hAnsi="宋体" w:eastAsia="宋体"/>
                <w:sz w:val="16"/>
              </w:rPr>
              <w:t>得分</w:t>
            </w:r>
          </w:p>
        </w:tc>
      </w:tr>
      <w:tr w14:paraId="0997F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207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5E9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709F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0AB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A85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C5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A125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AE12">
            <w:pPr>
              <w:jc w:val="center"/>
            </w:pPr>
            <w:r>
              <w:rPr>
                <w:rFonts w:ascii="宋体" w:hAnsi="宋体" w:eastAsia="宋体"/>
                <w:sz w:val="16"/>
              </w:rPr>
              <w:t>10.00分</w:t>
            </w:r>
          </w:p>
        </w:tc>
      </w:tr>
      <w:tr w14:paraId="4258D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CF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F93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CA68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6AD9">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44D9A">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788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6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13F3">
            <w:pPr>
              <w:jc w:val="center"/>
            </w:pPr>
            <w:r>
              <w:rPr>
                <w:rFonts w:ascii="宋体" w:hAnsi="宋体" w:eastAsia="宋体"/>
                <w:sz w:val="16"/>
              </w:rPr>
              <w:t>—</w:t>
            </w:r>
          </w:p>
        </w:tc>
      </w:tr>
      <w:tr w14:paraId="2154B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36E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79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CF9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36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EA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65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ED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261D">
            <w:pPr>
              <w:jc w:val="center"/>
            </w:pPr>
            <w:r>
              <w:rPr>
                <w:rFonts w:ascii="宋体" w:hAnsi="宋体" w:eastAsia="宋体"/>
                <w:sz w:val="16"/>
              </w:rPr>
              <w:t>—</w:t>
            </w:r>
          </w:p>
        </w:tc>
      </w:tr>
      <w:tr w14:paraId="63F93F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83E5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923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28668">
            <w:pPr>
              <w:jc w:val="center"/>
            </w:pPr>
            <w:r>
              <w:rPr>
                <w:rFonts w:ascii="宋体" w:hAnsi="宋体" w:eastAsia="宋体"/>
                <w:sz w:val="16"/>
              </w:rPr>
              <w:t>实际完成情况</w:t>
            </w:r>
          </w:p>
        </w:tc>
      </w:tr>
      <w:tr w14:paraId="042C4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F6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38510">
            <w:pPr>
              <w:jc w:val="both"/>
            </w:pPr>
            <w:r>
              <w:rPr>
                <w:rFonts w:ascii="宋体" w:hAnsi="宋体" w:eastAsia="宋体"/>
                <w:sz w:val="16"/>
              </w:rPr>
              <w:t>该项目资金4万元，其中：财政资金4万元，其他资金0万元，该项目资金主要用于我单位开展党建阵地建设，通过该项目实施保障党建活动顺利完成，提升机关党建工作水平。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7D5BF7">
            <w:pPr>
              <w:jc w:val="both"/>
            </w:pPr>
            <w:r>
              <w:rPr>
                <w:rFonts w:ascii="宋体" w:hAnsi="宋体" w:eastAsia="宋体"/>
                <w:sz w:val="16"/>
              </w:rPr>
              <w:t>截至2024年12月31日，已完成该项目资金4万元，党建阵地维修1次，通过该项目实施保障党建活动顺利完成，提升机关党建工作水平。</w:t>
            </w:r>
          </w:p>
        </w:tc>
      </w:tr>
      <w:tr w14:paraId="4EF5B3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DC5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C8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D6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E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50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75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31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1CD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F1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47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CD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4B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92E9C">
            <w:pPr>
              <w:jc w:val="center"/>
            </w:pPr>
            <w:r>
              <w:rPr>
                <w:rFonts w:ascii="宋体" w:hAnsi="宋体" w:eastAsia="宋体"/>
                <w:sz w:val="16"/>
              </w:rPr>
              <w:t>偏差原因分析及改进措施</w:t>
            </w:r>
          </w:p>
        </w:tc>
      </w:tr>
      <w:tr w14:paraId="040F7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CCA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0A93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0D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C6E9">
            <w:pPr>
              <w:jc w:val="center"/>
            </w:pPr>
            <w:r>
              <w:rPr>
                <w:rFonts w:ascii="宋体" w:hAnsi="宋体" w:eastAsia="宋体"/>
                <w:sz w:val="16"/>
              </w:rPr>
              <w:t>党建阵地维修（次）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DB4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6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C27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A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5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1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D99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4D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55992">
            <w:pPr>
              <w:jc w:val="center"/>
            </w:pPr>
          </w:p>
        </w:tc>
      </w:tr>
      <w:tr w14:paraId="0AF31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B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2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7E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82875">
            <w:pPr>
              <w:jc w:val="center"/>
            </w:pPr>
            <w:r>
              <w:rPr>
                <w:rFonts w:ascii="宋体" w:hAnsi="宋体" w:eastAsia="宋体"/>
                <w:sz w:val="16"/>
              </w:rPr>
              <w:t>党建阵地维修合格率（%）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6D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7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5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F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0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B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B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29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5B0F5">
            <w:pPr>
              <w:jc w:val="center"/>
            </w:pPr>
          </w:p>
        </w:tc>
      </w:tr>
      <w:tr w14:paraId="4BB2F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C1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2D7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1C3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D700">
            <w:pPr>
              <w:jc w:val="center"/>
            </w:pPr>
            <w:r>
              <w:rPr>
                <w:rFonts w:ascii="宋体" w:hAnsi="宋体" w:eastAsia="宋体"/>
                <w:sz w:val="16"/>
              </w:rPr>
              <w:t>党建阵地维修完成及时率（%）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8A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D1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82B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F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6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9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5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9E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7D08C">
            <w:pPr>
              <w:jc w:val="center"/>
            </w:pPr>
          </w:p>
        </w:tc>
      </w:tr>
      <w:tr w14:paraId="7418B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D1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CF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82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F3A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8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3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BE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D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BFC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B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9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FC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3DB88">
            <w:pPr>
              <w:jc w:val="center"/>
            </w:pPr>
          </w:p>
        </w:tc>
      </w:tr>
      <w:tr w14:paraId="17E64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880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AF6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DB3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FA8B6">
            <w:pPr>
              <w:jc w:val="center"/>
            </w:pPr>
            <w:r>
              <w:rPr>
                <w:rFonts w:ascii="宋体" w:hAnsi="宋体" w:eastAsia="宋体"/>
                <w:sz w:val="16"/>
              </w:rPr>
              <w:t>党建阵地维修成本（万元）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3A8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84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8E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3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6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28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454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D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51866">
            <w:pPr>
              <w:jc w:val="center"/>
            </w:pPr>
          </w:p>
        </w:tc>
      </w:tr>
      <w:tr w14:paraId="247DD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E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66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C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2040">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104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33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F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B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A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0D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58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EF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64D3">
            <w:pPr>
              <w:jc w:val="center"/>
            </w:pPr>
          </w:p>
        </w:tc>
      </w:tr>
      <w:tr w14:paraId="3364D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EA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AA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D3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945F">
            <w:pPr>
              <w:jc w:val="center"/>
            </w:pPr>
            <w:r>
              <w:rPr>
                <w:rFonts w:ascii="宋体" w:hAnsi="宋体" w:eastAsia="宋体"/>
                <w:sz w:val="16"/>
              </w:rPr>
              <w:t>提高阵地利用率（%）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2C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2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E5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88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03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51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CC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2E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4CD8C">
            <w:pPr>
              <w:jc w:val="center"/>
            </w:pPr>
          </w:p>
        </w:tc>
      </w:tr>
      <w:tr w14:paraId="584EC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89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30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42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5A41">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17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3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0C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D3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6E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B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8C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49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E0D69">
            <w:pPr>
              <w:jc w:val="center"/>
            </w:pPr>
          </w:p>
        </w:tc>
      </w:tr>
      <w:tr w14:paraId="625BA0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8F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9C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E5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153544">
            <w:pPr>
              <w:jc w:val="center"/>
            </w:pPr>
            <w:r>
              <w:rPr>
                <w:rFonts w:ascii="宋体" w:hAnsi="宋体" w:eastAsia="宋体"/>
                <w:sz w:val="16"/>
              </w:rPr>
              <w:t>100分</w:t>
            </w:r>
          </w:p>
        </w:tc>
      </w:tr>
    </w:tbl>
    <w:p w14:paraId="55B1D7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02E04052">
        <w:tblPrEx>
          <w:tblCellMar>
            <w:top w:w="0" w:type="dxa"/>
            <w:left w:w="108" w:type="dxa"/>
            <w:bottom w:w="0" w:type="dxa"/>
            <w:right w:w="108" w:type="dxa"/>
          </w:tblCellMar>
        </w:tblPrEx>
        <w:tc>
          <w:tcPr>
            <w:tcW w:w="8848" w:type="dxa"/>
            <w:gridSpan w:val="14"/>
            <w:vAlign w:val="center"/>
          </w:tcPr>
          <w:p w14:paraId="151FFD72">
            <w:pPr>
              <w:jc w:val="center"/>
            </w:pPr>
            <w:r>
              <w:rPr>
                <w:rFonts w:ascii="宋体" w:hAnsi="宋体" w:eastAsia="宋体"/>
                <w:sz w:val="24"/>
              </w:rPr>
              <w:t>项目支出绩效自评表</w:t>
            </w:r>
          </w:p>
        </w:tc>
      </w:tr>
      <w:tr w14:paraId="019D94BE">
        <w:tblPrEx>
          <w:tblCellMar>
            <w:top w:w="0" w:type="dxa"/>
            <w:left w:w="108" w:type="dxa"/>
            <w:bottom w:w="0" w:type="dxa"/>
            <w:right w:w="108" w:type="dxa"/>
          </w:tblCellMar>
        </w:tblPrEx>
        <w:tc>
          <w:tcPr>
            <w:tcW w:w="8848" w:type="dxa"/>
            <w:gridSpan w:val="14"/>
            <w:vAlign w:val="center"/>
          </w:tcPr>
          <w:p w14:paraId="1BA854E9">
            <w:pPr>
              <w:jc w:val="center"/>
            </w:pPr>
            <w:r>
              <w:rPr>
                <w:rFonts w:ascii="宋体" w:hAnsi="宋体" w:eastAsia="宋体"/>
                <w:sz w:val="24"/>
              </w:rPr>
              <w:t>(2024年度)</w:t>
            </w:r>
          </w:p>
        </w:tc>
      </w:tr>
      <w:tr w14:paraId="3ED375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6A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062780">
            <w:pPr>
              <w:jc w:val="center"/>
            </w:pPr>
            <w:r>
              <w:rPr>
                <w:rFonts w:ascii="宋体" w:hAnsi="宋体" w:eastAsia="宋体"/>
                <w:sz w:val="16"/>
              </w:rPr>
              <w:t>党建活动经费</w:t>
            </w:r>
          </w:p>
        </w:tc>
      </w:tr>
      <w:tr w14:paraId="6083DF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9F2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9E23F">
            <w:pPr>
              <w:jc w:val="center"/>
            </w:pPr>
            <w:r>
              <w:rPr>
                <w:rFonts w:ascii="宋体" w:hAnsi="宋体" w:eastAsia="宋体"/>
                <w:sz w:val="16"/>
              </w:rPr>
              <w:t>中共克孜勒苏柯尔克孜自治州直属机关工作委员会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2A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87F09">
            <w:pPr>
              <w:jc w:val="center"/>
            </w:pPr>
            <w:r>
              <w:rPr>
                <w:rFonts w:ascii="宋体" w:hAnsi="宋体" w:eastAsia="宋体"/>
                <w:sz w:val="16"/>
              </w:rPr>
              <w:t>中共克孜勒苏柯尔克孜自治州直属机关工作委员会</w:t>
            </w:r>
          </w:p>
        </w:tc>
      </w:tr>
      <w:tr w14:paraId="7CF0E7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B6B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595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3A5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4EB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6F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DBB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191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87A0">
            <w:pPr>
              <w:jc w:val="center"/>
            </w:pPr>
            <w:r>
              <w:rPr>
                <w:rFonts w:ascii="宋体" w:hAnsi="宋体" w:eastAsia="宋体"/>
                <w:sz w:val="16"/>
              </w:rPr>
              <w:t>得分</w:t>
            </w:r>
          </w:p>
        </w:tc>
      </w:tr>
      <w:tr w14:paraId="6EF4D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B4A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1D9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0F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1A72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2440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63B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71C9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BF03">
            <w:pPr>
              <w:jc w:val="center"/>
            </w:pPr>
            <w:r>
              <w:rPr>
                <w:rFonts w:ascii="宋体" w:hAnsi="宋体" w:eastAsia="宋体"/>
                <w:sz w:val="16"/>
              </w:rPr>
              <w:t>10.00分</w:t>
            </w:r>
          </w:p>
        </w:tc>
      </w:tr>
      <w:tr w14:paraId="547EE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7C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582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CBB1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4110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5584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B0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E95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C59A">
            <w:pPr>
              <w:jc w:val="center"/>
            </w:pPr>
            <w:r>
              <w:rPr>
                <w:rFonts w:ascii="宋体" w:hAnsi="宋体" w:eastAsia="宋体"/>
                <w:sz w:val="16"/>
              </w:rPr>
              <w:t>—</w:t>
            </w:r>
          </w:p>
        </w:tc>
      </w:tr>
      <w:tr w14:paraId="2AA53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C9A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E4F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70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25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67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F5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46A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73A7">
            <w:pPr>
              <w:jc w:val="center"/>
            </w:pPr>
            <w:r>
              <w:rPr>
                <w:rFonts w:ascii="宋体" w:hAnsi="宋体" w:eastAsia="宋体"/>
                <w:sz w:val="16"/>
              </w:rPr>
              <w:t>—</w:t>
            </w:r>
          </w:p>
        </w:tc>
      </w:tr>
      <w:tr w14:paraId="794D51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C0A0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F064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10CA0">
            <w:pPr>
              <w:jc w:val="center"/>
            </w:pPr>
            <w:r>
              <w:rPr>
                <w:rFonts w:ascii="宋体" w:hAnsi="宋体" w:eastAsia="宋体"/>
                <w:sz w:val="16"/>
              </w:rPr>
              <w:t>实际完成情况</w:t>
            </w:r>
          </w:p>
        </w:tc>
      </w:tr>
      <w:tr w14:paraId="26F6A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9BF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DB679">
            <w:pPr>
              <w:jc w:val="both"/>
            </w:pPr>
            <w:r>
              <w:rPr>
                <w:rFonts w:ascii="宋体" w:hAnsi="宋体" w:eastAsia="宋体"/>
                <w:sz w:val="16"/>
              </w:rPr>
              <w:t>该项目资金10万元，其中：财政资金10万元，其他资金0万元，该项目资金主要用于我单位开展党建活动印刷和党建工作开展、</w:t>
            </w:r>
            <w:r>
              <w:rPr>
                <w:rFonts w:hint="eastAsia" w:ascii="宋体" w:hAnsi="宋体"/>
                <w:sz w:val="16"/>
                <w:lang w:eastAsia="zh-CN"/>
              </w:rPr>
              <w:t>党内政治文化</w:t>
            </w:r>
            <w:r>
              <w:rPr>
                <w:rFonts w:ascii="宋体" w:hAnsi="宋体" w:eastAsia="宋体"/>
                <w:sz w:val="16"/>
              </w:rPr>
              <w:t>、党建信息化平台费用及其他。通过该项目实施保障党建活动顺利完成，提升机关党建工作水平。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F2495">
            <w:pPr>
              <w:jc w:val="both"/>
            </w:pPr>
            <w:r>
              <w:rPr>
                <w:rFonts w:ascii="宋体" w:hAnsi="宋体" w:eastAsia="宋体"/>
                <w:sz w:val="16"/>
              </w:rPr>
              <w:t>截至2024年12月31日，已完成该项目资金10万元，党建阵地建设3次,印刷党建材料4次，举办</w:t>
            </w:r>
            <w:r>
              <w:rPr>
                <w:rFonts w:hint="eastAsia" w:ascii="宋体" w:hAnsi="宋体"/>
                <w:sz w:val="16"/>
                <w:lang w:eastAsia="zh-CN"/>
              </w:rPr>
              <w:t>党内政治文化</w:t>
            </w:r>
            <w:r>
              <w:rPr>
                <w:rFonts w:ascii="宋体" w:hAnsi="宋体" w:eastAsia="宋体"/>
                <w:sz w:val="16"/>
              </w:rPr>
              <w:t>活动4次，党建信息平台及党刊征订2次。通过该项目实施保障党建活动顺利完成，提升机关党建工作水平</w:t>
            </w:r>
          </w:p>
        </w:tc>
      </w:tr>
      <w:tr w14:paraId="27A854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E28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C6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49F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A7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52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D3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0E9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58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78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81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5F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D4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C2D48">
            <w:pPr>
              <w:jc w:val="center"/>
            </w:pPr>
            <w:r>
              <w:rPr>
                <w:rFonts w:ascii="宋体" w:hAnsi="宋体" w:eastAsia="宋体"/>
                <w:sz w:val="16"/>
              </w:rPr>
              <w:t>偏差原因分析及改进措施</w:t>
            </w:r>
          </w:p>
        </w:tc>
      </w:tr>
      <w:tr w14:paraId="59ADCB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B70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4B7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616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5DF9">
            <w:pPr>
              <w:jc w:val="center"/>
            </w:pPr>
            <w:r>
              <w:rPr>
                <w:rFonts w:ascii="宋体" w:hAnsi="宋体" w:eastAsia="宋体"/>
                <w:sz w:val="16"/>
              </w:rPr>
              <w:t>党建阵地建设次数（次）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E1C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9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D98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B7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6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D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B89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B9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2B85E">
            <w:pPr>
              <w:jc w:val="center"/>
            </w:pPr>
          </w:p>
        </w:tc>
      </w:tr>
      <w:tr w14:paraId="492FB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90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5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63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A46D">
            <w:pPr>
              <w:jc w:val="center"/>
            </w:pPr>
            <w:r>
              <w:rPr>
                <w:rFonts w:ascii="宋体" w:hAnsi="宋体" w:eastAsia="宋体"/>
                <w:sz w:val="16"/>
              </w:rPr>
              <w:t>印刷党建材料次数（次）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B9B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E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2170">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7D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6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7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61B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DC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B551D">
            <w:pPr>
              <w:jc w:val="center"/>
            </w:pPr>
          </w:p>
        </w:tc>
      </w:tr>
      <w:tr w14:paraId="0FE8D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CD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49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0E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3E5B">
            <w:pPr>
              <w:jc w:val="center"/>
            </w:pPr>
            <w:r>
              <w:rPr>
                <w:rFonts w:ascii="宋体" w:hAnsi="宋体" w:eastAsia="宋体"/>
                <w:sz w:val="16"/>
              </w:rPr>
              <w:t>举办</w:t>
            </w:r>
            <w:r>
              <w:rPr>
                <w:rFonts w:hint="eastAsia" w:ascii="宋体" w:hAnsi="宋体"/>
                <w:sz w:val="16"/>
                <w:lang w:eastAsia="zh-CN"/>
              </w:rPr>
              <w:t>党内政治文化</w:t>
            </w:r>
            <w:r>
              <w:rPr>
                <w:rFonts w:ascii="宋体" w:hAnsi="宋体" w:eastAsia="宋体"/>
                <w:sz w:val="16"/>
              </w:rPr>
              <w:t>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D24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9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C64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6A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7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9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2E50">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4C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3AA6E">
            <w:pPr>
              <w:jc w:val="center"/>
            </w:pPr>
          </w:p>
        </w:tc>
      </w:tr>
      <w:tr w14:paraId="197BE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14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5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1A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1C0C">
            <w:pPr>
              <w:jc w:val="center"/>
            </w:pPr>
            <w:r>
              <w:rPr>
                <w:rFonts w:ascii="宋体" w:hAnsi="宋体" w:eastAsia="宋体"/>
                <w:sz w:val="16"/>
              </w:rPr>
              <w:t>党建信息平台及报刊征订次数（次）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49B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6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635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C0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52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0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DA5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05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A0D47">
            <w:pPr>
              <w:jc w:val="center"/>
            </w:pPr>
          </w:p>
        </w:tc>
      </w:tr>
      <w:tr w14:paraId="6AB6C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57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473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605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5F0B">
            <w:pPr>
              <w:jc w:val="center"/>
            </w:pPr>
            <w:r>
              <w:rPr>
                <w:rFonts w:ascii="宋体" w:hAnsi="宋体" w:eastAsia="宋体"/>
                <w:sz w:val="16"/>
              </w:rPr>
              <w:t>党建阵地建设合格率（%）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3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9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A9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4F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C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C3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9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59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C92D">
            <w:pPr>
              <w:jc w:val="center"/>
            </w:pPr>
          </w:p>
        </w:tc>
      </w:tr>
      <w:tr w14:paraId="59155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F8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DF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396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D943">
            <w:pPr>
              <w:jc w:val="center"/>
            </w:pPr>
            <w:r>
              <w:rPr>
                <w:rFonts w:hint="eastAsia" w:ascii="宋体" w:hAnsi="宋体"/>
                <w:sz w:val="16"/>
                <w:lang w:eastAsia="zh-CN"/>
              </w:rPr>
              <w:t>党内政治文化</w:t>
            </w: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3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B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2681">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53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C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250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F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5F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66F51">
            <w:pPr>
              <w:jc w:val="center"/>
            </w:pPr>
          </w:p>
        </w:tc>
      </w:tr>
      <w:tr w14:paraId="5A608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41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2EF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AC9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C429">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69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5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0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1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5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C62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5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7C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E2FEA">
            <w:pPr>
              <w:jc w:val="center"/>
            </w:pPr>
          </w:p>
        </w:tc>
      </w:tr>
      <w:tr w14:paraId="2F6AA9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24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0F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89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07C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C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D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E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EF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A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35F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C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B8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3333B">
            <w:pPr>
              <w:jc w:val="center"/>
            </w:pPr>
          </w:p>
        </w:tc>
      </w:tr>
      <w:tr w14:paraId="47A8A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429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C86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D13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135E">
            <w:pPr>
              <w:jc w:val="center"/>
            </w:pPr>
            <w:r>
              <w:rPr>
                <w:rFonts w:ascii="宋体" w:hAnsi="宋体" w:eastAsia="宋体"/>
                <w:sz w:val="16"/>
              </w:rPr>
              <w:t>党建资料印刷（万元）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F50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BE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35F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1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F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C87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304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80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35061">
            <w:pPr>
              <w:jc w:val="center"/>
            </w:pPr>
          </w:p>
        </w:tc>
      </w:tr>
      <w:tr w14:paraId="4A86E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18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E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21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48EA">
            <w:pPr>
              <w:jc w:val="center"/>
            </w:pPr>
            <w:r>
              <w:rPr>
                <w:rFonts w:ascii="宋体" w:hAnsi="宋体" w:eastAsia="宋体"/>
                <w:sz w:val="16"/>
              </w:rPr>
              <w:t>举办党建活动（万元）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B835">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C3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416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D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E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E1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BD79">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6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193D8">
            <w:pPr>
              <w:jc w:val="center"/>
            </w:pPr>
          </w:p>
        </w:tc>
      </w:tr>
      <w:tr w14:paraId="32690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A5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C0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37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51C2">
            <w:pPr>
              <w:jc w:val="center"/>
            </w:pPr>
            <w:r>
              <w:rPr>
                <w:rFonts w:ascii="宋体" w:hAnsi="宋体" w:eastAsia="宋体"/>
                <w:sz w:val="16"/>
              </w:rPr>
              <w:t>提高政治觉悟，党性修养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3C5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4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E28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0D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B9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82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5AA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C9A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F1AAF">
            <w:pPr>
              <w:jc w:val="center"/>
            </w:pPr>
          </w:p>
        </w:tc>
      </w:tr>
      <w:tr w14:paraId="0D5D7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61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60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AC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F659">
            <w:pPr>
              <w:jc w:val="center"/>
            </w:pPr>
            <w:r>
              <w:rPr>
                <w:rFonts w:ascii="宋体" w:hAnsi="宋体" w:eastAsia="宋体"/>
                <w:sz w:val="16"/>
              </w:rPr>
              <w:t>活动参加人员满意度（%）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D7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0D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7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C5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61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B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70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0F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7545">
            <w:pPr>
              <w:jc w:val="center"/>
            </w:pPr>
          </w:p>
        </w:tc>
      </w:tr>
      <w:tr w14:paraId="65064B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6C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B7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AF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FF3A7">
            <w:pPr>
              <w:jc w:val="center"/>
            </w:pPr>
            <w:r>
              <w:rPr>
                <w:rFonts w:ascii="宋体" w:hAnsi="宋体" w:eastAsia="宋体"/>
                <w:sz w:val="16"/>
              </w:rPr>
              <w:t>100分</w:t>
            </w:r>
          </w:p>
        </w:tc>
      </w:tr>
    </w:tbl>
    <w:p w14:paraId="3BC193A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45B9531">
        <w:tblPrEx>
          <w:tblCellMar>
            <w:top w:w="0" w:type="dxa"/>
            <w:left w:w="108" w:type="dxa"/>
            <w:bottom w:w="0" w:type="dxa"/>
            <w:right w:w="108" w:type="dxa"/>
          </w:tblCellMar>
        </w:tblPrEx>
        <w:tc>
          <w:tcPr>
            <w:tcW w:w="8848" w:type="dxa"/>
            <w:gridSpan w:val="14"/>
            <w:vAlign w:val="center"/>
          </w:tcPr>
          <w:p w14:paraId="2AF0B403">
            <w:pPr>
              <w:jc w:val="center"/>
            </w:pPr>
            <w:r>
              <w:rPr>
                <w:rFonts w:ascii="宋体" w:hAnsi="宋体" w:eastAsia="宋体"/>
                <w:sz w:val="24"/>
              </w:rPr>
              <w:t>项目支出绩效自评表</w:t>
            </w:r>
          </w:p>
        </w:tc>
      </w:tr>
      <w:tr w14:paraId="01A312B8">
        <w:tblPrEx>
          <w:tblCellMar>
            <w:top w:w="0" w:type="dxa"/>
            <w:left w:w="108" w:type="dxa"/>
            <w:bottom w:w="0" w:type="dxa"/>
            <w:right w:w="108" w:type="dxa"/>
          </w:tblCellMar>
        </w:tblPrEx>
        <w:tc>
          <w:tcPr>
            <w:tcW w:w="8848" w:type="dxa"/>
            <w:gridSpan w:val="14"/>
            <w:vAlign w:val="center"/>
          </w:tcPr>
          <w:p w14:paraId="1E3D1B56">
            <w:pPr>
              <w:jc w:val="center"/>
            </w:pPr>
            <w:r>
              <w:rPr>
                <w:rFonts w:ascii="宋体" w:hAnsi="宋体" w:eastAsia="宋体"/>
                <w:sz w:val="24"/>
              </w:rPr>
              <w:t>(2024年度)</w:t>
            </w:r>
          </w:p>
        </w:tc>
      </w:tr>
      <w:tr w14:paraId="1712CD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B0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88281">
            <w:pPr>
              <w:jc w:val="center"/>
            </w:pPr>
            <w:r>
              <w:rPr>
                <w:rFonts w:ascii="宋体" w:hAnsi="宋体" w:eastAsia="宋体"/>
                <w:sz w:val="16"/>
              </w:rPr>
              <w:t>其他资金结余</w:t>
            </w:r>
          </w:p>
        </w:tc>
      </w:tr>
      <w:tr w14:paraId="50B7D4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DB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F95D0">
            <w:pPr>
              <w:jc w:val="center"/>
            </w:pPr>
            <w:r>
              <w:rPr>
                <w:rFonts w:ascii="宋体" w:hAnsi="宋体" w:eastAsia="宋体"/>
                <w:sz w:val="16"/>
              </w:rPr>
              <w:t>中共克孜勒苏柯尔克孜自治州直属机关工作委员会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1E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F3116">
            <w:pPr>
              <w:jc w:val="center"/>
            </w:pPr>
            <w:r>
              <w:rPr>
                <w:rFonts w:ascii="宋体" w:hAnsi="宋体" w:eastAsia="宋体"/>
                <w:sz w:val="16"/>
              </w:rPr>
              <w:t>中共克孜勒苏柯尔克孜自治州直属机关工作委员会</w:t>
            </w:r>
          </w:p>
        </w:tc>
      </w:tr>
      <w:tr w14:paraId="5C97EA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E51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BEC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C87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410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2F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EC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72C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BC43">
            <w:pPr>
              <w:jc w:val="center"/>
            </w:pPr>
            <w:r>
              <w:rPr>
                <w:rFonts w:ascii="宋体" w:hAnsi="宋体" w:eastAsia="宋体"/>
                <w:sz w:val="16"/>
              </w:rPr>
              <w:t>得分</w:t>
            </w:r>
          </w:p>
        </w:tc>
      </w:tr>
      <w:tr w14:paraId="25359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F1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ED1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52F1">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03B5">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4CE28">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EF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6C7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DA13">
            <w:pPr>
              <w:jc w:val="center"/>
            </w:pPr>
            <w:r>
              <w:rPr>
                <w:rFonts w:ascii="宋体" w:hAnsi="宋体" w:eastAsia="宋体"/>
                <w:sz w:val="16"/>
              </w:rPr>
              <w:t>10.00分</w:t>
            </w:r>
          </w:p>
        </w:tc>
      </w:tr>
      <w:tr w14:paraId="2FE44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264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FF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CFA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AFA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B7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E09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D70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9559">
            <w:pPr>
              <w:jc w:val="center"/>
            </w:pPr>
            <w:r>
              <w:rPr>
                <w:rFonts w:ascii="宋体" w:hAnsi="宋体" w:eastAsia="宋体"/>
                <w:sz w:val="16"/>
              </w:rPr>
              <w:t>—</w:t>
            </w:r>
          </w:p>
        </w:tc>
      </w:tr>
      <w:tr w14:paraId="668C9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F30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98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90E5">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31C1D">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DD69">
            <w:pPr>
              <w:jc w:val="center"/>
            </w:pPr>
            <w:r>
              <w:rPr>
                <w:rFonts w:ascii="宋体" w:hAnsi="宋体" w:eastAsia="宋体"/>
                <w:sz w:val="16"/>
              </w:rPr>
              <w:t>0.62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093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36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B258">
            <w:pPr>
              <w:jc w:val="center"/>
            </w:pPr>
            <w:r>
              <w:rPr>
                <w:rFonts w:ascii="宋体" w:hAnsi="宋体" w:eastAsia="宋体"/>
                <w:sz w:val="16"/>
              </w:rPr>
              <w:t>—</w:t>
            </w:r>
          </w:p>
        </w:tc>
      </w:tr>
      <w:tr w14:paraId="25B467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2529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50D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14B3A">
            <w:pPr>
              <w:jc w:val="center"/>
            </w:pPr>
            <w:r>
              <w:rPr>
                <w:rFonts w:ascii="宋体" w:hAnsi="宋体" w:eastAsia="宋体"/>
                <w:sz w:val="16"/>
              </w:rPr>
              <w:t>实际完成情况</w:t>
            </w:r>
          </w:p>
        </w:tc>
      </w:tr>
      <w:tr w14:paraId="5671B5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FFA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7028D">
            <w:pPr>
              <w:jc w:val="both"/>
            </w:pPr>
            <w:r>
              <w:rPr>
                <w:rFonts w:ascii="宋体" w:hAnsi="宋体" w:eastAsia="宋体"/>
                <w:sz w:val="16"/>
              </w:rPr>
              <w:t>该项目资金投入总额0.621881万元，其中：财政资金0万元，其他资金0.621881万元。主要用于资金收付及其工资、奖金和现金的支取。通过该项目的实施，确保了住房公积金队伍人员稳定，夯实单位业务基础，提升机关工委业务办理水平，有助于顺利开展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F5034">
            <w:pPr>
              <w:jc w:val="both"/>
            </w:pPr>
            <w:r>
              <w:rPr>
                <w:rFonts w:hint="eastAsia" w:ascii="宋体" w:hAnsi="宋体"/>
                <w:sz w:val="16"/>
                <w:lang w:eastAsia="zh-CN"/>
              </w:rPr>
              <w:t>截至</w:t>
            </w:r>
            <w:r>
              <w:rPr>
                <w:rFonts w:ascii="宋体" w:hAnsi="宋体" w:eastAsia="宋体"/>
                <w:sz w:val="16"/>
              </w:rPr>
              <w:t>2024年12月31日，已完成该项目资金0.62万元，本单位在职人员11人，通过该项目的实施，确保了住房公积金队伍人员稳定，夯实单位业务基础，提升机关工委业务办理水平，有助于顺利开展各项工作。</w:t>
            </w:r>
          </w:p>
        </w:tc>
      </w:tr>
      <w:tr w14:paraId="5AA81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E8E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BF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3E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B60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EB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A9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36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72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19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70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0FC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DFA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0D14">
            <w:pPr>
              <w:jc w:val="center"/>
            </w:pPr>
            <w:r>
              <w:rPr>
                <w:rFonts w:ascii="宋体" w:hAnsi="宋体" w:eastAsia="宋体"/>
                <w:sz w:val="16"/>
              </w:rPr>
              <w:t>偏差原因分析及改进措施</w:t>
            </w:r>
          </w:p>
        </w:tc>
      </w:tr>
      <w:tr w14:paraId="2947E9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C0F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34B2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87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B2FF">
            <w:pPr>
              <w:jc w:val="center"/>
            </w:pPr>
            <w:r>
              <w:rPr>
                <w:rFonts w:ascii="宋体" w:hAnsi="宋体" w:eastAsia="宋体"/>
                <w:sz w:val="16"/>
              </w:rPr>
              <w:t>工委在职人员（人）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F0E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F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20FF">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C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3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40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EA0F">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7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EED6E">
            <w:pPr>
              <w:jc w:val="center"/>
            </w:pPr>
          </w:p>
        </w:tc>
      </w:tr>
      <w:tr w14:paraId="76B7C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62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79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0C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364C">
            <w:pPr>
              <w:jc w:val="center"/>
            </w:pPr>
            <w:r>
              <w:rPr>
                <w:rFonts w:ascii="宋体" w:hAnsi="宋体" w:eastAsia="宋体"/>
                <w:sz w:val="16"/>
              </w:rPr>
              <w:t>提高业务效能和工作效率（%）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9F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72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A1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EE9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A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E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9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807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B6673">
            <w:pPr>
              <w:jc w:val="center"/>
            </w:pPr>
          </w:p>
        </w:tc>
      </w:tr>
      <w:tr w14:paraId="7B1D2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72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7F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AF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C415">
            <w:pPr>
              <w:jc w:val="center"/>
            </w:pPr>
            <w:r>
              <w:rPr>
                <w:rFonts w:ascii="宋体" w:hAnsi="宋体" w:eastAsia="宋体"/>
                <w:sz w:val="16"/>
              </w:rPr>
              <w:t>项目实施周期（月）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C2CF">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0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CA5B">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5D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2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BE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E6F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B5B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7E2EA">
            <w:pPr>
              <w:jc w:val="center"/>
            </w:pPr>
          </w:p>
        </w:tc>
      </w:tr>
      <w:tr w14:paraId="06D89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278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73F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31F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A70F">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FE2E">
            <w:pPr>
              <w:jc w:val="center"/>
            </w:pPr>
            <w:r>
              <w:rPr>
                <w:rFonts w:ascii="宋体" w:hAnsi="宋体" w:eastAsia="宋体"/>
                <w:sz w:val="16"/>
              </w:rPr>
              <w:t>&lt;=0.4万元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A2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5046">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68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7A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36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4082">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B4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6F774">
            <w:pPr>
              <w:jc w:val="center"/>
            </w:pPr>
          </w:p>
        </w:tc>
      </w:tr>
      <w:tr w14:paraId="5953E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947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2D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DBD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D120">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976E">
            <w:pPr>
              <w:jc w:val="center"/>
            </w:pPr>
            <w:r>
              <w:rPr>
                <w:rFonts w:ascii="宋体" w:hAnsi="宋体" w:eastAsia="宋体"/>
                <w:sz w:val="16"/>
              </w:rPr>
              <w:t>&lt;=0.22万元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A7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74D4">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6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65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AE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339A">
            <w:pPr>
              <w:jc w:val="center"/>
            </w:pPr>
            <w:r>
              <w:rPr>
                <w:rFonts w:ascii="宋体" w:hAnsi="宋体" w:eastAsia="宋体"/>
                <w:sz w:val="16"/>
              </w:rPr>
              <w:t>=0.22万元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71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BEA2">
            <w:pPr>
              <w:jc w:val="center"/>
            </w:pPr>
          </w:p>
        </w:tc>
      </w:tr>
      <w:tr w14:paraId="219CF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CF9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B957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407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1122">
            <w:pPr>
              <w:jc w:val="center"/>
            </w:pPr>
            <w:r>
              <w:rPr>
                <w:rFonts w:ascii="宋体" w:hAnsi="宋体" w:eastAsia="宋体"/>
                <w:sz w:val="16"/>
              </w:rPr>
              <w:t>提升机关工委业务办理水平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F6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E8C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340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B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72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A7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F51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0E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7F90C">
            <w:pPr>
              <w:jc w:val="center"/>
            </w:pPr>
          </w:p>
        </w:tc>
      </w:tr>
      <w:tr w14:paraId="4EC99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629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833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7C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4932">
            <w:pPr>
              <w:jc w:val="center"/>
            </w:pPr>
            <w:r>
              <w:rPr>
                <w:rFonts w:ascii="宋体" w:hAnsi="宋体" w:eastAsia="宋体"/>
                <w:sz w:val="16"/>
              </w:rPr>
              <w:t>夯实单位业务基础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779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02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01DE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C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49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E2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7EB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4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32E28">
            <w:pPr>
              <w:jc w:val="center"/>
            </w:pPr>
          </w:p>
        </w:tc>
      </w:tr>
      <w:tr w14:paraId="2D5AF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C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38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04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412F">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C1AF">
            <w:pPr>
              <w:jc w:val="center"/>
            </w:pPr>
            <w:r>
              <w:rPr>
                <w:rFonts w:ascii="宋体" w:hAnsi="宋体" w:eastAsia="宋体"/>
                <w:sz w:val="16"/>
              </w:rPr>
              <w:t>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C29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8F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5C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BC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1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A5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16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2FFAD">
            <w:pPr>
              <w:jc w:val="center"/>
            </w:pPr>
          </w:p>
        </w:tc>
      </w:tr>
      <w:tr w14:paraId="7F03F2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05F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AE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64A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B2810">
            <w:pPr>
              <w:jc w:val="center"/>
            </w:pPr>
            <w:r>
              <w:rPr>
                <w:rFonts w:ascii="宋体" w:hAnsi="宋体" w:eastAsia="宋体"/>
                <w:sz w:val="16"/>
              </w:rPr>
              <w:t>100分</w:t>
            </w:r>
          </w:p>
        </w:tc>
      </w:tr>
    </w:tbl>
    <w:p w14:paraId="0CEB9A11">
      <w:r>
        <w:br w:type="page"/>
      </w:r>
    </w:p>
    <w:p w14:paraId="203F8B42">
      <w:pPr>
        <w:spacing w:line="640" w:lineRule="exact"/>
        <w:ind w:firstLine="640"/>
        <w:jc w:val="both"/>
        <w:outlineLvl w:val="2"/>
      </w:pPr>
      <w:r>
        <w:rPr>
          <w:rFonts w:ascii="黑体" w:hAnsi="黑体" w:eastAsia="黑体"/>
          <w:sz w:val="32"/>
        </w:rPr>
        <w:t>十二、其他需说明的事项</w:t>
      </w:r>
    </w:p>
    <w:p w14:paraId="3A4DB164">
      <w:pPr>
        <w:spacing w:line="580" w:lineRule="exact"/>
        <w:ind w:firstLine="640"/>
        <w:jc w:val="both"/>
      </w:pPr>
      <w:r>
        <w:rPr>
          <w:rFonts w:ascii="仿宋_GB2312" w:hAnsi="仿宋_GB2312" w:eastAsia="仿宋_GB2312"/>
          <w:b w:val="0"/>
          <w:sz w:val="32"/>
        </w:rPr>
        <w:t>本单位无其他需说明的事项。</w:t>
      </w:r>
    </w:p>
    <w:p w14:paraId="50DF23DE">
      <w:r>
        <w:br w:type="page"/>
      </w:r>
    </w:p>
    <w:p w14:paraId="02F6B5A8">
      <w:pPr>
        <w:spacing w:line="240" w:lineRule="auto"/>
        <w:jc w:val="center"/>
        <w:outlineLvl w:val="1"/>
      </w:pPr>
      <w:r>
        <w:rPr>
          <w:rFonts w:ascii="黑体" w:hAnsi="黑体" w:eastAsia="黑体"/>
          <w:sz w:val="32"/>
        </w:rPr>
        <w:t>第三部分 专业名词解释</w:t>
      </w:r>
    </w:p>
    <w:p w14:paraId="689D2E6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2C294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9B3A0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AB5257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C05ED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67510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FE27C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A073B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2DEA8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ED99E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41F93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C09E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D6F36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1A6A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AA0CAFA">
      <w:r>
        <w:br w:type="page"/>
      </w:r>
    </w:p>
    <w:p w14:paraId="73656F78">
      <w:pPr>
        <w:spacing w:line="240" w:lineRule="auto"/>
        <w:jc w:val="center"/>
        <w:outlineLvl w:val="1"/>
      </w:pPr>
      <w:r>
        <w:rPr>
          <w:rFonts w:ascii="黑体" w:hAnsi="黑体" w:eastAsia="黑体"/>
          <w:sz w:val="32"/>
        </w:rPr>
        <w:t>第四部分 部门决算报表（见附表）</w:t>
      </w:r>
    </w:p>
    <w:p w14:paraId="5BA7C8FC">
      <w:pPr>
        <w:spacing w:line="240" w:lineRule="auto"/>
        <w:ind w:firstLine="640"/>
        <w:jc w:val="both"/>
      </w:pPr>
      <w:r>
        <w:rPr>
          <w:rFonts w:ascii="仿宋_GB2312" w:hAnsi="仿宋_GB2312" w:eastAsia="仿宋_GB2312"/>
          <w:b w:val="0"/>
          <w:sz w:val="32"/>
        </w:rPr>
        <w:t>一、《收入支出决算总表》</w:t>
      </w:r>
    </w:p>
    <w:p w14:paraId="47AD499B">
      <w:pPr>
        <w:spacing w:line="240" w:lineRule="auto"/>
        <w:ind w:firstLine="640"/>
        <w:jc w:val="both"/>
      </w:pPr>
      <w:r>
        <w:rPr>
          <w:rFonts w:ascii="仿宋_GB2312" w:hAnsi="仿宋_GB2312" w:eastAsia="仿宋_GB2312"/>
          <w:b w:val="0"/>
          <w:sz w:val="32"/>
        </w:rPr>
        <w:t>二、《收入决算表》</w:t>
      </w:r>
    </w:p>
    <w:p w14:paraId="3A064112">
      <w:pPr>
        <w:spacing w:line="240" w:lineRule="auto"/>
        <w:ind w:firstLine="640"/>
        <w:jc w:val="both"/>
      </w:pPr>
      <w:r>
        <w:rPr>
          <w:rFonts w:ascii="仿宋_GB2312" w:hAnsi="仿宋_GB2312" w:eastAsia="仿宋_GB2312"/>
          <w:b w:val="0"/>
          <w:sz w:val="32"/>
        </w:rPr>
        <w:t>三、《支出决算表》</w:t>
      </w:r>
    </w:p>
    <w:p w14:paraId="3345AD0E">
      <w:pPr>
        <w:spacing w:line="240" w:lineRule="auto"/>
        <w:ind w:firstLine="640"/>
        <w:jc w:val="both"/>
      </w:pPr>
      <w:r>
        <w:rPr>
          <w:rFonts w:ascii="仿宋_GB2312" w:hAnsi="仿宋_GB2312" w:eastAsia="仿宋_GB2312"/>
          <w:b w:val="0"/>
          <w:sz w:val="32"/>
        </w:rPr>
        <w:t>四、《财政拨款收入支出决算总表》</w:t>
      </w:r>
    </w:p>
    <w:p w14:paraId="32B1C073">
      <w:pPr>
        <w:spacing w:line="240" w:lineRule="auto"/>
        <w:ind w:firstLine="640"/>
        <w:jc w:val="both"/>
      </w:pPr>
      <w:r>
        <w:rPr>
          <w:rFonts w:ascii="仿宋_GB2312" w:hAnsi="仿宋_GB2312" w:eastAsia="仿宋_GB2312"/>
          <w:b w:val="0"/>
          <w:sz w:val="32"/>
        </w:rPr>
        <w:t>五、《一般公共预算财政拨款支出决算表》</w:t>
      </w:r>
    </w:p>
    <w:p w14:paraId="0FBC07AD">
      <w:pPr>
        <w:spacing w:line="240" w:lineRule="auto"/>
        <w:ind w:firstLine="640"/>
        <w:jc w:val="both"/>
      </w:pPr>
      <w:r>
        <w:rPr>
          <w:rFonts w:ascii="仿宋_GB2312" w:hAnsi="仿宋_GB2312" w:eastAsia="仿宋_GB2312"/>
          <w:b w:val="0"/>
          <w:sz w:val="32"/>
        </w:rPr>
        <w:t>六、《一般公共预算财政拨款基本支出决算表》</w:t>
      </w:r>
    </w:p>
    <w:p w14:paraId="6E7F9F39">
      <w:pPr>
        <w:spacing w:line="240" w:lineRule="auto"/>
        <w:ind w:firstLine="640"/>
        <w:jc w:val="both"/>
      </w:pPr>
      <w:r>
        <w:rPr>
          <w:rFonts w:ascii="仿宋_GB2312" w:hAnsi="仿宋_GB2312" w:eastAsia="仿宋_GB2312"/>
          <w:b w:val="0"/>
          <w:sz w:val="32"/>
        </w:rPr>
        <w:t>七、《政府性基金预算财政拨款收入支出决算表》</w:t>
      </w:r>
    </w:p>
    <w:p w14:paraId="43D5FB77">
      <w:pPr>
        <w:spacing w:line="240" w:lineRule="auto"/>
        <w:ind w:firstLine="640"/>
        <w:jc w:val="both"/>
      </w:pPr>
      <w:r>
        <w:rPr>
          <w:rFonts w:ascii="仿宋_GB2312" w:hAnsi="仿宋_GB2312" w:eastAsia="仿宋_GB2312"/>
          <w:b w:val="0"/>
          <w:sz w:val="32"/>
        </w:rPr>
        <w:t>八、《国有资本经营预算财政拨款收入支出决算表》</w:t>
      </w:r>
    </w:p>
    <w:p w14:paraId="0E508E04">
      <w:pPr>
        <w:spacing w:line="240" w:lineRule="auto"/>
        <w:ind w:firstLine="640"/>
        <w:jc w:val="both"/>
      </w:pPr>
      <w:r>
        <w:rPr>
          <w:rFonts w:ascii="仿宋_GB2312" w:hAnsi="仿宋_GB2312" w:eastAsia="仿宋_GB2312"/>
          <w:b w:val="0"/>
          <w:sz w:val="32"/>
        </w:rPr>
        <w:t>九、《财政拨款“三公”经费支出决算表》</w:t>
      </w:r>
    </w:p>
    <w:p w14:paraId="1D67A633">
      <w:pPr>
        <w:spacing w:line="240" w:lineRule="auto"/>
        <w:ind w:firstLine="640"/>
        <w:jc w:val="both"/>
      </w:pPr>
    </w:p>
    <w:p w14:paraId="12B7F8D4">
      <w:pPr>
        <w:spacing w:line="240" w:lineRule="auto"/>
        <w:ind w:firstLine="640"/>
        <w:jc w:val="both"/>
      </w:pPr>
    </w:p>
    <w:p w14:paraId="2480C8B1">
      <w:pPr>
        <w:spacing w:line="240" w:lineRule="auto"/>
        <w:ind w:firstLine="640"/>
        <w:jc w:val="both"/>
      </w:pPr>
    </w:p>
    <w:p w14:paraId="4FB065E6">
      <w:pPr>
        <w:spacing w:line="240" w:lineRule="auto"/>
        <w:ind w:firstLine="640"/>
        <w:jc w:val="both"/>
      </w:pPr>
    </w:p>
    <w:p w14:paraId="43B9782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FD391B-C2CC-4468-B5BF-4F6E439202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6624A86-CEA1-4C49-9BB2-04223EA61391}"/>
  </w:font>
  <w:font w:name="仿宋_GB2312">
    <w:panose1 w:val="02010609030101010101"/>
    <w:charset w:val="86"/>
    <w:family w:val="modern"/>
    <w:pitch w:val="default"/>
    <w:sig w:usb0="00000001" w:usb1="080E0000" w:usb2="00000000" w:usb3="00000000" w:csb0="00040000" w:csb1="00000000"/>
    <w:embedRegular r:id="rId3" w:fontKey="{3CF211F4-E892-4253-9FAB-C6C42712525A}"/>
  </w:font>
  <w:font w:name="楷体_GB2312">
    <w:panose1 w:val="02010609030101010101"/>
    <w:charset w:val="86"/>
    <w:family w:val="auto"/>
    <w:pitch w:val="default"/>
    <w:sig w:usb0="00000001" w:usb1="080E0000" w:usb2="00000000" w:usb3="00000000" w:csb0="00040000" w:csb1="00000000"/>
    <w:embedRegular r:id="rId4" w:fontKey="{41B9F901-F043-4069-9161-F7A91374C7D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5861F2"/>
    <w:rsid w:val="25275618"/>
    <w:rsid w:val="269D75A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0B7F54"/>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58200D"/>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4582</Words>
  <Characters>5190</Characters>
  <Lines>0</Lines>
  <Paragraphs>0</Paragraphs>
  <TotalTime>11</TotalTime>
  <ScaleCrop>false</ScaleCrop>
  <LinksUpToDate>false</LinksUpToDate>
  <CharactersWithSpaces>5198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