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2EBDF6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克孜勒苏柯尔克孜自治州草原监理所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EAA650A">
      <w:r>
        <w:br w:type="page"/>
      </w:r>
    </w:p>
    <w:p w14:paraId="3D44D7F4">
      <w:pPr>
        <w:spacing w:line="640" w:lineRule="exact"/>
        <w:jc w:val="center"/>
        <w:outlineLvl w:val="1"/>
      </w:pPr>
      <w:r>
        <w:rPr>
          <w:rFonts w:ascii="黑体" w:hAnsi="黑体" w:eastAsia="黑体"/>
          <w:sz w:val="32"/>
        </w:rPr>
        <w:t>第一部分 单位概况</w:t>
      </w:r>
    </w:p>
    <w:p w14:paraId="0395E88C">
      <w:pPr>
        <w:spacing w:line="640" w:lineRule="exact"/>
        <w:ind w:firstLine="640"/>
        <w:jc w:val="both"/>
        <w:outlineLvl w:val="2"/>
      </w:pPr>
      <w:r>
        <w:rPr>
          <w:rFonts w:ascii="黑体" w:hAnsi="黑体" w:eastAsia="黑体"/>
          <w:sz w:val="32"/>
        </w:rPr>
        <w:t>一、主要职能</w:t>
      </w:r>
    </w:p>
    <w:p w14:paraId="6B34FFA8">
      <w:pPr>
        <w:spacing w:line="580" w:lineRule="exact"/>
        <w:ind w:firstLine="640"/>
        <w:jc w:val="both"/>
      </w:pPr>
      <w:r>
        <w:rPr>
          <w:rFonts w:ascii="仿宋_GB2312" w:hAnsi="仿宋_GB2312" w:eastAsia="仿宋_GB2312"/>
          <w:sz w:val="32"/>
        </w:rPr>
        <w:t>宣传，贯彻执行国家草原法律法规；履行草原保护的预防职责；受同级政府委托，办理草原权属证明的发放及管理工作；编制草原监理、草原保护工作规划和计划，经批准，发布后组织实施；做好草原资源动态监测相关服务工作。</w:t>
      </w:r>
    </w:p>
    <w:p w14:paraId="1B5519C4">
      <w:pPr>
        <w:spacing w:line="640" w:lineRule="exact"/>
        <w:ind w:firstLine="640"/>
        <w:jc w:val="both"/>
        <w:outlineLvl w:val="2"/>
      </w:pPr>
      <w:r>
        <w:rPr>
          <w:rFonts w:ascii="黑体" w:hAnsi="黑体" w:eastAsia="黑体"/>
          <w:sz w:val="32"/>
        </w:rPr>
        <w:t>二、机构设置及人员情况</w:t>
      </w:r>
    </w:p>
    <w:p w14:paraId="50F5F431">
      <w:pPr>
        <w:spacing w:line="580" w:lineRule="exact"/>
        <w:ind w:firstLine="640"/>
        <w:jc w:val="both"/>
      </w:pPr>
      <w:r>
        <w:rPr>
          <w:rFonts w:ascii="仿宋_GB2312" w:hAnsi="仿宋_GB2312" w:eastAsia="仿宋_GB2312"/>
          <w:sz w:val="32"/>
        </w:rPr>
        <w:t>克孜勒苏柯尔克孜自治州草原监理所2024年度，实有人数35人，其中：在职人员17人，减少2人；离休人员0人，增加0人；退休人员18人,增加2人。</w:t>
      </w:r>
    </w:p>
    <w:p w14:paraId="4F7AC134">
      <w:pPr>
        <w:spacing w:line="580" w:lineRule="exact"/>
        <w:ind w:firstLine="640"/>
        <w:jc w:val="both"/>
      </w:pPr>
      <w:r>
        <w:rPr>
          <w:rFonts w:ascii="仿宋_GB2312" w:hAnsi="仿宋_GB2312" w:eastAsia="仿宋_GB2312"/>
          <w:sz w:val="32"/>
        </w:rPr>
        <w:t>克孜勒苏柯尔克孜自治州草原监理所无下属预算单位，下设4个科室，分别是：办公室、草原资源管理科、草地使用科、草原监理科。</w:t>
      </w:r>
    </w:p>
    <w:p w14:paraId="4DF5F1A2">
      <w:r>
        <w:br w:type="page"/>
      </w:r>
    </w:p>
    <w:p w14:paraId="2EC37FEB">
      <w:pPr>
        <w:spacing w:line="240" w:lineRule="auto"/>
        <w:jc w:val="center"/>
        <w:outlineLvl w:val="1"/>
      </w:pPr>
      <w:r>
        <w:rPr>
          <w:rFonts w:ascii="黑体" w:hAnsi="黑体" w:eastAsia="黑体"/>
          <w:sz w:val="32"/>
        </w:rPr>
        <w:t>第二部分 部门决算情况说明</w:t>
      </w:r>
    </w:p>
    <w:p w14:paraId="3D25351B">
      <w:pPr>
        <w:spacing w:line="640" w:lineRule="exact"/>
        <w:ind w:firstLine="640"/>
        <w:jc w:val="both"/>
        <w:outlineLvl w:val="2"/>
      </w:pPr>
      <w:r>
        <w:rPr>
          <w:rFonts w:ascii="黑体" w:hAnsi="黑体" w:eastAsia="黑体"/>
          <w:sz w:val="32"/>
        </w:rPr>
        <w:t>一、收入支出决算总体情况说明</w:t>
      </w:r>
    </w:p>
    <w:p w14:paraId="5EEE1D6A">
      <w:pPr>
        <w:spacing w:line="580" w:lineRule="exact"/>
        <w:ind w:firstLine="640"/>
        <w:jc w:val="both"/>
      </w:pPr>
      <w:r>
        <w:rPr>
          <w:rFonts w:ascii="仿宋_GB2312" w:hAnsi="仿宋_GB2312" w:eastAsia="仿宋_GB2312"/>
          <w:b/>
          <w:sz w:val="32"/>
        </w:rPr>
        <w:t>2024年度收入总计1,948.12万元，</w:t>
      </w:r>
      <w:r>
        <w:rPr>
          <w:rFonts w:ascii="仿宋_GB2312" w:hAnsi="仿宋_GB2312" w:eastAsia="仿宋_GB2312"/>
          <w:b w:val="0"/>
          <w:sz w:val="32"/>
        </w:rPr>
        <w:t>其中：本年收入合计1,948.08万元，使用非财政拨款结余（含专用结余）0.00万元，年初结转和结余0.04万元。</w:t>
      </w:r>
    </w:p>
    <w:p w14:paraId="7A832366">
      <w:pPr>
        <w:spacing w:line="580" w:lineRule="exact"/>
        <w:ind w:firstLine="640"/>
        <w:jc w:val="both"/>
      </w:pPr>
      <w:r>
        <w:rPr>
          <w:rFonts w:ascii="仿宋_GB2312" w:hAnsi="仿宋_GB2312" w:eastAsia="仿宋_GB2312"/>
          <w:b/>
          <w:sz w:val="32"/>
        </w:rPr>
        <w:t>2024年度支出总计1,948.12万元，</w:t>
      </w:r>
      <w:r>
        <w:rPr>
          <w:rFonts w:ascii="仿宋_GB2312" w:hAnsi="仿宋_GB2312" w:eastAsia="仿宋_GB2312"/>
          <w:b w:val="0"/>
          <w:sz w:val="32"/>
        </w:rPr>
        <w:t>其中：本年支出合计1,947.74万元，结余分配0.00万元，年末结转和结余0.39万元。</w:t>
      </w:r>
    </w:p>
    <w:p w14:paraId="1E5E9101">
      <w:pPr>
        <w:spacing w:line="580" w:lineRule="exact"/>
        <w:ind w:firstLine="640"/>
        <w:jc w:val="both"/>
      </w:pPr>
      <w:r>
        <w:rPr>
          <w:rFonts w:ascii="仿宋_GB2312" w:hAnsi="仿宋_GB2312" w:eastAsia="仿宋_GB2312"/>
          <w:b w:val="0"/>
          <w:sz w:val="32"/>
        </w:rPr>
        <w:t>收入支出总体与上年相比，增加708.35万元，增长57.14%，主要原因是：本年增加草原防火储备物资建设项目。</w:t>
      </w:r>
    </w:p>
    <w:p w14:paraId="6CD4520A">
      <w:pPr>
        <w:spacing w:line="640" w:lineRule="exact"/>
        <w:ind w:firstLine="640"/>
        <w:jc w:val="both"/>
        <w:outlineLvl w:val="2"/>
      </w:pPr>
      <w:r>
        <w:rPr>
          <w:rFonts w:ascii="黑体" w:hAnsi="黑体" w:eastAsia="黑体"/>
          <w:sz w:val="32"/>
        </w:rPr>
        <w:t>二、收入决算情况说明</w:t>
      </w:r>
    </w:p>
    <w:p w14:paraId="74DD9A08">
      <w:pPr>
        <w:spacing w:line="580" w:lineRule="exact"/>
        <w:ind w:firstLine="640"/>
        <w:jc w:val="both"/>
      </w:pPr>
      <w:r>
        <w:rPr>
          <w:rFonts w:ascii="仿宋_GB2312" w:hAnsi="仿宋_GB2312" w:eastAsia="仿宋_GB2312"/>
          <w:b/>
          <w:sz w:val="32"/>
        </w:rPr>
        <w:t>本年收入1,948.08万元，</w:t>
      </w:r>
      <w:r>
        <w:rPr>
          <w:rFonts w:ascii="仿宋_GB2312" w:hAnsi="仿宋_GB2312" w:eastAsia="仿宋_GB2312"/>
          <w:b w:val="0"/>
          <w:sz w:val="32"/>
        </w:rPr>
        <w:t>其中：财政拨款收入1,938.06万元，占99.49%；上级补助收入0.00万元，占0.00%；事业收入0.00万元，占0.00%；经营收入0.00万元，占0.00%；附属单位上缴收入0.00万元，占0.00%；其他收入10.01万元，占0.51%。</w:t>
      </w:r>
    </w:p>
    <w:p w14:paraId="5B31B638">
      <w:pPr>
        <w:spacing w:line="640" w:lineRule="exact"/>
        <w:ind w:firstLine="640"/>
        <w:jc w:val="both"/>
        <w:outlineLvl w:val="2"/>
      </w:pPr>
      <w:r>
        <w:rPr>
          <w:rFonts w:ascii="黑体" w:hAnsi="黑体" w:eastAsia="黑体"/>
          <w:sz w:val="32"/>
        </w:rPr>
        <w:t>三、支出决算情况说明</w:t>
      </w:r>
    </w:p>
    <w:p w14:paraId="14A7AB50">
      <w:pPr>
        <w:spacing w:line="580" w:lineRule="exact"/>
        <w:ind w:firstLine="640"/>
        <w:jc w:val="both"/>
      </w:pPr>
      <w:r>
        <w:rPr>
          <w:rFonts w:ascii="仿宋_GB2312" w:hAnsi="仿宋_GB2312" w:eastAsia="仿宋_GB2312"/>
          <w:b/>
          <w:sz w:val="32"/>
        </w:rPr>
        <w:t>本年支出1,947.74万元，</w:t>
      </w:r>
      <w:r>
        <w:rPr>
          <w:rFonts w:ascii="仿宋_GB2312" w:hAnsi="仿宋_GB2312" w:eastAsia="仿宋_GB2312"/>
          <w:b w:val="0"/>
          <w:sz w:val="32"/>
        </w:rPr>
        <w:t>其中：基本支出405.52万元，占20.82%；项目支出1,542.22万元，占79.18%；上缴上级支出0.00万元，占0.00%；经营支出0.00万元，占0.00%；对附属单位补助支出0.00万元，占0.00%。</w:t>
      </w:r>
    </w:p>
    <w:p w14:paraId="66760822">
      <w:pPr>
        <w:spacing w:line="640" w:lineRule="exact"/>
        <w:ind w:firstLine="640"/>
        <w:jc w:val="both"/>
        <w:outlineLvl w:val="2"/>
      </w:pPr>
      <w:r>
        <w:rPr>
          <w:rFonts w:ascii="黑体" w:hAnsi="黑体" w:eastAsia="黑体"/>
          <w:sz w:val="32"/>
        </w:rPr>
        <w:t>四、财政拨款收入支出决算总体情况说明</w:t>
      </w:r>
    </w:p>
    <w:p w14:paraId="1EB6AE8B">
      <w:pPr>
        <w:spacing w:line="580" w:lineRule="exact"/>
        <w:ind w:firstLine="640"/>
        <w:jc w:val="both"/>
      </w:pPr>
      <w:r>
        <w:rPr>
          <w:rFonts w:ascii="仿宋_GB2312" w:hAnsi="仿宋_GB2312" w:eastAsia="仿宋_GB2312"/>
          <w:b/>
          <w:sz w:val="32"/>
        </w:rPr>
        <w:t>2024年度财政拨款收入总计1,938.06万元，</w:t>
      </w:r>
      <w:r>
        <w:rPr>
          <w:rFonts w:ascii="仿宋_GB2312" w:hAnsi="仿宋_GB2312" w:eastAsia="仿宋_GB2312"/>
          <w:b w:val="0"/>
          <w:sz w:val="32"/>
        </w:rPr>
        <w:t>其中：年初财政拨款结转和结余0.00万元，本年财政拨款收入1,938.06万元。</w:t>
      </w:r>
      <w:r>
        <w:rPr>
          <w:rFonts w:ascii="仿宋_GB2312" w:hAnsi="仿宋_GB2312" w:eastAsia="仿宋_GB2312"/>
          <w:b/>
          <w:sz w:val="32"/>
        </w:rPr>
        <w:t>财政拨款支出总计1,938.06万元，</w:t>
      </w:r>
      <w:r>
        <w:rPr>
          <w:rFonts w:ascii="仿宋_GB2312" w:hAnsi="仿宋_GB2312" w:eastAsia="仿宋_GB2312"/>
          <w:b w:val="0"/>
          <w:sz w:val="32"/>
        </w:rPr>
        <w:t>其中：年末财政拨款结转和结余0.00万元，本年财政拨款支出1,938.06万元。</w:t>
      </w:r>
    </w:p>
    <w:p w14:paraId="49D574C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增加699.47万元，增长56.47%，主要原因是：本年增加草原防火储备物资建设项目。</w:t>
      </w:r>
      <w:r>
        <w:rPr>
          <w:rFonts w:ascii="仿宋_GB2312" w:hAnsi="仿宋_GB2312" w:eastAsia="仿宋_GB2312"/>
          <w:b/>
          <w:sz w:val="32"/>
        </w:rPr>
        <w:t>与年初预算相比，</w:t>
      </w:r>
      <w:r>
        <w:rPr>
          <w:rFonts w:ascii="仿宋_GB2312" w:hAnsi="仿宋_GB2312" w:eastAsia="仿宋_GB2312"/>
          <w:b w:val="0"/>
          <w:sz w:val="32"/>
        </w:rPr>
        <w:t>年初预算数2,263.15万元，决算数1,938.06万元，预决算差异率-14.36%，主要原因是：年中调减草原防火储备物资建设项目资金。</w:t>
      </w:r>
    </w:p>
    <w:p w14:paraId="02D7099E">
      <w:pPr>
        <w:spacing w:line="640" w:lineRule="exact"/>
        <w:ind w:firstLine="640"/>
        <w:jc w:val="both"/>
        <w:outlineLvl w:val="2"/>
      </w:pPr>
      <w:r>
        <w:rPr>
          <w:rFonts w:ascii="黑体" w:hAnsi="黑体" w:eastAsia="黑体"/>
          <w:sz w:val="32"/>
        </w:rPr>
        <w:t>五、一般公共预算财政拨款支出决算情况说明</w:t>
      </w:r>
    </w:p>
    <w:p w14:paraId="44D6DB3A">
      <w:pPr>
        <w:spacing w:line="640" w:lineRule="exact"/>
        <w:ind w:firstLine="640"/>
        <w:jc w:val="both"/>
        <w:outlineLvl w:val="3"/>
      </w:pPr>
      <w:r>
        <w:rPr>
          <w:rFonts w:ascii="楷体_GB2312" w:hAnsi="楷体_GB2312" w:eastAsia="楷体_GB2312"/>
          <w:b/>
          <w:sz w:val="32"/>
        </w:rPr>
        <w:t>（一）一般公共预算财政拨款支出决算总体情况</w:t>
      </w:r>
    </w:p>
    <w:p w14:paraId="344FC120">
      <w:pPr>
        <w:spacing w:line="580" w:lineRule="exact"/>
        <w:ind w:firstLine="640"/>
        <w:jc w:val="both"/>
      </w:pPr>
      <w:r>
        <w:rPr>
          <w:rFonts w:ascii="仿宋_GB2312" w:hAnsi="仿宋_GB2312" w:eastAsia="仿宋_GB2312"/>
          <w:b/>
          <w:sz w:val="32"/>
        </w:rPr>
        <w:t>2024年度一般公共预算财政拨款支出1,938.06万元，</w:t>
      </w:r>
      <w:r>
        <w:rPr>
          <w:rFonts w:ascii="仿宋_GB2312" w:hAnsi="仿宋_GB2312" w:eastAsia="仿宋_GB2312"/>
          <w:b w:val="0"/>
          <w:sz w:val="32"/>
        </w:rPr>
        <w:t>占本年支出合计的99.50%。</w:t>
      </w:r>
      <w:r>
        <w:rPr>
          <w:rFonts w:ascii="仿宋_GB2312" w:hAnsi="仿宋_GB2312" w:eastAsia="仿宋_GB2312"/>
          <w:b/>
          <w:sz w:val="32"/>
        </w:rPr>
        <w:t>与上年相比，</w:t>
      </w:r>
      <w:r>
        <w:rPr>
          <w:rFonts w:ascii="仿宋_GB2312" w:hAnsi="仿宋_GB2312" w:eastAsia="仿宋_GB2312"/>
          <w:b w:val="0"/>
          <w:sz w:val="32"/>
        </w:rPr>
        <w:t>增加699.47万元，增长56.47%，主要原因是：本年增加草原防火储备物资建设项目。</w:t>
      </w:r>
      <w:r>
        <w:rPr>
          <w:rFonts w:ascii="仿宋_GB2312" w:hAnsi="仿宋_GB2312" w:eastAsia="仿宋_GB2312"/>
          <w:b/>
          <w:sz w:val="32"/>
        </w:rPr>
        <w:t>与年初预算相比,</w:t>
      </w:r>
      <w:r>
        <w:rPr>
          <w:rFonts w:ascii="仿宋_GB2312" w:hAnsi="仿宋_GB2312" w:eastAsia="仿宋_GB2312"/>
          <w:b w:val="0"/>
          <w:sz w:val="32"/>
        </w:rPr>
        <w:t>年初预算数2,263.15万元，决算数1,938.06万元，预决算差异率-14.36%，主要原因是：年中调减草原防火储备物资建设项目资金。</w:t>
      </w:r>
    </w:p>
    <w:p w14:paraId="01F6EDE3">
      <w:pPr>
        <w:spacing w:line="640" w:lineRule="exact"/>
        <w:ind w:firstLine="640"/>
        <w:jc w:val="both"/>
        <w:outlineLvl w:val="3"/>
      </w:pPr>
      <w:r>
        <w:rPr>
          <w:rFonts w:ascii="楷体_GB2312" w:hAnsi="楷体_GB2312" w:eastAsia="楷体_GB2312"/>
          <w:b/>
          <w:sz w:val="32"/>
        </w:rPr>
        <w:t>（二）一般公共预算财政拨款支出决算结构情况</w:t>
      </w:r>
    </w:p>
    <w:p w14:paraId="5CDF5121">
      <w:pPr>
        <w:spacing w:line="580" w:lineRule="exact"/>
        <w:ind w:firstLine="640"/>
        <w:jc w:val="both"/>
      </w:pPr>
      <w:r>
        <w:rPr>
          <w:rFonts w:ascii="仿宋_GB2312" w:hAnsi="仿宋_GB2312" w:eastAsia="仿宋_GB2312"/>
          <w:b w:val="0"/>
          <w:sz w:val="32"/>
        </w:rPr>
        <w:t>1.社会保障和就业支出(类)76.64万元,占3.95%。</w:t>
      </w:r>
    </w:p>
    <w:p w14:paraId="4E4ACFB6">
      <w:pPr>
        <w:spacing w:line="580" w:lineRule="exact"/>
        <w:ind w:firstLine="640"/>
        <w:jc w:val="both"/>
      </w:pPr>
      <w:r>
        <w:rPr>
          <w:rFonts w:ascii="仿宋_GB2312" w:hAnsi="仿宋_GB2312" w:eastAsia="仿宋_GB2312"/>
          <w:b w:val="0"/>
          <w:sz w:val="32"/>
        </w:rPr>
        <w:t>2.农林水支出(类)1,861.42万元,占96.05%。</w:t>
      </w:r>
    </w:p>
    <w:p w14:paraId="37582B6E">
      <w:pPr>
        <w:spacing w:line="640" w:lineRule="exact"/>
        <w:ind w:firstLine="640"/>
        <w:jc w:val="both"/>
        <w:outlineLvl w:val="3"/>
      </w:pPr>
      <w:r>
        <w:rPr>
          <w:rFonts w:ascii="楷体_GB2312" w:hAnsi="楷体_GB2312" w:eastAsia="楷体_GB2312"/>
          <w:b/>
          <w:sz w:val="32"/>
        </w:rPr>
        <w:t>（三）一般公共预算财政拨款支出决算具体情况</w:t>
      </w:r>
    </w:p>
    <w:p w14:paraId="5B51A1CA">
      <w:pPr>
        <w:spacing w:line="580" w:lineRule="exact"/>
        <w:ind w:firstLine="640"/>
        <w:jc w:val="both"/>
      </w:pPr>
      <w:r>
        <w:rPr>
          <w:rFonts w:ascii="仿宋_GB2312" w:hAnsi="仿宋_GB2312" w:eastAsia="仿宋_GB2312"/>
          <w:b w:val="0"/>
          <w:sz w:val="32"/>
        </w:rPr>
        <w:t>1.教育支出(类)普通教育(款)学前教育(项):支出决算数为0.00万元，比上年决算减少0.52万元，下降100.00%,主要原因是：本年减少支教人员，补助比上年减少。</w:t>
      </w:r>
    </w:p>
    <w:p w14:paraId="030F4651">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2.社会保障和就业支出(类)行政事业单位养老支出(款)行政单位离退休(项):支出决算数为26.61万元，比上年决算增加5.66万元，增长27.02%,主要原因是：本年退休人员增加，退休费支出增加。</w:t>
      </w:r>
    </w:p>
    <w:p w14:paraId="01EAD71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34.11万元，比上年决算增加1.40万元，增长4.28%,主要原因是：本年在职人员工资基数调增，养老缴费基数上涨，相应支出增加。</w:t>
      </w:r>
    </w:p>
    <w:p w14:paraId="5E2E744F">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4.社会保障和就业支出(类)行政事业单位养老支出(款)机关事业单位职业年金缴费支出(项):支出决算数为15.92万元，比上年决算增加15.92万元，增长100.00%,主要原因是：本年新增退休人员，职业年金缴费支出增加。</w:t>
      </w:r>
    </w:p>
    <w:p w14:paraId="7D6455C8">
      <w:pPr>
        <w:spacing w:line="580" w:lineRule="exact"/>
        <w:ind w:firstLine="640"/>
        <w:jc w:val="both"/>
      </w:pPr>
      <w:r>
        <w:rPr>
          <w:rFonts w:ascii="仿宋_GB2312" w:hAnsi="仿宋_GB2312" w:eastAsia="仿宋_GB2312"/>
          <w:b w:val="0"/>
          <w:sz w:val="32"/>
        </w:rPr>
        <w:t>5.农林水支出(类)农业农村(款)行政运行(项):支出决算数为327.61万元，比上年决算增加4.60万元，增长1.42%,主要原因是：本年在职人员工资调增，导致相关人员经费较上年有所增加。</w:t>
      </w:r>
    </w:p>
    <w:p w14:paraId="5F129DE2">
      <w:pPr>
        <w:spacing w:line="580" w:lineRule="exact"/>
        <w:ind w:firstLine="640"/>
        <w:jc w:val="both"/>
      </w:pPr>
      <w:r>
        <w:rPr>
          <w:rFonts w:ascii="仿宋_GB2312" w:hAnsi="仿宋_GB2312" w:eastAsia="仿宋_GB2312"/>
          <w:b w:val="0"/>
          <w:sz w:val="32"/>
        </w:rPr>
        <w:t>6.农林水支出(类)农业农村(款)其他农业农村支出(项):支出决算数为7.00万元，比上年决算增加7.00万元，增长100.00%,主要原因是：本年新增草原执法监管项目。</w:t>
      </w:r>
    </w:p>
    <w:p w14:paraId="3CD15044">
      <w:pPr>
        <w:spacing w:line="580" w:lineRule="exact"/>
        <w:ind w:firstLine="640"/>
        <w:jc w:val="both"/>
      </w:pPr>
      <w:r>
        <w:rPr>
          <w:rFonts w:ascii="仿宋_GB2312" w:hAnsi="仿宋_GB2312" w:eastAsia="仿宋_GB2312"/>
          <w:b w:val="0"/>
          <w:sz w:val="32"/>
        </w:rPr>
        <w:t>7.农林水支出(类)林业和草原(款)行政运行(项):支出决算数为1.27万元，比上年决算增加1.27万元，增长100.00%,主要原因是：本年在职人员工资调增，导致相关人员经费较上年有所增加。</w:t>
      </w:r>
    </w:p>
    <w:p w14:paraId="7BB6F43A">
      <w:pPr>
        <w:spacing w:line="580" w:lineRule="exact"/>
        <w:ind w:firstLine="640"/>
        <w:jc w:val="both"/>
      </w:pPr>
      <w:r>
        <w:rPr>
          <w:rFonts w:ascii="仿宋_GB2312" w:hAnsi="仿宋_GB2312" w:eastAsia="仿宋_GB2312"/>
          <w:b w:val="0"/>
          <w:sz w:val="32"/>
        </w:rPr>
        <w:t>8.农林水支出(类)林业和草原(款)林业草原防灾减灾(项):支出决算数为1,524.54万元，比上年决算增加692.14万元，增长83.15%,主要原因是：本年增加草原防火储备物资建设项目。</w:t>
      </w:r>
    </w:p>
    <w:p w14:paraId="69F94E19">
      <w:pPr>
        <w:spacing w:line="580" w:lineRule="exact"/>
        <w:ind w:firstLine="640"/>
        <w:jc w:val="both"/>
      </w:pPr>
      <w:r>
        <w:rPr>
          <w:rFonts w:ascii="仿宋_GB2312" w:hAnsi="仿宋_GB2312" w:eastAsia="仿宋_GB2312"/>
          <w:b w:val="0"/>
          <w:sz w:val="32"/>
        </w:rPr>
        <w:t>9.农林水支出(类)林业和草原(款)其他林业和草原支出(项):支出决算数为1.00万元，比上年决算减少28.01万元，下降96.55%,主要原因是：本年草原科技支撑经费减少。</w:t>
      </w:r>
    </w:p>
    <w:p w14:paraId="4F58B83E">
      <w:pPr>
        <w:spacing w:line="640" w:lineRule="exact"/>
        <w:ind w:firstLine="640"/>
        <w:jc w:val="both"/>
        <w:outlineLvl w:val="2"/>
      </w:pPr>
      <w:r>
        <w:rPr>
          <w:rFonts w:ascii="黑体" w:hAnsi="黑体" w:eastAsia="黑体"/>
          <w:sz w:val="32"/>
        </w:rPr>
        <w:t>六、一般公共预算财政拨款基本支出决算情况说明</w:t>
      </w:r>
    </w:p>
    <w:p w14:paraId="7D97CF63">
      <w:pPr>
        <w:spacing w:line="580" w:lineRule="exact"/>
        <w:ind w:firstLine="640"/>
        <w:jc w:val="both"/>
      </w:pPr>
      <w:r>
        <w:rPr>
          <w:rFonts w:ascii="仿宋_GB2312" w:hAnsi="仿宋_GB2312" w:eastAsia="仿宋_GB2312"/>
          <w:b w:val="0"/>
          <w:sz w:val="32"/>
        </w:rPr>
        <w:t>2024年度一般公共预算财政拨款基本支出405.52万元，其中：</w:t>
      </w:r>
      <w:r>
        <w:rPr>
          <w:rFonts w:ascii="仿宋_GB2312" w:hAnsi="仿宋_GB2312" w:eastAsia="仿宋_GB2312"/>
          <w:b/>
          <w:sz w:val="32"/>
        </w:rPr>
        <w:t>人员经费394.57万元，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包括：基本工资、津贴补贴、奖金、机关事业单位基本养老保险缴费、职业年金缴费、职工基本医疗保险缴费、其他社会保障缴费、住房公积金、退休费、生活补助、奖励金。</w:t>
      </w:r>
    </w:p>
    <w:p w14:paraId="28992DAA">
      <w:pPr>
        <w:spacing w:line="580" w:lineRule="exact"/>
        <w:ind w:firstLine="640"/>
        <w:jc w:val="both"/>
      </w:pPr>
      <w:r>
        <w:rPr>
          <w:rFonts w:ascii="仿宋_GB2312" w:hAnsi="仿宋_GB2312" w:eastAsia="仿宋_GB2312"/>
          <w:b/>
          <w:sz w:val="32"/>
        </w:rPr>
        <w:t>公用经费10.95万元，</w:t>
      </w:r>
      <w:r>
        <w:rPr>
          <w:rFonts w:ascii="仿宋_GB2312" w:hAnsi="仿宋_GB2312" w:eastAsia="仿宋_GB2312"/>
          <w:b w:val="0"/>
          <w:sz w:val="32"/>
        </w:rPr>
        <w:t>包括：办公费、印刷费、水费、电费、邮电费、差旅费、维修（护）费、劳务费、工会经费、福利费、公务用车运行维护费、其他交通费用、其他商品和服务支出。</w:t>
      </w:r>
    </w:p>
    <w:p w14:paraId="117815F8">
      <w:pPr>
        <w:spacing w:line="640" w:lineRule="exact"/>
        <w:ind w:firstLine="640"/>
        <w:jc w:val="both"/>
        <w:outlineLvl w:val="2"/>
      </w:pPr>
      <w:r>
        <w:rPr>
          <w:rFonts w:ascii="黑体" w:hAnsi="黑体" w:eastAsia="黑体"/>
          <w:sz w:val="32"/>
        </w:rPr>
        <w:t>七、政府性基金预算财政拨款收入支出决算情况说明</w:t>
      </w:r>
    </w:p>
    <w:p w14:paraId="1AB96D4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B62820A">
      <w:pPr>
        <w:spacing w:line="640" w:lineRule="exact"/>
        <w:ind w:firstLine="640"/>
        <w:jc w:val="both"/>
        <w:outlineLvl w:val="2"/>
      </w:pPr>
      <w:r>
        <w:rPr>
          <w:rFonts w:ascii="黑体" w:hAnsi="黑体" w:eastAsia="黑体"/>
          <w:sz w:val="32"/>
        </w:rPr>
        <w:t>八、国有资本经营预算财政拨款收入支出决算情况说明</w:t>
      </w:r>
    </w:p>
    <w:p w14:paraId="19A74FD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F35C637">
      <w:pPr>
        <w:spacing w:line="640" w:lineRule="exact"/>
        <w:ind w:firstLine="640"/>
        <w:jc w:val="both"/>
        <w:outlineLvl w:val="2"/>
      </w:pPr>
      <w:r>
        <w:rPr>
          <w:rFonts w:ascii="黑体" w:hAnsi="黑体" w:eastAsia="黑体"/>
          <w:sz w:val="32"/>
        </w:rPr>
        <w:t>九、财政拨款“三公”经费支出决算情况说明</w:t>
      </w:r>
    </w:p>
    <w:p w14:paraId="0F4C2D1F">
      <w:pPr>
        <w:spacing w:line="580" w:lineRule="exact"/>
        <w:ind w:firstLine="640"/>
        <w:jc w:val="both"/>
      </w:pPr>
      <w:r>
        <w:rPr>
          <w:rFonts w:ascii="仿宋_GB2312" w:hAnsi="仿宋_GB2312" w:eastAsia="仿宋_GB2312"/>
          <w:b/>
          <w:sz w:val="32"/>
        </w:rPr>
        <w:t>2024年度财政拨款“三公”经费支出0.60万元，</w:t>
      </w:r>
      <w:r>
        <w:rPr>
          <w:rFonts w:ascii="仿宋_GB2312" w:hAnsi="仿宋_GB2312" w:eastAsia="仿宋_GB2312"/>
          <w:b w:val="0"/>
          <w:sz w:val="32"/>
        </w:rPr>
        <w:t>比上年减少6.44万元，下降91.48%，主要原因是：部分车辆不在本单位使用，导致公务用车运行维护费减少。其中：因公出国（境）费支出0.00万元，占0.00%，比上年增加0.00万元，增长0.00%，主要原因是：2023年与2024年均未安排因公出国（境）费支出。公务用车购置及运行维护费支出0.60万元，占100.00%，比上年减少6.44万元，下降91.48%，主要原因是：部分车辆不在本单位使用，导致公务用车运行维护费减少。公务接待费支出0.00万元，占0.00%，比上年增加0.00万元，增长0.00%，主要原因是：2023年与2024年均未安排公务接待费支出。</w:t>
      </w:r>
    </w:p>
    <w:p w14:paraId="532ECEEE">
      <w:pPr>
        <w:spacing w:line="580" w:lineRule="exact"/>
        <w:ind w:firstLine="640"/>
        <w:jc w:val="both"/>
      </w:pPr>
      <w:r>
        <w:rPr>
          <w:rFonts w:ascii="仿宋_GB2312" w:hAnsi="仿宋_GB2312" w:eastAsia="仿宋_GB2312"/>
          <w:b/>
          <w:sz w:val="32"/>
        </w:rPr>
        <w:t>具体情况如下：</w:t>
      </w:r>
    </w:p>
    <w:p w14:paraId="319557E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F56C749">
      <w:pPr>
        <w:spacing w:line="580" w:lineRule="exact"/>
        <w:ind w:firstLine="640"/>
        <w:jc w:val="both"/>
      </w:pPr>
      <w:r>
        <w:rPr>
          <w:rFonts w:ascii="仿宋_GB2312" w:hAnsi="仿宋_GB2312" w:eastAsia="仿宋_GB2312"/>
          <w:b w:val="0"/>
          <w:sz w:val="32"/>
        </w:rPr>
        <w:t>公务用车购置及运行维护费0.60万元，其中：公务用车购置费0.00万元，公务用车运行维护费0.60万元。公务用车运行维护费开支内容包括车辆加油费、维修费、保险费、审车费、过路费。公务用车购置数0辆，公务用车保有量2辆。国有资产占用情况中固定资产车辆12辆，与公务用车保有量差异原因是：草原防火储备车辆，车辆划拨到县市未在本单位使用。</w:t>
      </w:r>
    </w:p>
    <w:p w14:paraId="3E5E0F0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F1CD22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0.60万元，决算数0.60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0.60万元，决算数0.60万元，预决算差异率0.00%，主要原因是：严格按照预算执行，预决算无差异。公务接待费全年预算数0.00万元，决算数0.00万元，预决算差异率0.00%，主要原因是：本单位无公务接待费。</w:t>
      </w:r>
    </w:p>
    <w:p w14:paraId="758ACE84">
      <w:pPr>
        <w:spacing w:line="640" w:lineRule="exact"/>
        <w:ind w:firstLine="640"/>
        <w:jc w:val="both"/>
        <w:outlineLvl w:val="2"/>
      </w:pPr>
      <w:r>
        <w:rPr>
          <w:rFonts w:ascii="黑体" w:hAnsi="黑体" w:eastAsia="黑体"/>
          <w:sz w:val="32"/>
        </w:rPr>
        <w:t>十、其他重要事项的情况说明</w:t>
      </w:r>
    </w:p>
    <w:p w14:paraId="2F31EC54">
      <w:pPr>
        <w:spacing w:line="640" w:lineRule="exact"/>
        <w:ind w:firstLine="640"/>
        <w:jc w:val="both"/>
        <w:outlineLvl w:val="3"/>
      </w:pPr>
      <w:r>
        <w:rPr>
          <w:rFonts w:ascii="楷体_GB2312" w:hAnsi="楷体_GB2312" w:eastAsia="楷体_GB2312"/>
          <w:b/>
          <w:sz w:val="32"/>
        </w:rPr>
        <w:t>（一）机关运行经费及公用经费支出情况</w:t>
      </w:r>
    </w:p>
    <w:p w14:paraId="0B3E74B4">
      <w:pPr>
        <w:spacing w:line="580" w:lineRule="exact"/>
        <w:ind w:firstLine="640"/>
        <w:jc w:val="both"/>
      </w:pPr>
      <w:r>
        <w:rPr>
          <w:rFonts w:ascii="仿宋_GB2312" w:hAnsi="仿宋_GB2312" w:eastAsia="仿宋_GB2312"/>
          <w:b w:val="0"/>
          <w:sz w:val="32"/>
        </w:rPr>
        <w:t>2024年度克孜勒苏柯尔克孜自治州草原监理所（行政单位和参照公务员法管理事业单位）机关运行经费支出10.95万元，比上年增加1.35万元，增长14.06%，主要原因是：本年业务量增加，机关运行经费增加。</w:t>
      </w:r>
    </w:p>
    <w:p w14:paraId="46DA7C43">
      <w:pPr>
        <w:spacing w:line="640" w:lineRule="exact"/>
        <w:ind w:firstLine="640"/>
        <w:jc w:val="both"/>
        <w:outlineLvl w:val="3"/>
      </w:pPr>
      <w:r>
        <w:rPr>
          <w:rFonts w:ascii="楷体_GB2312" w:hAnsi="楷体_GB2312" w:eastAsia="楷体_GB2312"/>
          <w:b/>
          <w:sz w:val="32"/>
        </w:rPr>
        <w:t>（二）政府采购情况</w:t>
      </w:r>
    </w:p>
    <w:p w14:paraId="188ACB9B">
      <w:pPr>
        <w:spacing w:line="580" w:lineRule="exact"/>
        <w:ind w:firstLine="640"/>
        <w:jc w:val="both"/>
      </w:pPr>
      <w:r>
        <w:rPr>
          <w:rFonts w:ascii="仿宋_GB2312" w:hAnsi="仿宋_GB2312" w:eastAsia="仿宋_GB2312"/>
          <w:b w:val="0"/>
          <w:sz w:val="32"/>
        </w:rPr>
        <w:t>2024年度政府采购支出总额1,435.60万元，其中：政府采购货物支出1,089.21万元、政府采购工程支出344.91万元、政府采购服务支出1.48万元。</w:t>
      </w:r>
    </w:p>
    <w:p w14:paraId="50461B8E">
      <w:pPr>
        <w:spacing w:line="580" w:lineRule="exact"/>
        <w:ind w:firstLine="640"/>
        <w:jc w:val="both"/>
      </w:pPr>
      <w:r>
        <w:rPr>
          <w:rFonts w:ascii="仿宋_GB2312" w:hAnsi="仿宋_GB2312" w:eastAsia="仿宋_GB2312"/>
          <w:b w:val="0"/>
          <w:sz w:val="32"/>
        </w:rPr>
        <w:t>授予中小企业合同金额1,433.55万元，占政府采购支出总额的99.86%，其中：授予小微企业合同金额1,433.55万元，占政府采购支出总额的99.86%。</w:t>
      </w:r>
    </w:p>
    <w:p w14:paraId="4BD41707">
      <w:pPr>
        <w:spacing w:line="640" w:lineRule="exact"/>
        <w:ind w:firstLine="640"/>
        <w:jc w:val="both"/>
        <w:outlineLvl w:val="3"/>
      </w:pPr>
      <w:r>
        <w:rPr>
          <w:rFonts w:ascii="楷体_GB2312" w:hAnsi="楷体_GB2312" w:eastAsia="楷体_GB2312"/>
          <w:b/>
          <w:sz w:val="32"/>
        </w:rPr>
        <w:t>（三）国有资产占用情况说明</w:t>
      </w:r>
    </w:p>
    <w:p w14:paraId="7754A39C">
      <w:pPr>
        <w:spacing w:line="580" w:lineRule="exact"/>
        <w:ind w:firstLine="640"/>
        <w:jc w:val="both"/>
      </w:pPr>
      <w:r>
        <w:rPr>
          <w:rFonts w:ascii="仿宋_GB2312" w:hAnsi="仿宋_GB2312" w:eastAsia="仿宋_GB2312"/>
          <w:b w:val="0"/>
          <w:sz w:val="32"/>
        </w:rPr>
        <w:t>截至2024年12月31日，房屋1,853.52平方米，价值161.52万元。车辆12辆，价值269.47万元，其中：副部（省）级及以上领导用车0辆、主要负责人用车0辆、机要通信用车0辆、应急保障用车0辆、执法执勤用车0辆、特种专业技术用车0辆、离退休干部服务用车0辆、其他用车12辆，其他用车主要是：一般公务用车2辆和10辆单位业务用车。单价100万元（含）以上设备（不含车辆）0台（套）。</w:t>
      </w:r>
    </w:p>
    <w:p w14:paraId="1D61EB2B">
      <w:pPr>
        <w:spacing w:line="640" w:lineRule="exact"/>
        <w:ind w:firstLine="640"/>
        <w:jc w:val="both"/>
        <w:outlineLvl w:val="2"/>
      </w:pPr>
      <w:r>
        <w:rPr>
          <w:rFonts w:ascii="黑体" w:hAnsi="黑体" w:eastAsia="黑体"/>
          <w:sz w:val="32"/>
        </w:rPr>
        <w:t>十一、预算绩效的情况说明</w:t>
      </w:r>
    </w:p>
    <w:p w14:paraId="2F50A8C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1,947.12万元，实际执行总额1,946.74万元；预算绩效评价项目3个，全年预算数18.05万元，全年执行数17.67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整体支出绩效自评表，项目支出绩效自评表和评价报告。</w:t>
      </w:r>
    </w:p>
    <w:p w14:paraId="03EA14E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80AACCF">
        <w:tblPrEx>
          <w:tblCellMar>
            <w:top w:w="0" w:type="dxa"/>
            <w:left w:w="108" w:type="dxa"/>
            <w:bottom w:w="0" w:type="dxa"/>
            <w:right w:w="108" w:type="dxa"/>
          </w:tblCellMar>
        </w:tblPrEx>
        <w:tc>
          <w:tcPr>
            <w:tcW w:w="8840" w:type="dxa"/>
            <w:gridSpan w:val="8"/>
            <w:vAlign w:val="center"/>
          </w:tcPr>
          <w:p w14:paraId="28219A87">
            <w:pPr>
              <w:jc w:val="center"/>
            </w:pPr>
            <w:r>
              <w:rPr>
                <w:rFonts w:ascii="宋体" w:hAnsi="宋体" w:eastAsia="宋体"/>
                <w:sz w:val="24"/>
              </w:rPr>
              <w:t>单位整体支出绩效自评表</w:t>
            </w:r>
          </w:p>
        </w:tc>
      </w:tr>
      <w:tr w14:paraId="56961E92">
        <w:tblPrEx>
          <w:tblCellMar>
            <w:top w:w="0" w:type="dxa"/>
            <w:left w:w="108" w:type="dxa"/>
            <w:bottom w:w="0" w:type="dxa"/>
            <w:right w:w="108" w:type="dxa"/>
          </w:tblCellMar>
        </w:tblPrEx>
        <w:tc>
          <w:tcPr>
            <w:tcW w:w="8840" w:type="dxa"/>
            <w:gridSpan w:val="8"/>
            <w:vAlign w:val="center"/>
          </w:tcPr>
          <w:p w14:paraId="176E68C4">
            <w:pPr>
              <w:jc w:val="center"/>
            </w:pPr>
            <w:r>
              <w:rPr>
                <w:rFonts w:ascii="宋体" w:hAnsi="宋体" w:eastAsia="宋体"/>
                <w:sz w:val="24"/>
              </w:rPr>
              <w:t>（2024年度）</w:t>
            </w:r>
          </w:p>
        </w:tc>
      </w:tr>
      <w:tr w14:paraId="7B3FF0B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6E569">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5CA572">
            <w:pPr>
              <w:jc w:val="center"/>
            </w:pPr>
            <w:r>
              <w:rPr>
                <w:rFonts w:ascii="宋体" w:hAnsi="宋体" w:eastAsia="宋体"/>
                <w:sz w:val="16"/>
              </w:rPr>
              <w:t>克孜勒苏柯尔克孜自治州草原监理所</w:t>
            </w:r>
          </w:p>
        </w:tc>
      </w:tr>
      <w:tr w14:paraId="5CE8DCB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96E3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4C575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A3308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BE9D8E">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E6313F">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4AF71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F186D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9AEFEE">
            <w:pPr>
              <w:jc w:val="center"/>
            </w:pPr>
            <w:r>
              <w:rPr>
                <w:rFonts w:ascii="宋体" w:hAnsi="宋体" w:eastAsia="宋体"/>
                <w:sz w:val="16"/>
              </w:rPr>
              <w:t>得分</w:t>
            </w:r>
          </w:p>
        </w:tc>
      </w:tr>
      <w:tr w14:paraId="038D0ED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A1BEC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B1234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E97372">
            <w:pPr>
              <w:jc w:val="center"/>
            </w:pPr>
            <w:r>
              <w:rPr>
                <w:rFonts w:ascii="宋体" w:hAnsi="宋体" w:eastAsia="宋体"/>
                <w:sz w:val="16"/>
              </w:rPr>
              <w:t>2,273.15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5D679A">
            <w:pPr>
              <w:jc w:val="center"/>
            </w:pPr>
            <w:r>
              <w:rPr>
                <w:rFonts w:ascii="宋体" w:hAnsi="宋体" w:eastAsia="宋体"/>
                <w:sz w:val="16"/>
              </w:rPr>
              <w:t>1,947.12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48BC04">
            <w:pPr>
              <w:jc w:val="center"/>
            </w:pPr>
            <w:r>
              <w:rPr>
                <w:rFonts w:ascii="宋体" w:hAnsi="宋体" w:eastAsia="宋体"/>
                <w:sz w:val="16"/>
              </w:rPr>
              <w:t>1,946.74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68914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FABD6">
            <w:pPr>
              <w:jc w:val="center"/>
            </w:pPr>
            <w:r>
              <w:rPr>
                <w:rFonts w:ascii="宋体" w:hAnsi="宋体" w:eastAsia="宋体"/>
                <w:sz w:val="16"/>
              </w:rPr>
              <w:t>99.98%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71C4B7">
            <w:pPr>
              <w:jc w:val="center"/>
              <w:rPr>
                <w:rFonts w:hint="default" w:eastAsia="宋体"/>
                <w:lang w:val="en-US" w:eastAsia="zh-CN"/>
              </w:rPr>
            </w:pPr>
            <w:r>
              <w:rPr>
                <w:rFonts w:hint="eastAsia" w:ascii="宋体" w:hAnsi="宋体"/>
                <w:sz w:val="16"/>
                <w:lang w:val="en-US" w:eastAsia="zh-CN"/>
              </w:rPr>
              <w:t>9.99</w:t>
            </w:r>
          </w:p>
        </w:tc>
      </w:tr>
      <w:tr w14:paraId="029C40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8611B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0D5850">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A7A69E">
            <w:pPr>
              <w:jc w:val="center"/>
            </w:pPr>
            <w:r>
              <w:rPr>
                <w:rFonts w:ascii="宋体" w:hAnsi="宋体" w:eastAsia="宋体"/>
                <w:sz w:val="16"/>
              </w:rPr>
              <w:t>1,868.99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24EFE2">
            <w:pPr>
              <w:jc w:val="center"/>
            </w:pPr>
            <w:r>
              <w:rPr>
                <w:rFonts w:ascii="宋体" w:hAnsi="宋体" w:eastAsia="宋体"/>
                <w:sz w:val="16"/>
              </w:rPr>
              <w:t>1,531.54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F2443">
            <w:pPr>
              <w:jc w:val="center"/>
            </w:pPr>
            <w:r>
              <w:rPr>
                <w:rFonts w:ascii="宋体" w:hAnsi="宋体" w:eastAsia="宋体"/>
                <w:sz w:val="16"/>
              </w:rPr>
              <w:t>1,531.54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960D0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E8F8B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E63F5B">
            <w:pPr>
              <w:jc w:val="center"/>
            </w:pPr>
            <w:r>
              <w:rPr>
                <w:rFonts w:ascii="宋体" w:hAnsi="宋体" w:eastAsia="宋体"/>
                <w:sz w:val="16"/>
              </w:rPr>
              <w:t>—</w:t>
            </w:r>
          </w:p>
        </w:tc>
      </w:tr>
      <w:tr w14:paraId="654580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BF044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785DEC">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64F9E4">
            <w:pPr>
              <w:jc w:val="center"/>
            </w:pPr>
            <w:r>
              <w:rPr>
                <w:rFonts w:ascii="宋体" w:hAnsi="宋体" w:eastAsia="宋体"/>
                <w:sz w:val="16"/>
              </w:rPr>
              <w:t>394.16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1D6E3A">
            <w:pPr>
              <w:jc w:val="center"/>
            </w:pPr>
            <w:r>
              <w:rPr>
                <w:rFonts w:ascii="宋体" w:hAnsi="宋体" w:eastAsia="宋体"/>
                <w:sz w:val="16"/>
              </w:rPr>
              <w:t>405.96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478C85">
            <w:pPr>
              <w:jc w:val="center"/>
            </w:pPr>
            <w:r>
              <w:rPr>
                <w:rFonts w:ascii="宋体" w:hAnsi="宋体" w:eastAsia="宋体"/>
                <w:sz w:val="16"/>
              </w:rPr>
              <w:t>405.58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B753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A11FA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0C51A">
            <w:pPr>
              <w:jc w:val="center"/>
            </w:pPr>
            <w:r>
              <w:rPr>
                <w:rFonts w:ascii="宋体" w:hAnsi="宋体" w:eastAsia="宋体"/>
                <w:sz w:val="16"/>
              </w:rPr>
              <w:t>—</w:t>
            </w:r>
          </w:p>
        </w:tc>
      </w:tr>
      <w:tr w14:paraId="6828CB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0F14F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6E52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C5671">
            <w:pPr>
              <w:jc w:val="center"/>
            </w:pPr>
            <w:r>
              <w:rPr>
                <w:rFonts w:ascii="宋体" w:hAnsi="宋体" w:eastAsia="宋体"/>
                <w:sz w:val="16"/>
              </w:rPr>
              <w:t>10.00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409E55">
            <w:pPr>
              <w:jc w:val="center"/>
            </w:pPr>
            <w:r>
              <w:rPr>
                <w:rFonts w:ascii="宋体" w:hAnsi="宋体" w:eastAsia="宋体"/>
                <w:sz w:val="16"/>
              </w:rPr>
              <w:t>9.62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93A6C">
            <w:pPr>
              <w:jc w:val="center"/>
            </w:pPr>
            <w:r>
              <w:rPr>
                <w:rFonts w:ascii="宋体" w:hAnsi="宋体" w:eastAsia="宋体"/>
                <w:sz w:val="16"/>
              </w:rPr>
              <w:t>9.62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7231A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F4B4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0F3C33">
            <w:pPr>
              <w:jc w:val="center"/>
            </w:pPr>
            <w:r>
              <w:rPr>
                <w:rFonts w:ascii="宋体" w:hAnsi="宋体" w:eastAsia="宋体"/>
                <w:sz w:val="16"/>
              </w:rPr>
              <w:t>—</w:t>
            </w:r>
          </w:p>
        </w:tc>
      </w:tr>
      <w:tr w14:paraId="262A148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4DE1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FD951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0875C3">
            <w:pPr>
              <w:jc w:val="center"/>
            </w:pPr>
            <w:r>
              <w:rPr>
                <w:rFonts w:ascii="宋体" w:hAnsi="宋体" w:eastAsia="宋体"/>
                <w:sz w:val="16"/>
              </w:rPr>
              <w:t>实际完成情况</w:t>
            </w:r>
          </w:p>
        </w:tc>
      </w:tr>
      <w:tr w14:paraId="26ABA92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78608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59E29D">
            <w:pPr>
              <w:jc w:val="both"/>
            </w:pPr>
            <w:r>
              <w:rPr>
                <w:rFonts w:ascii="宋体" w:hAnsi="宋体" w:eastAsia="宋体"/>
                <w:sz w:val="16"/>
              </w:rPr>
              <w:t>宣传、贯彻执行国家草原法律法规，保证草原法律法规、政策及时、有效</w:t>
            </w:r>
            <w:r>
              <w:rPr>
                <w:rFonts w:hint="eastAsia" w:ascii="宋体" w:hAnsi="宋体"/>
                <w:sz w:val="16"/>
                <w:lang w:eastAsia="zh-CN"/>
              </w:rPr>
              <w:t>地</w:t>
            </w:r>
            <w:r>
              <w:rPr>
                <w:rFonts w:ascii="宋体" w:hAnsi="宋体" w:eastAsia="宋体"/>
                <w:sz w:val="16"/>
              </w:rPr>
              <w:t>贯彻执行；依法管理和保护草原，在合理利用草原的前提下，对核定载畜量、草场生产能力、牲畜转场等活动进行日常监测，及时发现问题并纠正，履行草原保护的预防职能；负责草原所有权、使用权的登记审核及权属纠纷、争议解决工作，受同级政府委托，办理草原权属证明的发放及管理工作；依据国家草原法律法规的规定，管理和处理违反国家草原法律法规的各种行为；编制草原监理，草原保护工作规划和计划，经批准，发布后组织实施；编制草原资源动态监测规划、计划，整理和完善全州草地，对全州草原系统变化趋势进行监测和预警，为畜牧业提供草原生产资料方面的第一手情报；对退耕还草、禁牧、轮牧及生态移民围栏区执行情况进行监督检查和管护；办理草原国家建设征（拨）用、临时使用及开垦草原的沙土开发项目的审核及牧民、牧业单位补偿、安置工作，受畜牧主管部门委托，核发有关证明文件，征缴有关费用工作；审核采挖草原药用、经济植物许可事宜，对收购草原药用、经济植物的生产厂家驻厂检查登记工作；宣传贯彻，执行国家《草原防火条例》和《自治区草原防火实施办法》；组织划定草原防火责任区，确定草原防火责任单位，建立草原防火责任制度，并进行检查、监督；组织开展预防草原防火期内预防、扑救草原火灾的准备，落实工作，维护保养草原防火设施，消防火灾隐患；组织指挥扑救草原火灾，依法对草原火灾肇事人进行调查、处罚；进行草原火灾全面统计，建立火灾档案。</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61E5C7">
            <w:pPr>
              <w:jc w:val="both"/>
            </w:pPr>
            <w:r>
              <w:rPr>
                <w:rFonts w:ascii="宋体" w:hAnsi="宋体" w:eastAsia="宋体"/>
                <w:sz w:val="16"/>
              </w:rPr>
              <w:t>　　（一）加大草原法宣传力度。结合6月份《</w:t>
            </w:r>
            <w:r>
              <w:rPr>
                <w:rFonts w:hint="eastAsia" w:ascii="宋体" w:hAnsi="宋体"/>
                <w:sz w:val="16"/>
                <w:lang w:eastAsia="zh-CN"/>
              </w:rPr>
              <w:t>中华人民共和国草原法</w:t>
            </w:r>
            <w:r>
              <w:rPr>
                <w:rFonts w:ascii="宋体" w:hAnsi="宋体" w:eastAsia="宋体"/>
                <w:sz w:val="16"/>
              </w:rPr>
              <w:t>》宣传月、6月18日草原保护日、调研指导工作等各类活动，组织县市草原执法人员和技术专家深入草原牧区、农牧民家中开展有关草原法律法规等相关政策的宣传培训工作，发放宣传单3万余份，宣传手册500余份，宣传展板5块，横幅25条，设立禁牧和草畜平衡永久标牌6块，受教育人员4万余人，执法宣传和培训4场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（二）严格落实草原禁牧和草畜平衡制度。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全州禁牧和草畜平衡面积4543万亩，其中：草原禁牧面积1440万亩，草畜平衡面积3103万亩。为全面落实草原禁牧和草畜平衡制度，先后组织5次，对各县市落实草原禁牧和草畜平衡监管情况进行监督检查指导工作。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（三）加强草原执法监管。2024年全州三县一市共办理草原违法案件9起，办理州人大</w:t>
            </w:r>
            <w:r>
              <w:rPr>
                <w:rFonts w:hint="eastAsia" w:ascii="宋体" w:hAnsi="宋体"/>
                <w:sz w:val="16"/>
                <w:lang w:eastAsia="zh-CN"/>
              </w:rPr>
              <w:t>提案</w:t>
            </w:r>
            <w:r>
              <w:rPr>
                <w:rFonts w:ascii="宋体" w:hAnsi="宋体" w:eastAsia="宋体"/>
                <w:sz w:val="16"/>
              </w:rPr>
              <w:t>1件；按照自治区推送的草原变化图斑，督促县市完成草原变化图斑核查工作，2024年自治区推送草原变化图斑1192个，目前调查图斑1192个，自治区审核通过图斑1146个，审核通过率96.14%。</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四）加快建设项目办理草原征占用审核审批手续。一是年初为推进克州2024年度重点项目建设，依法依规办理草原征占用审核手续，州草原监理所“提前介入、靠前服务、主动作为”的工作宗旨，积极与自治州行业部门、各县（市）自然资源局（林业和草原局）对接，认真梳理2024年度重点项目276个，成立使用草地服务专班、建立工作台账，对12个专班、18家单位下发关于办理建设项目使用林地、草地、湿地行政许可审批手续的函；二是编制《林地、草地、湿地使用服务指南》。三是上报克州2024年重点项目使用林地草地进展情况专报6期。四是办理工程建设项目征占用草原审核审批手续119宗，批准使用草原面积551.56公顷，上缴草原植被恢复费1058.03万元。受理减免草原植被恢复费项目25个，减免费用达432.11万元，有力推动全州重大项目建设进度。通过以上工作的实施，保障了</w:t>
            </w:r>
            <w:r>
              <w:rPr>
                <w:rFonts w:hint="eastAsia" w:ascii="宋体" w:hAnsi="宋体"/>
                <w:sz w:val="16"/>
                <w:lang w:eastAsia="zh-CN"/>
              </w:rPr>
              <w:t>本单位</w:t>
            </w:r>
            <w:r>
              <w:rPr>
                <w:rFonts w:ascii="宋体" w:hAnsi="宋体" w:eastAsia="宋体"/>
                <w:sz w:val="16"/>
              </w:rPr>
              <w:t>19名职工的工资、福利及社保正常发放及缴纳，确保民生工作落实到位；保障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2辆公务用车的运行及维护，保障单位各项工作的正常运转，确保机构运转正常。</w:t>
            </w:r>
          </w:p>
        </w:tc>
      </w:tr>
      <w:tr w14:paraId="7243C2B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4692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0FCE3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2044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6F4D4">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CD23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E55D5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B6EBF6">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916BB9">
            <w:pPr>
              <w:jc w:val="center"/>
            </w:pPr>
            <w:r>
              <w:rPr>
                <w:rFonts w:ascii="宋体" w:hAnsi="宋体" w:eastAsia="宋体"/>
                <w:sz w:val="16"/>
              </w:rPr>
              <w:t>得分</w:t>
            </w:r>
          </w:p>
        </w:tc>
      </w:tr>
      <w:tr w14:paraId="4B2EE04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48A3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EBEC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317DB">
            <w:pPr>
              <w:jc w:val="center"/>
            </w:pPr>
            <w:r>
              <w:rPr>
                <w:rFonts w:ascii="宋体" w:hAnsi="宋体" w:eastAsia="宋体"/>
                <w:sz w:val="16"/>
              </w:rPr>
              <w:t>草原政策宣讲活动次数（次）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292C2C">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62829">
            <w:pPr>
              <w:jc w:val="center"/>
            </w:pPr>
            <w:r>
              <w:rPr>
                <w:rFonts w:ascii="宋体" w:hAnsi="宋体" w:eastAsia="宋体"/>
                <w:sz w:val="16"/>
              </w:rPr>
              <w:t>克州草原监理所2023年领导班子报告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75CD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551E8">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DCB344">
            <w:pPr>
              <w:jc w:val="center"/>
            </w:pPr>
            <w:r>
              <w:rPr>
                <w:rFonts w:ascii="宋体" w:hAnsi="宋体" w:eastAsia="宋体"/>
                <w:sz w:val="16"/>
              </w:rPr>
              <w:t>30</w:t>
            </w:r>
          </w:p>
        </w:tc>
      </w:tr>
      <w:tr w14:paraId="57530A2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5C45F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721BF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97ACB4">
            <w:pPr>
              <w:jc w:val="center"/>
            </w:pPr>
            <w:r>
              <w:rPr>
                <w:rFonts w:ascii="宋体" w:hAnsi="宋体" w:eastAsia="宋体"/>
                <w:sz w:val="16"/>
              </w:rPr>
              <w:t>行政执法人员培训（次）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4D0295">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4F94F1">
            <w:pPr>
              <w:jc w:val="center"/>
            </w:pPr>
            <w:r>
              <w:rPr>
                <w:rFonts w:ascii="宋体" w:hAnsi="宋体" w:eastAsia="宋体"/>
                <w:sz w:val="16"/>
              </w:rPr>
              <w:t>克州草原监理所2023年领导班子报告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92C2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58A44">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CDD197">
            <w:pPr>
              <w:jc w:val="center"/>
            </w:pPr>
            <w:r>
              <w:rPr>
                <w:rFonts w:ascii="宋体" w:hAnsi="宋体" w:eastAsia="宋体"/>
                <w:sz w:val="16"/>
              </w:rPr>
              <w:t>30</w:t>
            </w:r>
          </w:p>
        </w:tc>
      </w:tr>
      <w:tr w14:paraId="23121D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AC3BB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CFCCA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58B101">
            <w:pPr>
              <w:jc w:val="center"/>
            </w:pPr>
            <w:r>
              <w:rPr>
                <w:rFonts w:ascii="宋体" w:hAnsi="宋体" w:eastAsia="宋体"/>
                <w:sz w:val="16"/>
              </w:rPr>
              <w:t>草原执法监理督导次数（次）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A038A5">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7C8227">
            <w:pPr>
              <w:jc w:val="center"/>
            </w:pPr>
            <w:r>
              <w:rPr>
                <w:rFonts w:ascii="宋体" w:hAnsi="宋体" w:eastAsia="宋体"/>
                <w:sz w:val="16"/>
              </w:rPr>
              <w:t>克州草原监理所2023年领导班子报告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5F757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03298C">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2907A5">
            <w:pPr>
              <w:jc w:val="center"/>
            </w:pPr>
            <w:r>
              <w:rPr>
                <w:rFonts w:ascii="宋体" w:hAnsi="宋体" w:eastAsia="宋体"/>
                <w:sz w:val="16"/>
              </w:rPr>
              <w:t>30</w:t>
            </w:r>
          </w:p>
        </w:tc>
      </w:tr>
    </w:tbl>
    <w:p w14:paraId="6367534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FE88F1F">
        <w:tblPrEx>
          <w:tblCellMar>
            <w:top w:w="0" w:type="dxa"/>
            <w:left w:w="108" w:type="dxa"/>
            <w:bottom w:w="0" w:type="dxa"/>
            <w:right w:w="108" w:type="dxa"/>
          </w:tblCellMar>
        </w:tblPrEx>
        <w:tc>
          <w:tcPr>
            <w:tcW w:w="8848" w:type="dxa"/>
            <w:gridSpan w:val="14"/>
            <w:vAlign w:val="center"/>
          </w:tcPr>
          <w:p w14:paraId="05FF3D75">
            <w:pPr>
              <w:jc w:val="center"/>
            </w:pPr>
            <w:r>
              <w:rPr>
                <w:rFonts w:ascii="宋体" w:hAnsi="宋体" w:eastAsia="宋体"/>
                <w:sz w:val="24"/>
              </w:rPr>
              <w:t>项目支出绩效自评表</w:t>
            </w:r>
          </w:p>
        </w:tc>
      </w:tr>
      <w:tr w14:paraId="235D3BFF">
        <w:tblPrEx>
          <w:tblCellMar>
            <w:top w:w="0" w:type="dxa"/>
            <w:left w:w="108" w:type="dxa"/>
            <w:bottom w:w="0" w:type="dxa"/>
            <w:right w:w="108" w:type="dxa"/>
          </w:tblCellMar>
        </w:tblPrEx>
        <w:tc>
          <w:tcPr>
            <w:tcW w:w="8848" w:type="dxa"/>
            <w:gridSpan w:val="14"/>
            <w:vAlign w:val="center"/>
          </w:tcPr>
          <w:p w14:paraId="598B8A3B">
            <w:pPr>
              <w:jc w:val="center"/>
            </w:pPr>
            <w:r>
              <w:rPr>
                <w:rFonts w:ascii="宋体" w:hAnsi="宋体" w:eastAsia="宋体"/>
                <w:sz w:val="24"/>
              </w:rPr>
              <w:t>(2024年度)</w:t>
            </w:r>
          </w:p>
        </w:tc>
      </w:tr>
      <w:tr w14:paraId="04D335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20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7B663B">
            <w:pPr>
              <w:jc w:val="center"/>
            </w:pPr>
            <w:r>
              <w:rPr>
                <w:rFonts w:ascii="宋体" w:hAnsi="宋体" w:eastAsia="宋体"/>
                <w:sz w:val="16"/>
              </w:rPr>
              <w:t>为民办事经费</w:t>
            </w:r>
          </w:p>
        </w:tc>
      </w:tr>
      <w:tr w14:paraId="60E6AA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838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090690">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2B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1E6CAE">
            <w:pPr>
              <w:jc w:val="center"/>
            </w:pPr>
            <w:r>
              <w:rPr>
                <w:rFonts w:ascii="宋体" w:hAnsi="宋体" w:eastAsia="宋体"/>
                <w:sz w:val="16"/>
              </w:rPr>
              <w:t>克孜勒苏柯尔克孜自治州草原监理所</w:t>
            </w:r>
          </w:p>
        </w:tc>
      </w:tr>
      <w:tr w14:paraId="09C019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988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4F5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D74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431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289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DAB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71F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3724">
            <w:pPr>
              <w:jc w:val="center"/>
            </w:pPr>
            <w:r>
              <w:rPr>
                <w:rFonts w:ascii="宋体" w:hAnsi="宋体" w:eastAsia="宋体"/>
                <w:sz w:val="16"/>
              </w:rPr>
              <w:t>得分</w:t>
            </w:r>
          </w:p>
        </w:tc>
      </w:tr>
      <w:tr w14:paraId="09076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484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1C5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ADC30">
            <w:pPr>
              <w:jc w:val="center"/>
            </w:pPr>
            <w:r>
              <w:rPr>
                <w:rFonts w:ascii="宋体" w:hAnsi="宋体" w:eastAsia="宋体"/>
                <w:sz w:val="16"/>
              </w:rPr>
              <w:t>7.05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77A35">
            <w:pPr>
              <w:jc w:val="center"/>
            </w:pPr>
            <w:r>
              <w:rPr>
                <w:rFonts w:ascii="宋体" w:hAnsi="宋体" w:eastAsia="宋体"/>
                <w:sz w:val="16"/>
              </w:rPr>
              <w:t>7.05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81868">
            <w:pPr>
              <w:jc w:val="center"/>
            </w:pPr>
            <w:r>
              <w:rPr>
                <w:rFonts w:ascii="宋体" w:hAnsi="宋体" w:eastAsia="宋体"/>
                <w:sz w:val="16"/>
              </w:rPr>
              <w:t>7.05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6B4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28A9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6D3E">
            <w:pPr>
              <w:jc w:val="center"/>
            </w:pPr>
            <w:r>
              <w:rPr>
                <w:rFonts w:ascii="宋体" w:hAnsi="宋体" w:eastAsia="宋体"/>
                <w:sz w:val="16"/>
              </w:rPr>
              <w:t>10.00分</w:t>
            </w:r>
          </w:p>
        </w:tc>
      </w:tr>
      <w:tr w14:paraId="3F0CB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7E2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9AE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C4A6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86A2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918B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477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940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2109">
            <w:pPr>
              <w:jc w:val="center"/>
            </w:pPr>
            <w:r>
              <w:rPr>
                <w:rFonts w:ascii="宋体" w:hAnsi="宋体" w:eastAsia="宋体"/>
                <w:sz w:val="16"/>
              </w:rPr>
              <w:t>—</w:t>
            </w:r>
          </w:p>
        </w:tc>
      </w:tr>
      <w:tr w14:paraId="4990B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092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869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E5C4B">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67B6D">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D12EB">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797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749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AB2E">
            <w:pPr>
              <w:jc w:val="center"/>
            </w:pPr>
            <w:r>
              <w:rPr>
                <w:rFonts w:ascii="宋体" w:hAnsi="宋体" w:eastAsia="宋体"/>
                <w:sz w:val="16"/>
              </w:rPr>
              <w:t>—</w:t>
            </w:r>
          </w:p>
        </w:tc>
      </w:tr>
      <w:tr w14:paraId="02B31D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B8DA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85E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D96E5A">
            <w:pPr>
              <w:jc w:val="center"/>
            </w:pPr>
            <w:r>
              <w:rPr>
                <w:rFonts w:ascii="宋体" w:hAnsi="宋体" w:eastAsia="宋体"/>
                <w:sz w:val="16"/>
              </w:rPr>
              <w:t>实际完成情况</w:t>
            </w:r>
          </w:p>
        </w:tc>
      </w:tr>
      <w:tr w14:paraId="3FEE2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CE9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2B979">
            <w:pPr>
              <w:jc w:val="both"/>
            </w:pPr>
            <w:r>
              <w:rPr>
                <w:rFonts w:ascii="宋体" w:hAnsi="宋体" w:eastAsia="宋体"/>
                <w:sz w:val="16"/>
              </w:rPr>
              <w:t>该项目总投资7.05万元，其中：财政资金7万元，其他资金0.05万元，根据《关于拨付2022年自治区“fhj”驻村工作经费的通知》（新财预</w:t>
            </w:r>
            <w:r>
              <w:rPr>
                <w:rFonts w:hint="eastAsia" w:ascii="宋体" w:hAnsi="宋体"/>
                <w:sz w:val="16"/>
                <w:lang w:eastAsia="zh-CN"/>
              </w:rPr>
              <w:t>〔2022〕30号</w:t>
            </w:r>
            <w:r>
              <w:rPr>
                <w:rFonts w:ascii="宋体" w:hAnsi="宋体" w:eastAsia="宋体"/>
                <w:sz w:val="16"/>
              </w:rPr>
              <w:t>）文件要求，该项目资金主要用于单位在“</w:t>
            </w:r>
            <w:r>
              <w:rPr>
                <w:rFonts w:hint="eastAsia" w:ascii="宋体" w:hAnsi="宋体"/>
                <w:sz w:val="16"/>
                <w:lang w:eastAsia="zh-CN"/>
              </w:rPr>
              <w:t>为民办实事</w:t>
            </w:r>
            <w:r>
              <w:rPr>
                <w:rFonts w:ascii="宋体" w:hAnsi="宋体" w:eastAsia="宋体"/>
                <w:sz w:val="16"/>
              </w:rPr>
              <w:t>”工作队驻村点开展群众工作、宣传开展文体活动及购买办公用品基础保障。通过该项目的实施，加强民族团结，增进民族互信，突出现代文化引领，落实民生建设任务，关心关爱困难群众。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78BFF6">
            <w:pPr>
              <w:jc w:val="both"/>
            </w:pPr>
            <w:r>
              <w:rPr>
                <w:rFonts w:ascii="宋体" w:hAnsi="宋体" w:eastAsia="宋体"/>
                <w:sz w:val="16"/>
              </w:rPr>
              <w:t>截至2024年12月31日，该项目执行数7.05万元，其中：财政资金7万元，其他资金0.05万元。完成举办群众活动7次，开展群众工作活动8次，租赁房屋2套，购买办公用品8批次。该项目资金主要用于单位在“</w:t>
            </w:r>
            <w:r>
              <w:rPr>
                <w:rFonts w:hint="eastAsia" w:ascii="宋体" w:hAnsi="宋体"/>
                <w:sz w:val="16"/>
                <w:lang w:eastAsia="zh-CN"/>
              </w:rPr>
              <w:t>为民办实事</w:t>
            </w:r>
            <w:r>
              <w:rPr>
                <w:rFonts w:ascii="宋体" w:hAnsi="宋体" w:eastAsia="宋体"/>
                <w:sz w:val="16"/>
              </w:rPr>
              <w:t>”工作队驻村点开展群众工作、宣传开展文体活动及购买办公用品基础保障。通过该项目的实施，加强民族团结，增进民族互信，突出现代文化引领，落实民生建设任务，关心关爱困难群众。</w:t>
            </w:r>
            <w:r>
              <w:rPr>
                <w:rFonts w:ascii="宋体" w:hAnsi="宋体" w:eastAsia="宋体"/>
                <w:sz w:val="16"/>
              </w:rPr>
              <w:tab/>
            </w:r>
          </w:p>
        </w:tc>
      </w:tr>
      <w:tr w14:paraId="2FEB53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CD7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86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EA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DB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2EE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0A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24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6F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15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17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78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BAC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0F897">
            <w:pPr>
              <w:jc w:val="center"/>
            </w:pPr>
            <w:r>
              <w:rPr>
                <w:rFonts w:ascii="宋体" w:hAnsi="宋体" w:eastAsia="宋体"/>
                <w:sz w:val="16"/>
              </w:rPr>
              <w:t>偏差原因分析及改进措施</w:t>
            </w:r>
          </w:p>
        </w:tc>
      </w:tr>
      <w:tr w14:paraId="5B22F2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D82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C18A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57B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C156">
            <w:pPr>
              <w:jc w:val="center"/>
            </w:pPr>
            <w:r>
              <w:rPr>
                <w:rFonts w:ascii="宋体" w:hAnsi="宋体" w:eastAsia="宋体"/>
                <w:sz w:val="16"/>
              </w:rPr>
              <w:t>举办群众活动次数（次）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0333">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0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0B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6DA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23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D3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5A18">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DC2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0742F">
            <w:pPr>
              <w:jc w:val="center"/>
            </w:pPr>
          </w:p>
        </w:tc>
      </w:tr>
      <w:tr w14:paraId="6801E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EC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DC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744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E1DF">
            <w:pPr>
              <w:jc w:val="center"/>
            </w:pPr>
            <w:r>
              <w:rPr>
                <w:rFonts w:ascii="宋体" w:hAnsi="宋体" w:eastAsia="宋体"/>
                <w:sz w:val="16"/>
              </w:rPr>
              <w:t>开展群众工作活动次数（次）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B658">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E6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EC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24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48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E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BD07">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910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FDFC5">
            <w:pPr>
              <w:jc w:val="center"/>
            </w:pPr>
          </w:p>
        </w:tc>
      </w:tr>
      <w:tr w14:paraId="67B44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86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C9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587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803F">
            <w:pPr>
              <w:jc w:val="center"/>
            </w:pPr>
            <w:r>
              <w:rPr>
                <w:rFonts w:ascii="宋体" w:hAnsi="宋体" w:eastAsia="宋体"/>
                <w:sz w:val="16"/>
              </w:rPr>
              <w:t>租赁房屋套数（套）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ED07">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87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F1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F6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B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94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D283">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387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FD5BA">
            <w:pPr>
              <w:jc w:val="center"/>
            </w:pPr>
          </w:p>
        </w:tc>
      </w:tr>
      <w:tr w14:paraId="49FCB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F7B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BC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9F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B33A">
            <w:pPr>
              <w:jc w:val="center"/>
            </w:pPr>
            <w:r>
              <w:rPr>
                <w:rFonts w:ascii="宋体" w:hAnsi="宋体" w:eastAsia="宋体"/>
                <w:sz w:val="16"/>
              </w:rPr>
              <w:t>购买办公用品批数（批）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25AF">
            <w:pPr>
              <w:jc w:val="center"/>
            </w:pPr>
            <w:r>
              <w:rPr>
                <w:rFonts w:ascii="宋体" w:hAnsi="宋体" w:eastAsia="宋体"/>
                <w:sz w:val="16"/>
              </w:rPr>
              <w: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6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1B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44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5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1D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EBD5">
            <w:pPr>
              <w:jc w:val="center"/>
            </w:pPr>
            <w:r>
              <w:rPr>
                <w:rFonts w:ascii="宋体" w:hAnsi="宋体" w:eastAsia="宋体"/>
                <w:sz w:val="16"/>
              </w:rPr>
              <w: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42E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9D4C5">
            <w:pPr>
              <w:jc w:val="center"/>
            </w:pPr>
          </w:p>
        </w:tc>
      </w:tr>
      <w:tr w14:paraId="6BD3D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CD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1B4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7E2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F447">
            <w:pPr>
              <w:jc w:val="center"/>
            </w:pPr>
            <w:r>
              <w:rPr>
                <w:rFonts w:ascii="宋体" w:hAnsi="宋体" w:eastAsia="宋体"/>
                <w:sz w:val="16"/>
              </w:rPr>
              <w:t>宣传开展群众文体活动覆盖率（%）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9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89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A8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12B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59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4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C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68E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E0BE5">
            <w:pPr>
              <w:jc w:val="center"/>
            </w:pPr>
          </w:p>
        </w:tc>
      </w:tr>
      <w:tr w14:paraId="4FEC9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6C2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83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E4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156D">
            <w:pPr>
              <w:jc w:val="center"/>
            </w:pPr>
            <w:r>
              <w:rPr>
                <w:rFonts w:ascii="宋体" w:hAnsi="宋体" w:eastAsia="宋体"/>
                <w:sz w:val="16"/>
              </w:rPr>
              <w:t>购买办公用品验收合格率（%）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A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B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BF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D0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07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32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D7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AB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5B80B">
            <w:pPr>
              <w:jc w:val="center"/>
            </w:pPr>
          </w:p>
        </w:tc>
      </w:tr>
      <w:tr w14:paraId="0547E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DA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59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33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9664">
            <w:pPr>
              <w:jc w:val="center"/>
            </w:pPr>
            <w:r>
              <w:rPr>
                <w:rFonts w:ascii="宋体" w:hAnsi="宋体" w:eastAsia="宋体"/>
                <w:sz w:val="16"/>
              </w:rPr>
              <w:t>开展群众活动及时率（%）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2F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A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29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49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FD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A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B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4F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8D0F1">
            <w:pPr>
              <w:jc w:val="center"/>
            </w:pPr>
          </w:p>
        </w:tc>
      </w:tr>
      <w:tr w14:paraId="476CCB5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68C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9CC3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589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A703">
            <w:pPr>
              <w:jc w:val="center"/>
            </w:pPr>
            <w:r>
              <w:rPr>
                <w:rFonts w:ascii="宋体" w:hAnsi="宋体" w:eastAsia="宋体"/>
                <w:sz w:val="16"/>
              </w:rPr>
              <w:t>开展群众工作费用（万元）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6CC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9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83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CF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F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09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6690">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384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E7A1E">
            <w:pPr>
              <w:jc w:val="center"/>
            </w:pPr>
          </w:p>
        </w:tc>
      </w:tr>
      <w:tr w14:paraId="74CBA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CBA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0EA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C0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2AC1D">
            <w:pPr>
              <w:jc w:val="center"/>
            </w:pPr>
            <w:r>
              <w:rPr>
                <w:rFonts w:ascii="宋体" w:hAnsi="宋体" w:eastAsia="宋体"/>
                <w:sz w:val="16"/>
              </w:rPr>
              <w:t>房屋租赁费(万元)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F73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84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E3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B2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96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5C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2F6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E3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16C56">
            <w:pPr>
              <w:jc w:val="center"/>
            </w:pPr>
          </w:p>
        </w:tc>
      </w:tr>
      <w:tr w14:paraId="41A08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B6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FEF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76D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50A4">
            <w:pPr>
              <w:jc w:val="center"/>
            </w:pPr>
            <w:r>
              <w:rPr>
                <w:rFonts w:ascii="宋体" w:hAnsi="宋体" w:eastAsia="宋体"/>
                <w:sz w:val="16"/>
              </w:rPr>
              <w:t>宣传开展文体活动费用（万元）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9B3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83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3B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4F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46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80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328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7A3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952E5">
            <w:pPr>
              <w:jc w:val="center"/>
            </w:pPr>
          </w:p>
        </w:tc>
      </w:tr>
      <w:tr w14:paraId="58A04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2EA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3D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73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5149">
            <w:pPr>
              <w:jc w:val="center"/>
            </w:pPr>
            <w:r>
              <w:rPr>
                <w:rFonts w:ascii="宋体" w:hAnsi="宋体" w:eastAsia="宋体"/>
                <w:sz w:val="16"/>
              </w:rPr>
              <w:t>工作队购买办公用品费用（万元）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EBE7">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31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7E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3E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8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C1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5CC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F29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ED828">
            <w:pPr>
              <w:jc w:val="center"/>
            </w:pPr>
          </w:p>
        </w:tc>
      </w:tr>
      <w:tr w14:paraId="03435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00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88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79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A500">
            <w:pPr>
              <w:jc w:val="center"/>
            </w:pPr>
            <w:r>
              <w:rPr>
                <w:rFonts w:ascii="宋体" w:hAnsi="宋体" w:eastAsia="宋体"/>
                <w:sz w:val="16"/>
              </w:rPr>
              <w:t>工作队印刷费（万元）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8CE7">
            <w:pPr>
              <w:jc w:val="center"/>
            </w:pPr>
            <w:r>
              <w:rPr>
                <w:rFonts w:ascii="宋体" w:hAnsi="宋体" w:eastAsia="宋体"/>
                <w:sz w:val="16"/>
              </w:rPr>
              <w:t>&lt;=0.05万元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07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0A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9B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83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F5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90CC">
            <w:pPr>
              <w:jc w:val="center"/>
            </w:pPr>
            <w:r>
              <w:rPr>
                <w:rFonts w:ascii="宋体" w:hAnsi="宋体" w:eastAsia="宋体"/>
                <w:sz w:val="16"/>
              </w:rPr>
              <w: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333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2827">
            <w:pPr>
              <w:jc w:val="center"/>
            </w:pPr>
          </w:p>
        </w:tc>
      </w:tr>
      <w:tr w14:paraId="4417F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211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9ED4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6F2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041B">
            <w:pPr>
              <w:jc w:val="center"/>
            </w:pPr>
            <w:r>
              <w:rPr>
                <w:rFonts w:ascii="宋体" w:hAnsi="宋体" w:eastAsia="宋体"/>
                <w:sz w:val="16"/>
              </w:rPr>
              <w:t>农牧民的幸福感和归属感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3E3B">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3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F4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28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C6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1B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208C">
            <w:pPr>
              <w:jc w:val="center"/>
            </w:pPr>
            <w:r>
              <w:rPr>
                <w:rFonts w:ascii="宋体" w:hAnsi="宋体" w:eastAsia="宋体"/>
                <w:sz w:val="16"/>
              </w:rPr>
              <w:t>明显提高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BB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5F940">
            <w:pPr>
              <w:jc w:val="center"/>
            </w:pPr>
          </w:p>
        </w:tc>
      </w:tr>
      <w:tr w14:paraId="4A1A5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4A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2F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F5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855C">
            <w:pPr>
              <w:jc w:val="center"/>
            </w:pPr>
            <w:r>
              <w:rPr>
                <w:rFonts w:ascii="宋体" w:hAnsi="宋体" w:eastAsia="宋体"/>
                <w:sz w:val="16"/>
              </w:rPr>
              <w:t>维护社会稳定和长治久安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D491">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CCF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E1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D8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DF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FC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C64E">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5E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F8C41">
            <w:pPr>
              <w:jc w:val="center"/>
            </w:pPr>
          </w:p>
        </w:tc>
      </w:tr>
      <w:tr w14:paraId="72ABB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135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33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C8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CECB">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CDF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18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06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EC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0E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3A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F4C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CE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A1D90">
            <w:pPr>
              <w:jc w:val="center"/>
            </w:pPr>
          </w:p>
        </w:tc>
      </w:tr>
      <w:tr w14:paraId="4CCD58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1D1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357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E39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F5E130">
            <w:pPr>
              <w:jc w:val="center"/>
            </w:pPr>
            <w:r>
              <w:rPr>
                <w:rFonts w:ascii="宋体" w:hAnsi="宋体" w:eastAsia="宋体"/>
                <w:sz w:val="16"/>
              </w:rPr>
              <w:t>100分</w:t>
            </w:r>
          </w:p>
        </w:tc>
      </w:tr>
    </w:tbl>
    <w:p w14:paraId="662DE7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90C2770">
        <w:tblPrEx>
          <w:tblCellMar>
            <w:top w:w="0" w:type="dxa"/>
            <w:left w:w="108" w:type="dxa"/>
            <w:bottom w:w="0" w:type="dxa"/>
            <w:right w:w="108" w:type="dxa"/>
          </w:tblCellMar>
        </w:tblPrEx>
        <w:tc>
          <w:tcPr>
            <w:tcW w:w="8848" w:type="dxa"/>
            <w:gridSpan w:val="14"/>
            <w:vAlign w:val="center"/>
          </w:tcPr>
          <w:p w14:paraId="0D49B4E7">
            <w:pPr>
              <w:jc w:val="center"/>
            </w:pPr>
            <w:r>
              <w:rPr>
                <w:rFonts w:ascii="宋体" w:hAnsi="宋体" w:eastAsia="宋体"/>
                <w:sz w:val="24"/>
              </w:rPr>
              <w:t>项目支出绩效自评表</w:t>
            </w:r>
          </w:p>
        </w:tc>
      </w:tr>
      <w:tr w14:paraId="36D30B4F">
        <w:tblPrEx>
          <w:tblCellMar>
            <w:top w:w="0" w:type="dxa"/>
            <w:left w:w="108" w:type="dxa"/>
            <w:bottom w:w="0" w:type="dxa"/>
            <w:right w:w="108" w:type="dxa"/>
          </w:tblCellMar>
        </w:tblPrEx>
        <w:tc>
          <w:tcPr>
            <w:tcW w:w="8848" w:type="dxa"/>
            <w:gridSpan w:val="14"/>
            <w:vAlign w:val="center"/>
          </w:tcPr>
          <w:p w14:paraId="1E655900">
            <w:pPr>
              <w:jc w:val="center"/>
            </w:pPr>
            <w:r>
              <w:rPr>
                <w:rFonts w:ascii="宋体" w:hAnsi="宋体" w:eastAsia="宋体"/>
                <w:sz w:val="24"/>
              </w:rPr>
              <w:t>(2024年度)</w:t>
            </w:r>
          </w:p>
        </w:tc>
      </w:tr>
      <w:tr w14:paraId="634FFE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68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941D5F">
            <w:pPr>
              <w:jc w:val="center"/>
            </w:pPr>
            <w:r>
              <w:rPr>
                <w:rFonts w:ascii="宋体" w:hAnsi="宋体" w:eastAsia="宋体"/>
                <w:sz w:val="16"/>
              </w:rPr>
              <w:t>援疆资金</w:t>
            </w:r>
          </w:p>
        </w:tc>
      </w:tr>
      <w:tr w14:paraId="100EF9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AC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49380E">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53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586EFA">
            <w:pPr>
              <w:jc w:val="center"/>
            </w:pPr>
            <w:r>
              <w:rPr>
                <w:rFonts w:ascii="宋体" w:hAnsi="宋体" w:eastAsia="宋体"/>
                <w:sz w:val="16"/>
              </w:rPr>
              <w:t>克孜勒苏柯尔克孜自治州草原监理所</w:t>
            </w:r>
          </w:p>
        </w:tc>
      </w:tr>
      <w:tr w14:paraId="681088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AA3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47A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BD5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F5D5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C3A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0B0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167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22CDB">
            <w:pPr>
              <w:jc w:val="center"/>
            </w:pPr>
            <w:r>
              <w:rPr>
                <w:rFonts w:ascii="宋体" w:hAnsi="宋体" w:eastAsia="宋体"/>
                <w:sz w:val="16"/>
              </w:rPr>
              <w:t>得分</w:t>
            </w:r>
          </w:p>
        </w:tc>
      </w:tr>
      <w:tr w14:paraId="74372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7C5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BC5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2636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7843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26919">
            <w:pPr>
              <w:jc w:val="center"/>
            </w:pPr>
            <w:r>
              <w:rPr>
                <w:rFonts w:ascii="宋体" w:hAnsi="宋体" w:eastAsia="宋体"/>
                <w:sz w:val="16"/>
              </w:rPr>
              <w:t>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D6B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38C70">
            <w:pPr>
              <w:jc w:val="center"/>
            </w:pPr>
            <w:r>
              <w:rPr>
                <w:rFonts w:ascii="宋体" w:hAnsi="宋体" w:eastAsia="宋体"/>
                <w:sz w:val="16"/>
              </w:rPr>
              <w:t>96.2%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F744">
            <w:pPr>
              <w:jc w:val="center"/>
            </w:pPr>
            <w:r>
              <w:rPr>
                <w:rFonts w:ascii="宋体" w:hAnsi="宋体" w:eastAsia="宋体"/>
                <w:sz w:val="16"/>
              </w:rPr>
              <w:t>9.05分</w:t>
            </w:r>
          </w:p>
        </w:tc>
      </w:tr>
      <w:tr w14:paraId="204EA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117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7DC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45A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EF4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EA0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99F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E64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9086">
            <w:pPr>
              <w:jc w:val="center"/>
            </w:pPr>
            <w:r>
              <w:rPr>
                <w:rFonts w:ascii="宋体" w:hAnsi="宋体" w:eastAsia="宋体"/>
                <w:sz w:val="16"/>
              </w:rPr>
              <w:t>—</w:t>
            </w:r>
          </w:p>
        </w:tc>
      </w:tr>
      <w:tr w14:paraId="7D52F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B39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EEB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9CFC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02D3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AA190">
            <w:pPr>
              <w:jc w:val="center"/>
            </w:pPr>
            <w:r>
              <w:rPr>
                <w:rFonts w:ascii="宋体" w:hAnsi="宋体" w:eastAsia="宋体"/>
                <w:sz w:val="16"/>
              </w:rPr>
              <w:t>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ABF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7CB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92E1">
            <w:pPr>
              <w:jc w:val="center"/>
            </w:pPr>
            <w:r>
              <w:rPr>
                <w:rFonts w:ascii="宋体" w:hAnsi="宋体" w:eastAsia="宋体"/>
                <w:sz w:val="16"/>
              </w:rPr>
              <w:t>—</w:t>
            </w:r>
          </w:p>
        </w:tc>
      </w:tr>
      <w:tr w14:paraId="16DACE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FFE3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66BA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16C590">
            <w:pPr>
              <w:jc w:val="center"/>
            </w:pPr>
            <w:r>
              <w:rPr>
                <w:rFonts w:ascii="宋体" w:hAnsi="宋体" w:eastAsia="宋体"/>
                <w:sz w:val="16"/>
              </w:rPr>
              <w:t>实际完成情况</w:t>
            </w:r>
          </w:p>
        </w:tc>
      </w:tr>
      <w:tr w14:paraId="2E998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5D5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9F4EF">
            <w:pPr>
              <w:jc w:val="both"/>
            </w:pPr>
            <w:r>
              <w:rPr>
                <w:rFonts w:ascii="宋体" w:hAnsi="宋体" w:eastAsia="宋体"/>
                <w:sz w:val="16"/>
              </w:rPr>
              <w:t>该项目总投资10万元，其中：财政资金0万元，其他资金10万元，主要</w:t>
            </w:r>
            <w:r>
              <w:rPr>
                <w:rFonts w:hint="eastAsia" w:ascii="宋体" w:hAnsi="宋体"/>
                <w:sz w:val="16"/>
                <w:lang w:eastAsia="zh-CN"/>
              </w:rPr>
              <w:t>用于</w:t>
            </w:r>
            <w:r>
              <w:rPr>
                <w:rFonts w:ascii="宋体" w:hAnsi="宋体" w:eastAsia="宋体"/>
                <w:sz w:val="16"/>
              </w:rPr>
              <w:t>草原监理所单位运行和项目开展，有利于草原监理所开展草原确权和执法工作，通过该项目实施达到提升草原监理所业务能力</w:t>
            </w:r>
            <w:r>
              <w:rPr>
                <w:rFonts w:hint="eastAsia" w:ascii="宋体" w:hAnsi="宋体"/>
                <w:sz w:val="16"/>
                <w:lang w:eastAsia="zh-CN"/>
              </w:rPr>
              <w:t>的</w:t>
            </w:r>
            <w:r>
              <w:rPr>
                <w:rFonts w:ascii="宋体" w:hAnsi="宋体" w:eastAsia="宋体"/>
                <w:sz w:val="16"/>
              </w:rPr>
              <w:t>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3DFC0C">
            <w:pPr>
              <w:jc w:val="both"/>
            </w:pPr>
            <w:r>
              <w:rPr>
                <w:rFonts w:ascii="宋体" w:hAnsi="宋体" w:eastAsia="宋体"/>
                <w:sz w:val="16"/>
              </w:rPr>
              <w:t>截至2024年12月31日，该项目执行数9.62万元，其中：财政资金0万元，其他资金9.62万元。购买办公用品5次，单位车辆加油4次、单位购买办公家具1次</w:t>
            </w:r>
            <w:r>
              <w:rPr>
                <w:rFonts w:hint="eastAsia" w:ascii="宋体" w:hAnsi="宋体"/>
                <w:sz w:val="16"/>
                <w:lang w:eastAsia="zh-CN"/>
              </w:rPr>
              <w:t>。</w:t>
            </w:r>
            <w:r>
              <w:rPr>
                <w:rFonts w:ascii="宋体" w:hAnsi="宋体" w:eastAsia="宋体"/>
                <w:sz w:val="16"/>
              </w:rPr>
              <w:t>主要</w:t>
            </w:r>
            <w:r>
              <w:rPr>
                <w:rFonts w:hint="eastAsia" w:ascii="宋体" w:hAnsi="宋体"/>
                <w:sz w:val="16"/>
                <w:lang w:eastAsia="zh-CN"/>
              </w:rPr>
              <w:t>用于</w:t>
            </w:r>
            <w:r>
              <w:rPr>
                <w:rFonts w:ascii="宋体" w:hAnsi="宋体" w:eastAsia="宋体"/>
                <w:sz w:val="16"/>
              </w:rPr>
              <w:t>草</w:t>
            </w:r>
            <w:bookmarkStart w:id="0" w:name="_GoBack"/>
            <w:bookmarkEnd w:id="0"/>
            <w:r>
              <w:rPr>
                <w:rFonts w:ascii="宋体" w:hAnsi="宋体" w:eastAsia="宋体"/>
                <w:sz w:val="16"/>
              </w:rPr>
              <w:t>原监理所单位运行和项目开展，有利于草原监理所开展草原确权和执法工作，通过该项目实施达到提升草原监理所业务能力</w:t>
            </w:r>
            <w:r>
              <w:rPr>
                <w:rFonts w:hint="eastAsia" w:ascii="宋体" w:hAnsi="宋体"/>
                <w:sz w:val="16"/>
                <w:lang w:eastAsia="zh-CN"/>
              </w:rPr>
              <w:t>的</w:t>
            </w:r>
            <w:r>
              <w:rPr>
                <w:rFonts w:ascii="宋体" w:hAnsi="宋体" w:eastAsia="宋体"/>
                <w:sz w:val="16"/>
              </w:rPr>
              <w:t>效果。</w:t>
            </w:r>
            <w:r>
              <w:rPr>
                <w:rFonts w:ascii="宋体" w:hAnsi="宋体" w:eastAsia="宋体"/>
                <w:sz w:val="16"/>
              </w:rPr>
              <w:br w:type="textWrapping"/>
            </w:r>
          </w:p>
        </w:tc>
      </w:tr>
      <w:tr w14:paraId="560207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6F1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399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5A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22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AD0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4B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CC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1A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79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DB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781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5B3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DAFE8">
            <w:pPr>
              <w:jc w:val="center"/>
            </w:pPr>
            <w:r>
              <w:rPr>
                <w:rFonts w:ascii="宋体" w:hAnsi="宋体" w:eastAsia="宋体"/>
                <w:sz w:val="16"/>
              </w:rPr>
              <w:t>偏差原因分析及改进措施</w:t>
            </w:r>
          </w:p>
        </w:tc>
      </w:tr>
      <w:tr w14:paraId="485ECF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100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8D8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2AC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01D3">
            <w:pPr>
              <w:jc w:val="center"/>
            </w:pPr>
            <w:r>
              <w:rPr>
                <w:rFonts w:ascii="宋体" w:hAnsi="宋体" w:eastAsia="宋体"/>
                <w:sz w:val="16"/>
              </w:rPr>
              <w:t>购买办公用品(次）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96BC">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B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86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35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1F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16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F112">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95A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74F7">
            <w:pPr>
              <w:jc w:val="center"/>
            </w:pPr>
          </w:p>
        </w:tc>
      </w:tr>
      <w:tr w14:paraId="26F67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31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7D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96D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3E7E">
            <w:pPr>
              <w:jc w:val="center"/>
            </w:pPr>
            <w:r>
              <w:rPr>
                <w:rFonts w:ascii="宋体" w:hAnsi="宋体" w:eastAsia="宋体"/>
                <w:sz w:val="16"/>
              </w:rPr>
              <w:t>单位车辆加油（次）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80B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8E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C6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7A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40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B4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92B9">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36C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3F05C">
            <w:pPr>
              <w:jc w:val="center"/>
            </w:pPr>
          </w:p>
        </w:tc>
      </w:tr>
      <w:tr w14:paraId="51ED2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9B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4B6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908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BE73">
            <w:pPr>
              <w:jc w:val="center"/>
            </w:pPr>
            <w:r>
              <w:rPr>
                <w:rFonts w:ascii="宋体" w:hAnsi="宋体" w:eastAsia="宋体"/>
                <w:sz w:val="16"/>
              </w:rPr>
              <w:t>单位购买办公家具(次)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36B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3C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A3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A2A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BE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DE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D41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83D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C0A86">
            <w:pPr>
              <w:jc w:val="center"/>
            </w:pPr>
          </w:p>
        </w:tc>
      </w:tr>
      <w:tr w14:paraId="7B6BD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B7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B9E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1EA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AB6D">
            <w:pPr>
              <w:jc w:val="center"/>
            </w:pPr>
            <w:r>
              <w:rPr>
                <w:rFonts w:ascii="宋体" w:hAnsi="宋体" w:eastAsia="宋体"/>
                <w:sz w:val="16"/>
              </w:rPr>
              <w:t>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9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8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22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C1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F9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2C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2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749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A6763">
            <w:pPr>
              <w:jc w:val="center"/>
            </w:pPr>
          </w:p>
        </w:tc>
      </w:tr>
      <w:tr w14:paraId="1D19A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FF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A0F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156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ECA4">
            <w:pPr>
              <w:jc w:val="center"/>
            </w:pPr>
            <w:r>
              <w:rPr>
                <w:rFonts w:ascii="宋体" w:hAnsi="宋体" w:eastAsia="宋体"/>
                <w:sz w:val="16"/>
              </w:rPr>
              <w:t>办公家具合格率（%）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9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0C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8D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CDE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1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C7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3C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091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CFFAB">
            <w:pPr>
              <w:jc w:val="center"/>
            </w:pPr>
          </w:p>
        </w:tc>
      </w:tr>
      <w:tr w14:paraId="48AB8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CB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4D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5A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8C5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B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6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38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20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EF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73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C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064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C2566">
            <w:pPr>
              <w:jc w:val="center"/>
            </w:pPr>
          </w:p>
        </w:tc>
      </w:tr>
      <w:tr w14:paraId="27CDA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2FC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097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097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D942">
            <w:pPr>
              <w:jc w:val="center"/>
            </w:pPr>
            <w:r>
              <w:rPr>
                <w:rFonts w:ascii="宋体" w:hAnsi="宋体" w:eastAsia="宋体"/>
                <w:sz w:val="16"/>
              </w:rPr>
              <w:t>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C05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06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16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91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12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F8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E9B8">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01593">
            <w:pPr>
              <w:jc w:val="center"/>
            </w:pPr>
            <w:r>
              <w:rPr>
                <w:rFonts w:ascii="宋体" w:hAnsi="宋体" w:eastAsia="宋体"/>
                <w:sz w:val="16"/>
              </w:rPr>
              <w:t>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D959A">
            <w:pPr>
              <w:jc w:val="center"/>
            </w:pPr>
            <w:r>
              <w:rPr>
                <w:rFonts w:ascii="宋体" w:hAnsi="宋体" w:eastAsia="宋体"/>
                <w:sz w:val="16"/>
              </w:rPr>
              <w:t>偏差原因：项目有结余，加快项目实施。改进措施：项目支付进度慢，加快支付进度。</w:t>
            </w:r>
          </w:p>
        </w:tc>
      </w:tr>
      <w:tr w14:paraId="066F9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A0E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87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B0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B251">
            <w:pPr>
              <w:jc w:val="center"/>
            </w:pPr>
            <w:r>
              <w:rPr>
                <w:rFonts w:ascii="宋体" w:hAnsi="宋体" w:eastAsia="宋体"/>
                <w:sz w:val="16"/>
              </w:rPr>
              <w:t>办公家具（万元）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B441">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41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3E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4D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4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96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4BB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29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71B4F">
            <w:pPr>
              <w:jc w:val="center"/>
            </w:pPr>
          </w:p>
        </w:tc>
      </w:tr>
      <w:tr w14:paraId="46D300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1D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A3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455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693D">
            <w:pPr>
              <w:jc w:val="center"/>
            </w:pPr>
            <w:r>
              <w:rPr>
                <w:rFonts w:ascii="宋体" w:hAnsi="宋体" w:eastAsia="宋体"/>
                <w:sz w:val="16"/>
              </w:rPr>
              <w:t>车辆加油（万元）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FAB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82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21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AE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93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67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F2D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FD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D7948">
            <w:pPr>
              <w:jc w:val="center"/>
            </w:pPr>
          </w:p>
        </w:tc>
      </w:tr>
      <w:tr w14:paraId="0BB23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4F8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41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5A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987C">
            <w:pPr>
              <w:jc w:val="center"/>
            </w:pPr>
            <w:r>
              <w:rPr>
                <w:rFonts w:ascii="宋体" w:hAnsi="宋体" w:eastAsia="宋体"/>
                <w:sz w:val="16"/>
              </w:rPr>
              <w:t>单位能力提升度（%）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5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E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BA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53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D4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0E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98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06C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A1BF8">
            <w:pPr>
              <w:jc w:val="center"/>
            </w:pPr>
          </w:p>
        </w:tc>
      </w:tr>
      <w:tr w14:paraId="6FA0D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656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72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DB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430A">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93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55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46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5B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EF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78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C1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B3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12A02">
            <w:pPr>
              <w:jc w:val="center"/>
            </w:pPr>
          </w:p>
        </w:tc>
      </w:tr>
      <w:tr w14:paraId="39DBD2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0BD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C3B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A6A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86733A">
            <w:pPr>
              <w:jc w:val="center"/>
            </w:pPr>
            <w:r>
              <w:rPr>
                <w:rFonts w:ascii="宋体" w:hAnsi="宋体" w:eastAsia="宋体"/>
                <w:sz w:val="16"/>
              </w:rPr>
              <w:t>96.68分</w:t>
            </w:r>
          </w:p>
        </w:tc>
      </w:tr>
    </w:tbl>
    <w:p w14:paraId="1590C0E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20BF8B1">
        <w:tc>
          <w:tcPr>
            <w:tcW w:w="8848" w:type="dxa"/>
            <w:gridSpan w:val="14"/>
            <w:vAlign w:val="center"/>
          </w:tcPr>
          <w:p w14:paraId="50DBED57">
            <w:pPr>
              <w:jc w:val="center"/>
            </w:pPr>
            <w:r>
              <w:rPr>
                <w:rFonts w:ascii="宋体" w:hAnsi="宋体" w:eastAsia="宋体"/>
                <w:sz w:val="24"/>
              </w:rPr>
              <w:t>项目支出绩效自评表</w:t>
            </w:r>
          </w:p>
        </w:tc>
      </w:tr>
      <w:tr w14:paraId="2A3397B8">
        <w:tblPrEx>
          <w:tblCellMar>
            <w:top w:w="0" w:type="dxa"/>
            <w:left w:w="108" w:type="dxa"/>
            <w:bottom w:w="0" w:type="dxa"/>
            <w:right w:w="108" w:type="dxa"/>
          </w:tblCellMar>
        </w:tblPrEx>
        <w:tc>
          <w:tcPr>
            <w:tcW w:w="8848" w:type="dxa"/>
            <w:gridSpan w:val="14"/>
            <w:vAlign w:val="center"/>
          </w:tcPr>
          <w:p w14:paraId="52BEDBB5">
            <w:pPr>
              <w:jc w:val="center"/>
            </w:pPr>
            <w:r>
              <w:rPr>
                <w:rFonts w:ascii="宋体" w:hAnsi="宋体" w:eastAsia="宋体"/>
                <w:sz w:val="24"/>
              </w:rPr>
              <w:t>(2024年度)</w:t>
            </w:r>
          </w:p>
        </w:tc>
      </w:tr>
      <w:tr w14:paraId="711E1A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0F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61BCA7">
            <w:pPr>
              <w:jc w:val="center"/>
            </w:pPr>
            <w:r>
              <w:rPr>
                <w:rFonts w:ascii="宋体" w:hAnsi="宋体" w:eastAsia="宋体"/>
                <w:sz w:val="16"/>
              </w:rPr>
              <w:t>草原植被恢复费</w:t>
            </w:r>
          </w:p>
        </w:tc>
      </w:tr>
      <w:tr w14:paraId="4BE5D9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BD4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0D2D5E">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85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6A3399">
            <w:pPr>
              <w:jc w:val="center"/>
            </w:pPr>
            <w:r>
              <w:rPr>
                <w:rFonts w:ascii="宋体" w:hAnsi="宋体" w:eastAsia="宋体"/>
                <w:sz w:val="16"/>
              </w:rPr>
              <w:t>克孜勒苏柯尔克孜自治州草原监理所</w:t>
            </w:r>
          </w:p>
        </w:tc>
      </w:tr>
      <w:tr w14:paraId="1FE9CB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490A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A7C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B5B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A58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BA5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F9B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FCB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4AFB">
            <w:pPr>
              <w:jc w:val="center"/>
            </w:pPr>
            <w:r>
              <w:rPr>
                <w:rFonts w:ascii="宋体" w:hAnsi="宋体" w:eastAsia="宋体"/>
                <w:sz w:val="16"/>
              </w:rPr>
              <w:t>得分</w:t>
            </w:r>
          </w:p>
        </w:tc>
      </w:tr>
      <w:tr w14:paraId="1D318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D43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F6F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E0AF">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8839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26C2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4D5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7B59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AA9A">
            <w:pPr>
              <w:jc w:val="center"/>
            </w:pPr>
            <w:r>
              <w:rPr>
                <w:rFonts w:ascii="宋体" w:hAnsi="宋体" w:eastAsia="宋体"/>
                <w:sz w:val="16"/>
              </w:rPr>
              <w:t>10.00分</w:t>
            </w:r>
          </w:p>
        </w:tc>
      </w:tr>
      <w:tr w14:paraId="010B6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245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C38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10E3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96781">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C357E">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582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6D4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E17F">
            <w:pPr>
              <w:jc w:val="center"/>
            </w:pPr>
            <w:r>
              <w:rPr>
                <w:rFonts w:ascii="宋体" w:hAnsi="宋体" w:eastAsia="宋体"/>
                <w:sz w:val="16"/>
              </w:rPr>
              <w:t>—</w:t>
            </w:r>
          </w:p>
        </w:tc>
      </w:tr>
      <w:tr w14:paraId="05E02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A7D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9F6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F66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2B4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C21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82D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957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CB16">
            <w:pPr>
              <w:jc w:val="center"/>
            </w:pPr>
            <w:r>
              <w:rPr>
                <w:rFonts w:ascii="宋体" w:hAnsi="宋体" w:eastAsia="宋体"/>
                <w:sz w:val="16"/>
              </w:rPr>
              <w:t>—</w:t>
            </w:r>
          </w:p>
        </w:tc>
      </w:tr>
      <w:tr w14:paraId="65D91C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CA08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ECF9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AAE311">
            <w:pPr>
              <w:jc w:val="center"/>
            </w:pPr>
            <w:r>
              <w:rPr>
                <w:rFonts w:ascii="宋体" w:hAnsi="宋体" w:eastAsia="宋体"/>
                <w:sz w:val="16"/>
              </w:rPr>
              <w:t>实际完成情况</w:t>
            </w:r>
          </w:p>
        </w:tc>
      </w:tr>
      <w:tr w14:paraId="0DBEE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329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8B7BB4">
            <w:pPr>
              <w:jc w:val="both"/>
            </w:pPr>
            <w:r>
              <w:rPr>
                <w:rFonts w:ascii="宋体" w:hAnsi="宋体" w:eastAsia="宋体"/>
                <w:sz w:val="16"/>
              </w:rPr>
              <w:t>该项目资金投入总额为1万元，其中财政资金1万元，其他资金0万元。完成禁牧、草畜平衡管理和草原执法监管。完成2023年禁牧、草畜平衡管理报告和2023年执法监管报告；县市区形成2023年禁牧、草畜平衡管理报告和执法监管报告。开展草原征占用现场查验。完成全州4个县市10公顷以上草原征占用现场查验，做好草原征占用对县市检查技术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07D6D7">
            <w:pPr>
              <w:jc w:val="both"/>
            </w:pPr>
            <w:r>
              <w:rPr>
                <w:rFonts w:ascii="宋体" w:hAnsi="宋体" w:eastAsia="宋体"/>
                <w:sz w:val="16"/>
              </w:rPr>
              <w:t>截至2024年12月31日，该项目执行数1万元，其中财政资金1万元，其他资金0万元。完成草原征占用现场查验县市4个，禁牧和草畜平衡管理32次。完成克州草原禁牧、草畜平衡管理报告和执法监管报告。开展草原征占用现场查验。完成全州4个县市10公顷以上草原征占用现场查验，做好草原征占用对县市检查技术服务。</w:t>
            </w:r>
            <w:r>
              <w:rPr>
                <w:rFonts w:ascii="宋体" w:hAnsi="宋体" w:eastAsia="宋体"/>
                <w:sz w:val="16"/>
              </w:rPr>
              <w:tab/>
            </w:r>
          </w:p>
        </w:tc>
      </w:tr>
      <w:tr w14:paraId="01C9B2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A5E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D6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0A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C3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448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FD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AE3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9B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090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CD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52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A10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9A2F5">
            <w:pPr>
              <w:jc w:val="center"/>
            </w:pPr>
            <w:r>
              <w:rPr>
                <w:rFonts w:ascii="宋体" w:hAnsi="宋体" w:eastAsia="宋体"/>
                <w:sz w:val="16"/>
              </w:rPr>
              <w:t>偏差原因分析及改进措施</w:t>
            </w:r>
          </w:p>
        </w:tc>
      </w:tr>
      <w:tr w14:paraId="2E5DFB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942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BFC0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B9F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AAEE">
            <w:pPr>
              <w:jc w:val="center"/>
            </w:pPr>
            <w:r>
              <w:rPr>
                <w:rFonts w:ascii="宋体" w:hAnsi="宋体" w:eastAsia="宋体"/>
                <w:sz w:val="16"/>
              </w:rPr>
              <w:t>草原征占用现场查验（县市个数）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782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7D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7E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31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E0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E7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4031">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0FB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51700">
            <w:pPr>
              <w:jc w:val="center"/>
            </w:pPr>
          </w:p>
        </w:tc>
      </w:tr>
      <w:tr w14:paraId="796C8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74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AF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D8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AAB0">
            <w:pPr>
              <w:jc w:val="center"/>
            </w:pPr>
            <w:r>
              <w:rPr>
                <w:rFonts w:ascii="宋体" w:hAnsi="宋体" w:eastAsia="宋体"/>
                <w:sz w:val="16"/>
              </w:rPr>
              <w:t>禁牧和草畜平衡管理（次）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1BE5">
            <w:pPr>
              <w:jc w:val="center"/>
            </w:pPr>
            <w:r>
              <w:rPr>
                <w:rFonts w:ascii="宋体" w:hAnsi="宋体" w:eastAsia="宋体"/>
                <w:sz w:val="16"/>
              </w:rPr>
              <w:t>&gt;=32次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19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5C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45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AA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9E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3EFB">
            <w:pPr>
              <w:jc w:val="center"/>
            </w:pPr>
            <w:r>
              <w:rPr>
                <w:rFonts w:ascii="宋体" w:hAnsi="宋体" w:eastAsia="宋体"/>
                <w:sz w:val="16"/>
              </w:rPr>
              <w:t>=32次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EE1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B2B9B">
            <w:pPr>
              <w:jc w:val="center"/>
            </w:pPr>
          </w:p>
        </w:tc>
      </w:tr>
      <w:tr w14:paraId="20F72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2D4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64A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A8B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0AE4">
            <w:pPr>
              <w:jc w:val="center"/>
            </w:pPr>
            <w:r>
              <w:rPr>
                <w:rFonts w:ascii="宋体" w:hAnsi="宋体" w:eastAsia="宋体"/>
                <w:sz w:val="16"/>
              </w:rPr>
              <w:t>禁牧和草畜平衡管理任务合格率（%）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C84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A6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1B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5D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5E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6C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8E1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40C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CE952">
            <w:pPr>
              <w:jc w:val="center"/>
            </w:pPr>
          </w:p>
        </w:tc>
      </w:tr>
      <w:tr w14:paraId="617C1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C0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631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99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8C64">
            <w:pPr>
              <w:jc w:val="center"/>
            </w:pPr>
            <w:r>
              <w:rPr>
                <w:rFonts w:ascii="宋体" w:hAnsi="宋体" w:eastAsia="宋体"/>
                <w:sz w:val="16"/>
              </w:rPr>
              <w:t>草原征占用现场查验任务合格率（%）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CF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1E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76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82A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47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0C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D56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9A3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3BBB4">
            <w:pPr>
              <w:jc w:val="center"/>
            </w:pPr>
          </w:p>
        </w:tc>
      </w:tr>
      <w:tr w14:paraId="7D535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D6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8D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B9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45B6">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BB6E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0B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6C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56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56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B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AE3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E6F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F2A22">
            <w:pPr>
              <w:jc w:val="center"/>
            </w:pPr>
          </w:p>
        </w:tc>
      </w:tr>
      <w:tr w14:paraId="58163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0D8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AE6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D5A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AA29">
            <w:pPr>
              <w:jc w:val="center"/>
            </w:pPr>
            <w:r>
              <w:rPr>
                <w:rFonts w:ascii="宋体" w:hAnsi="宋体" w:eastAsia="宋体"/>
                <w:sz w:val="16"/>
              </w:rPr>
              <w:t>禁牧和草畜平衡管理（万元）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D135">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96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43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CC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65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05C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D319">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76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9FD1A">
            <w:pPr>
              <w:jc w:val="center"/>
            </w:pPr>
          </w:p>
        </w:tc>
      </w:tr>
      <w:tr w14:paraId="7872C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253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FB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D99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939A">
            <w:pPr>
              <w:jc w:val="center"/>
            </w:pPr>
            <w:r>
              <w:rPr>
                <w:rFonts w:ascii="宋体" w:hAnsi="宋体" w:eastAsia="宋体"/>
                <w:sz w:val="16"/>
              </w:rPr>
              <w:t>草原征占用现场查验（万元）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5CE3">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39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C5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BB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5F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6D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0194">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00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7C5A2">
            <w:pPr>
              <w:jc w:val="center"/>
            </w:pPr>
          </w:p>
        </w:tc>
      </w:tr>
      <w:tr w14:paraId="0BAF5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111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86C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2F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1142">
            <w:pPr>
              <w:jc w:val="center"/>
            </w:pPr>
            <w:r>
              <w:rPr>
                <w:rFonts w:ascii="宋体" w:hAnsi="宋体" w:eastAsia="宋体"/>
                <w:sz w:val="16"/>
              </w:rPr>
              <w:t>成果是否具有长期指导性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94D1">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4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23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87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38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E6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0FEE">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13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C25D3">
            <w:pPr>
              <w:jc w:val="center"/>
            </w:pPr>
          </w:p>
        </w:tc>
      </w:tr>
      <w:tr w14:paraId="6E8D7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719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8C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8BE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537F">
            <w:pPr>
              <w:jc w:val="center"/>
            </w:pPr>
            <w:r>
              <w:rPr>
                <w:rFonts w:ascii="宋体" w:hAnsi="宋体" w:eastAsia="宋体"/>
                <w:sz w:val="16"/>
              </w:rPr>
              <w:t>能否对草原保护管理形成有效支持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34A1">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B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87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DA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FA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3C4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7051">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D2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F9248">
            <w:pPr>
              <w:jc w:val="center"/>
            </w:pPr>
          </w:p>
        </w:tc>
      </w:tr>
      <w:tr w14:paraId="5F290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E82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98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3E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9AD4">
            <w:pPr>
              <w:jc w:val="center"/>
            </w:pPr>
            <w:r>
              <w:rPr>
                <w:rFonts w:ascii="宋体" w:hAnsi="宋体" w:eastAsia="宋体"/>
                <w:sz w:val="16"/>
              </w:rPr>
              <w:t>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6389">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C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D2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15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06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E2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261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0A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6D120">
            <w:pPr>
              <w:jc w:val="center"/>
            </w:pPr>
          </w:p>
        </w:tc>
      </w:tr>
      <w:tr w14:paraId="08D075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B87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560A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D3D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DDE8AE">
            <w:pPr>
              <w:jc w:val="center"/>
            </w:pPr>
            <w:r>
              <w:rPr>
                <w:rFonts w:ascii="宋体" w:hAnsi="宋体" w:eastAsia="宋体"/>
                <w:sz w:val="16"/>
              </w:rPr>
              <w:t>100分</w:t>
            </w:r>
          </w:p>
        </w:tc>
      </w:tr>
    </w:tbl>
    <w:p w14:paraId="593A9080">
      <w:r>
        <w:br w:type="page"/>
      </w:r>
    </w:p>
    <w:p w14:paraId="323B6126">
      <w:pPr>
        <w:spacing w:line="640" w:lineRule="exact"/>
        <w:ind w:firstLine="640"/>
        <w:jc w:val="both"/>
        <w:outlineLvl w:val="2"/>
      </w:pPr>
      <w:r>
        <w:rPr>
          <w:rFonts w:ascii="黑体" w:hAnsi="黑体" w:eastAsia="黑体"/>
          <w:sz w:val="32"/>
        </w:rPr>
        <w:t>十二、其他需说明的事项</w:t>
      </w:r>
    </w:p>
    <w:p w14:paraId="1C24B569">
      <w:pPr>
        <w:spacing w:line="580" w:lineRule="exact"/>
        <w:ind w:firstLine="640"/>
        <w:jc w:val="both"/>
      </w:pPr>
      <w:r>
        <w:rPr>
          <w:rFonts w:ascii="仿宋_GB2312" w:hAnsi="仿宋_GB2312" w:eastAsia="仿宋_GB2312"/>
          <w:b w:val="0"/>
          <w:sz w:val="32"/>
        </w:rPr>
        <w:t>本单位无其他需说明的事项。</w:t>
      </w:r>
    </w:p>
    <w:p w14:paraId="5CE3F06B">
      <w:r>
        <w:br w:type="page"/>
      </w:r>
    </w:p>
    <w:p w14:paraId="182AEDBF">
      <w:pPr>
        <w:spacing w:line="240" w:lineRule="auto"/>
        <w:jc w:val="center"/>
        <w:outlineLvl w:val="1"/>
      </w:pPr>
      <w:r>
        <w:rPr>
          <w:rFonts w:ascii="黑体" w:hAnsi="黑体" w:eastAsia="黑体"/>
          <w:sz w:val="32"/>
        </w:rPr>
        <w:t>第三部分 专业名词解释</w:t>
      </w:r>
    </w:p>
    <w:p w14:paraId="1B4B3A2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9941F1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8A6E0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276D46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E88F4E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DD8E11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CC9C45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9FD2DD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51377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EA7CE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910489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17F11C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58D916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71393B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1396ED3">
      <w:r>
        <w:br w:type="page"/>
      </w:r>
    </w:p>
    <w:p w14:paraId="5DE0FE56">
      <w:pPr>
        <w:spacing w:line="240" w:lineRule="auto"/>
        <w:jc w:val="center"/>
        <w:outlineLvl w:val="1"/>
      </w:pPr>
      <w:r>
        <w:rPr>
          <w:rFonts w:ascii="黑体" w:hAnsi="黑体" w:eastAsia="黑体"/>
          <w:sz w:val="32"/>
        </w:rPr>
        <w:t>第四部分 部门决算报表（见附表）</w:t>
      </w:r>
    </w:p>
    <w:p w14:paraId="327EA333">
      <w:pPr>
        <w:spacing w:line="240" w:lineRule="auto"/>
        <w:ind w:firstLine="640"/>
        <w:jc w:val="both"/>
      </w:pPr>
      <w:r>
        <w:rPr>
          <w:rFonts w:ascii="仿宋_GB2312" w:hAnsi="仿宋_GB2312" w:eastAsia="仿宋_GB2312"/>
          <w:b w:val="0"/>
          <w:sz w:val="32"/>
        </w:rPr>
        <w:t>一、《收入支出决算总表》</w:t>
      </w:r>
    </w:p>
    <w:p w14:paraId="42DE5C10">
      <w:pPr>
        <w:spacing w:line="240" w:lineRule="auto"/>
        <w:ind w:firstLine="640"/>
        <w:jc w:val="both"/>
      </w:pPr>
      <w:r>
        <w:rPr>
          <w:rFonts w:ascii="仿宋_GB2312" w:hAnsi="仿宋_GB2312" w:eastAsia="仿宋_GB2312"/>
          <w:b w:val="0"/>
          <w:sz w:val="32"/>
        </w:rPr>
        <w:t>二、《收入决算表》</w:t>
      </w:r>
    </w:p>
    <w:p w14:paraId="0814E2DA">
      <w:pPr>
        <w:spacing w:line="240" w:lineRule="auto"/>
        <w:ind w:firstLine="640"/>
        <w:jc w:val="both"/>
      </w:pPr>
      <w:r>
        <w:rPr>
          <w:rFonts w:ascii="仿宋_GB2312" w:hAnsi="仿宋_GB2312" w:eastAsia="仿宋_GB2312"/>
          <w:b w:val="0"/>
          <w:sz w:val="32"/>
        </w:rPr>
        <w:t>三、《支出决算表》</w:t>
      </w:r>
    </w:p>
    <w:p w14:paraId="4A41564D">
      <w:pPr>
        <w:spacing w:line="240" w:lineRule="auto"/>
        <w:ind w:firstLine="640"/>
        <w:jc w:val="both"/>
      </w:pPr>
      <w:r>
        <w:rPr>
          <w:rFonts w:ascii="仿宋_GB2312" w:hAnsi="仿宋_GB2312" w:eastAsia="仿宋_GB2312"/>
          <w:b w:val="0"/>
          <w:sz w:val="32"/>
        </w:rPr>
        <w:t>四、《财政拨款收入支出决算总表》</w:t>
      </w:r>
    </w:p>
    <w:p w14:paraId="2C0A3C8F">
      <w:pPr>
        <w:spacing w:line="240" w:lineRule="auto"/>
        <w:ind w:firstLine="640"/>
        <w:jc w:val="both"/>
      </w:pPr>
      <w:r>
        <w:rPr>
          <w:rFonts w:ascii="仿宋_GB2312" w:hAnsi="仿宋_GB2312" w:eastAsia="仿宋_GB2312"/>
          <w:b w:val="0"/>
          <w:sz w:val="32"/>
        </w:rPr>
        <w:t>五、《一般公共预算财政拨款支出决算表》</w:t>
      </w:r>
    </w:p>
    <w:p w14:paraId="1FA104D2">
      <w:pPr>
        <w:spacing w:line="240" w:lineRule="auto"/>
        <w:ind w:firstLine="640"/>
        <w:jc w:val="both"/>
      </w:pPr>
      <w:r>
        <w:rPr>
          <w:rFonts w:ascii="仿宋_GB2312" w:hAnsi="仿宋_GB2312" w:eastAsia="仿宋_GB2312"/>
          <w:b w:val="0"/>
          <w:sz w:val="32"/>
        </w:rPr>
        <w:t>六、《一般公共预算财政拨款基本支出决算表》</w:t>
      </w:r>
    </w:p>
    <w:p w14:paraId="6B9C2585">
      <w:pPr>
        <w:spacing w:line="240" w:lineRule="auto"/>
        <w:ind w:firstLine="640"/>
        <w:jc w:val="both"/>
      </w:pPr>
      <w:r>
        <w:rPr>
          <w:rFonts w:ascii="仿宋_GB2312" w:hAnsi="仿宋_GB2312" w:eastAsia="仿宋_GB2312"/>
          <w:b w:val="0"/>
          <w:sz w:val="32"/>
        </w:rPr>
        <w:t>七、《政府性基金预算财政拨款收入支出决算表》</w:t>
      </w:r>
    </w:p>
    <w:p w14:paraId="7714376E">
      <w:pPr>
        <w:spacing w:line="240" w:lineRule="auto"/>
        <w:ind w:firstLine="640"/>
        <w:jc w:val="both"/>
      </w:pPr>
      <w:r>
        <w:rPr>
          <w:rFonts w:ascii="仿宋_GB2312" w:hAnsi="仿宋_GB2312" w:eastAsia="仿宋_GB2312"/>
          <w:b w:val="0"/>
          <w:sz w:val="32"/>
        </w:rPr>
        <w:t>八、《国有资本经营预算财政拨款收入支出决算表》</w:t>
      </w:r>
    </w:p>
    <w:p w14:paraId="50AA00C4">
      <w:pPr>
        <w:spacing w:line="240" w:lineRule="auto"/>
        <w:ind w:firstLine="640"/>
        <w:jc w:val="both"/>
      </w:pPr>
      <w:r>
        <w:rPr>
          <w:rFonts w:ascii="仿宋_GB2312" w:hAnsi="仿宋_GB2312" w:eastAsia="仿宋_GB2312"/>
          <w:b w:val="0"/>
          <w:sz w:val="32"/>
        </w:rPr>
        <w:t>九、《财政拨款“三公”经费支出决算表》</w:t>
      </w:r>
    </w:p>
    <w:p w14:paraId="72F7EBD0">
      <w:pPr>
        <w:spacing w:line="240" w:lineRule="auto"/>
        <w:ind w:firstLine="640"/>
        <w:jc w:val="both"/>
      </w:pPr>
    </w:p>
    <w:p w14:paraId="5C1CA104">
      <w:pPr>
        <w:spacing w:line="240" w:lineRule="auto"/>
        <w:ind w:firstLine="640"/>
        <w:jc w:val="both"/>
      </w:pPr>
    </w:p>
    <w:p w14:paraId="6E0F670C">
      <w:pPr>
        <w:spacing w:line="240" w:lineRule="auto"/>
        <w:ind w:firstLine="640"/>
        <w:jc w:val="both"/>
      </w:pPr>
    </w:p>
    <w:p w14:paraId="6DA53690">
      <w:pPr>
        <w:spacing w:line="240" w:lineRule="auto"/>
        <w:ind w:firstLine="640"/>
        <w:jc w:val="both"/>
      </w:pPr>
    </w:p>
    <w:p w14:paraId="694A4E8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5AEABE-B8C1-4CCD-AAC3-E3C8567BF10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139EE3D-8240-4D6E-8016-ED9EF09B8FB6}"/>
  </w:font>
  <w:font w:name="仿宋_GB2312">
    <w:panose1 w:val="02010609030101010101"/>
    <w:charset w:val="86"/>
    <w:family w:val="modern"/>
    <w:pitch w:val="default"/>
    <w:sig w:usb0="00000001" w:usb1="080E0000" w:usb2="00000000" w:usb3="00000000" w:csb0="00040000" w:csb1="00000000"/>
    <w:embedRegular r:id="rId3" w:fontKey="{91754852-6B47-4467-9EBB-64945E006756}"/>
  </w:font>
  <w:font w:name="楷体_GB2312">
    <w:panose1 w:val="02010609030101010101"/>
    <w:charset w:val="86"/>
    <w:family w:val="auto"/>
    <w:pitch w:val="default"/>
    <w:sig w:usb0="00000001" w:usb1="080E0000" w:usb2="00000000" w:usb3="00000000" w:csb0="00040000" w:csb1="00000000"/>
    <w:embedRegular r:id="rId4" w:fontKey="{66830195-C5DD-43DB-9557-E22C64CD372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3FF010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04385"/>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4518</Words>
  <Characters>5238</Characters>
  <Lines>0</Lines>
  <Paragraphs>0</Paragraphs>
  <TotalTime>5</TotalTime>
  <ScaleCrop>false</ScaleCrop>
  <LinksUpToDate>false</LinksUpToDate>
  <CharactersWithSpaces>5246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2025-09-02T08:04:38Z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