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中共克孜勒苏柯尔克孜自治州纪律检查委员会2024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6B5CED">
      <w:r>
        <w:br w:type="page"/>
      </w:r>
    </w:p>
    <w:p w14:paraId="31D17216">
      <w:pPr>
        <w:spacing w:line="640" w:lineRule="exact"/>
        <w:jc w:val="center"/>
        <w:outlineLvl w:val="1"/>
      </w:pPr>
      <w:r>
        <w:rPr>
          <w:rFonts w:ascii="黑体" w:hAnsi="黑体" w:eastAsia="黑体"/>
          <w:sz w:val="32"/>
        </w:rPr>
        <w:t>第一部分 单位概况</w:t>
      </w:r>
    </w:p>
    <w:p w14:paraId="1F4ACC63">
      <w:pPr>
        <w:spacing w:line="640" w:lineRule="exact"/>
        <w:ind w:firstLine="640"/>
        <w:jc w:val="both"/>
        <w:outlineLvl w:val="2"/>
      </w:pPr>
      <w:r>
        <w:rPr>
          <w:rFonts w:ascii="黑体" w:hAnsi="黑体" w:eastAsia="黑体"/>
          <w:sz w:val="32"/>
        </w:rPr>
        <w:t>一、主要职能</w:t>
      </w:r>
    </w:p>
    <w:p w14:paraId="54BE7BA3">
      <w:pPr>
        <w:spacing w:line="580" w:lineRule="exact"/>
        <w:ind w:firstLine="640"/>
        <w:jc w:val="both"/>
      </w:pPr>
      <w:r>
        <w:rPr>
          <w:rFonts w:ascii="仿宋_GB2312" w:hAnsi="仿宋_GB2312" w:eastAsia="仿宋_GB2312"/>
          <w:sz w:val="32"/>
        </w:rPr>
        <w:t>（一）负责党的纪律检查工作。贯彻落实党中央、中央纪委和自治区党委、自治区纪委监委及自治州党委关于纪律检查工作的决定，维护党的章程和其他党内法规，检查党的路线方针政策和决议的执行情况，协助自治州党委推进全面从严治党、加强党风建设和组织协调反腐败工作。</w:t>
      </w:r>
    </w:p>
    <w:p w14:paraId="5115A371">
      <w:pPr>
        <w:spacing w:line="580" w:lineRule="exact"/>
        <w:ind w:firstLine="640"/>
        <w:jc w:val="both"/>
      </w:pPr>
      <w:r>
        <w:rPr>
          <w:rFonts w:ascii="仿宋_GB2312" w:hAnsi="仿宋_GB2312" w:eastAsia="仿宋_GB2312"/>
          <w:sz w:val="32"/>
        </w:rPr>
        <w:t>（二）依照党的章程和其他党内法规履行监督、执纪、问责职责。负责经常对党员进行遵守纪律的教育，作出关于维护党纪的决定；对自治州党委工作部门、自治州党委批准设立的党组（党委），各县（市）党委、纪委等党的组织和自治州党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w:t>
      </w:r>
      <w:r>
        <w:rPr>
          <w:rFonts w:hint="eastAsia" w:ascii="仿宋_GB2312" w:hAnsi="仿宋_GB2312" w:eastAsia="仿宋_GB2312"/>
          <w:sz w:val="32"/>
          <w:lang w:eastAsia="zh-CN"/>
        </w:rPr>
        <w:t>保障党员权利</w:t>
      </w:r>
      <w:r>
        <w:rPr>
          <w:rFonts w:ascii="仿宋_GB2312" w:hAnsi="仿宋_GB2312" w:eastAsia="仿宋_GB2312"/>
          <w:sz w:val="32"/>
        </w:rPr>
        <w:t>。</w:t>
      </w:r>
    </w:p>
    <w:p w14:paraId="7FAF222E">
      <w:pPr>
        <w:spacing w:line="580" w:lineRule="exact"/>
        <w:ind w:firstLine="640"/>
        <w:jc w:val="both"/>
      </w:pPr>
      <w:r>
        <w:rPr>
          <w:rFonts w:ascii="仿宋_GB2312" w:hAnsi="仿宋_GB2312" w:eastAsia="仿宋_GB2312"/>
          <w:sz w:val="32"/>
        </w:rPr>
        <w:t>（三）在自治州党委领导下组织开展巡察工作。配合自治州党委巡察工作领导小组指导各县（市）党委，自治州党委有关部门、自治州人民政府有关部门巡察工作以及乡（镇）巡察工作。</w:t>
      </w:r>
    </w:p>
    <w:p w14:paraId="0BE07A63">
      <w:pPr>
        <w:spacing w:line="580" w:lineRule="exact"/>
        <w:ind w:firstLine="640"/>
        <w:jc w:val="both"/>
      </w:pPr>
      <w:r>
        <w:rPr>
          <w:rFonts w:ascii="仿宋_GB2312" w:hAnsi="仿宋_GB2312" w:eastAsia="仿宋_GB2312"/>
          <w:sz w:val="32"/>
        </w:rPr>
        <w:t>（四）负责全州监察工作。贯彻落实党中央、国家监委和自治区党委、自治区监委及自治州党委关于监察工作的决定，维护宪法法律，依法对自治州党委管理的行使公权力的公职人员进行监察，调查职务违法和职务犯罪，开展廉政建设和反腐败工作。</w:t>
      </w:r>
    </w:p>
    <w:p w14:paraId="25B47F2E">
      <w:pPr>
        <w:spacing w:line="580" w:lineRule="exact"/>
        <w:ind w:firstLine="640"/>
        <w:jc w:val="both"/>
      </w:pPr>
      <w:r>
        <w:rPr>
          <w:rFonts w:ascii="仿宋_GB2312" w:hAnsi="仿宋_GB2312" w:eastAsia="仿宋_GB2312"/>
          <w:sz w:val="32"/>
        </w:rPr>
        <w:t>（五）依照法律规定履行监督、调查、处置职责。对自治州党委管理的行使公权力的公职人员落实党中央治疆方略、聚焦维护社会稳定和长治久安总目标，维护祖国统一，反对民族分裂情况进行监督检查；推进开展廉政教育，对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14:paraId="59D55AB6">
      <w:pPr>
        <w:spacing w:line="580" w:lineRule="exact"/>
        <w:ind w:firstLine="640"/>
        <w:jc w:val="both"/>
      </w:pPr>
      <w:r>
        <w:rPr>
          <w:rFonts w:ascii="仿宋_GB2312" w:hAnsi="仿宋_GB2312" w:eastAsia="仿宋_GB2312"/>
          <w:sz w:val="32"/>
        </w:rPr>
        <w:t>（六）负责组织协调自治州全面从严治党、党风廉政建设和反腐败宣传教育工作。</w:t>
      </w:r>
    </w:p>
    <w:p w14:paraId="58A96B71">
      <w:pPr>
        <w:spacing w:line="580" w:lineRule="exact"/>
        <w:ind w:firstLine="640"/>
        <w:jc w:val="both"/>
      </w:pPr>
      <w:r>
        <w:rPr>
          <w:rFonts w:ascii="仿宋_GB2312" w:hAnsi="仿宋_GB2312" w:eastAsia="仿宋_GB2312"/>
          <w:sz w:val="32"/>
        </w:rPr>
        <w:t>（七）负责综合分析自治州全面从严治党、党风廉政建设和反腐败工作情况，对纪检监察工作重要理论及实践问题进行调查研究；提出全州纪检监察工作制度建设规划、计划，修改全州纪检监察规章、规范性文件。</w:t>
      </w:r>
    </w:p>
    <w:p w14:paraId="68D2158D">
      <w:pPr>
        <w:spacing w:line="580" w:lineRule="exact"/>
        <w:ind w:firstLine="640"/>
        <w:jc w:val="both"/>
      </w:pPr>
      <w:r>
        <w:rPr>
          <w:rFonts w:ascii="仿宋_GB2312" w:hAnsi="仿宋_GB2312" w:eastAsia="仿宋_GB2312"/>
          <w:sz w:val="32"/>
        </w:rPr>
        <w:t>（八）负责配合自治区纪委监委做好反腐败国际交流、合作和反腐败国际追赃及防逃工作。</w:t>
      </w:r>
    </w:p>
    <w:p w14:paraId="246520C0">
      <w:pPr>
        <w:spacing w:line="580" w:lineRule="exact"/>
        <w:ind w:firstLine="640"/>
        <w:jc w:val="both"/>
      </w:pPr>
      <w:r>
        <w:rPr>
          <w:rFonts w:ascii="仿宋_GB2312" w:hAnsi="仿宋_GB2312" w:eastAsia="仿宋_GB2312"/>
          <w:sz w:val="32"/>
        </w:rPr>
        <w:t>（九）根据干部管理权限，负责自治州纪检监察系统领导班子建设、干部队伍建设和组织建设的综合规划、政策研究、制度建设和业务指导；会同有关方面做好自治州纪委监委派驻（派出）机构、各县（市）纪检监察机关领导班子建设有关工作；组织和指导纪检监察系统干部教育培训工作等。</w:t>
      </w:r>
    </w:p>
    <w:p w14:paraId="2626BDF1">
      <w:pPr>
        <w:spacing w:line="580" w:lineRule="exact"/>
        <w:ind w:firstLine="640"/>
        <w:jc w:val="both"/>
      </w:pPr>
      <w:r>
        <w:rPr>
          <w:rFonts w:ascii="仿宋_GB2312" w:hAnsi="仿宋_GB2312" w:eastAsia="仿宋_GB2312"/>
          <w:sz w:val="32"/>
        </w:rPr>
        <w:t>（十）完成自治区纪委监委和自治州党委交办的其他事项。</w:t>
      </w:r>
    </w:p>
    <w:p w14:paraId="0B8B4BCB">
      <w:pPr>
        <w:spacing w:line="640" w:lineRule="exact"/>
        <w:ind w:firstLine="640"/>
        <w:jc w:val="both"/>
        <w:outlineLvl w:val="2"/>
      </w:pPr>
      <w:r>
        <w:rPr>
          <w:rFonts w:ascii="黑体" w:hAnsi="黑体" w:eastAsia="黑体"/>
          <w:sz w:val="32"/>
        </w:rPr>
        <w:t>二、机构设置及人员情况</w:t>
      </w:r>
    </w:p>
    <w:p w14:paraId="746CA1A7">
      <w:pPr>
        <w:spacing w:line="580" w:lineRule="exact"/>
        <w:ind w:firstLine="640"/>
        <w:jc w:val="both"/>
      </w:pPr>
      <w:r>
        <w:rPr>
          <w:rFonts w:ascii="仿宋_GB2312" w:hAnsi="仿宋_GB2312" w:eastAsia="仿宋_GB2312"/>
          <w:sz w:val="32"/>
        </w:rPr>
        <w:t>中共克孜勒苏柯尔克孜自治州纪律检查委员会2024年度，实有人数175人，其中：在职人员153人，增加16人；离休人员1人，增加0人；退休人员21人,增加2人。</w:t>
      </w:r>
    </w:p>
    <w:p w14:paraId="57FBC281">
      <w:pPr>
        <w:spacing w:line="580" w:lineRule="exact"/>
        <w:ind w:firstLine="640"/>
        <w:jc w:val="both"/>
      </w:pPr>
      <w:r>
        <w:rPr>
          <w:rFonts w:ascii="仿宋_GB2312" w:hAnsi="仿宋_GB2312" w:eastAsia="仿宋_GB2312"/>
          <w:sz w:val="32"/>
        </w:rPr>
        <w:t>中共克孜勒苏柯尔克孜自治州纪律检查委员会无下属预算单位，下设10个科室，分别是：办公室、组织部、宣传部（政策法规研究室）、党风政风监督室、信访室、案件监督管理室、第一至第四监督检查室、第五至第七审查调查室、案件审理室、纪检监察干部监督室。</w:t>
      </w:r>
    </w:p>
    <w:p w14:paraId="125755C3">
      <w:r>
        <w:br w:type="page"/>
      </w:r>
    </w:p>
    <w:p w14:paraId="25CC8875">
      <w:pPr>
        <w:spacing w:line="240" w:lineRule="auto"/>
        <w:jc w:val="center"/>
        <w:outlineLvl w:val="1"/>
      </w:pPr>
      <w:r>
        <w:rPr>
          <w:rFonts w:ascii="黑体" w:hAnsi="黑体" w:eastAsia="黑体"/>
          <w:sz w:val="32"/>
        </w:rPr>
        <w:t>第二部分 部门决算情况说明</w:t>
      </w:r>
    </w:p>
    <w:p w14:paraId="14455D3F">
      <w:pPr>
        <w:spacing w:line="640" w:lineRule="exact"/>
        <w:ind w:firstLine="640"/>
        <w:jc w:val="both"/>
        <w:outlineLvl w:val="2"/>
      </w:pPr>
      <w:r>
        <w:rPr>
          <w:rFonts w:ascii="黑体" w:hAnsi="黑体" w:eastAsia="黑体"/>
          <w:sz w:val="32"/>
        </w:rPr>
        <w:t>一、收入支出决算总体情况说明</w:t>
      </w:r>
    </w:p>
    <w:p w14:paraId="31E8E3FD">
      <w:pPr>
        <w:spacing w:line="580" w:lineRule="exact"/>
        <w:ind w:firstLine="640"/>
        <w:jc w:val="both"/>
      </w:pPr>
      <w:r>
        <w:rPr>
          <w:rFonts w:ascii="仿宋_GB2312" w:hAnsi="仿宋_GB2312" w:eastAsia="仿宋_GB2312"/>
          <w:b/>
          <w:sz w:val="32"/>
        </w:rPr>
        <w:t>2024年度收入总计5,594.24万元，</w:t>
      </w:r>
      <w:r>
        <w:rPr>
          <w:rFonts w:ascii="仿宋_GB2312" w:hAnsi="仿宋_GB2312" w:eastAsia="仿宋_GB2312"/>
          <w:b w:val="0"/>
          <w:sz w:val="32"/>
        </w:rPr>
        <w:t>其中：本年收入合计5,223.75万元，使用非财政拨款结余（含专用结余）0.00万元，年初结转和结余370.50万元。</w:t>
      </w:r>
    </w:p>
    <w:p w14:paraId="5C75605D">
      <w:pPr>
        <w:spacing w:line="580" w:lineRule="exact"/>
        <w:ind w:firstLine="640"/>
        <w:jc w:val="both"/>
      </w:pPr>
      <w:r>
        <w:rPr>
          <w:rFonts w:ascii="仿宋_GB2312" w:hAnsi="仿宋_GB2312" w:eastAsia="仿宋_GB2312"/>
          <w:b/>
          <w:sz w:val="32"/>
        </w:rPr>
        <w:t>2024年度支出总计5,594.24万元，</w:t>
      </w:r>
      <w:r>
        <w:rPr>
          <w:rFonts w:ascii="仿宋_GB2312" w:hAnsi="仿宋_GB2312" w:eastAsia="仿宋_GB2312"/>
          <w:b w:val="0"/>
          <w:sz w:val="32"/>
        </w:rPr>
        <w:t>其中：本年支出合计5,327.12万元，结余分配0.00万元，年末结转和结余267.12万元。</w:t>
      </w:r>
    </w:p>
    <w:p w14:paraId="65ACE235">
      <w:pPr>
        <w:spacing w:line="580" w:lineRule="exact"/>
        <w:ind w:firstLine="640"/>
        <w:jc w:val="both"/>
      </w:pPr>
      <w:r>
        <w:rPr>
          <w:rFonts w:ascii="仿宋_GB2312" w:hAnsi="仿宋_GB2312" w:eastAsia="仿宋_GB2312"/>
          <w:b w:val="0"/>
          <w:sz w:val="32"/>
        </w:rPr>
        <w:t>收入支出总体与上年相比，增加980.56万元，增长21.25%，主要原因是：本年在职人员增加，在职人员工资调增、社保、公积金基数调增，人员经费增加；本年新增审查调查中心工作经费项目，导致经费较上年增加。</w:t>
      </w:r>
    </w:p>
    <w:p w14:paraId="52FC3C38">
      <w:pPr>
        <w:spacing w:line="640" w:lineRule="exact"/>
        <w:ind w:firstLine="640"/>
        <w:jc w:val="both"/>
        <w:outlineLvl w:val="2"/>
      </w:pPr>
      <w:r>
        <w:rPr>
          <w:rFonts w:ascii="黑体" w:hAnsi="黑体" w:eastAsia="黑体"/>
          <w:sz w:val="32"/>
        </w:rPr>
        <w:t>二、收入决算情况说明</w:t>
      </w:r>
    </w:p>
    <w:p w14:paraId="60BCA25F">
      <w:pPr>
        <w:spacing w:line="580" w:lineRule="exact"/>
        <w:ind w:firstLine="640"/>
        <w:jc w:val="both"/>
      </w:pPr>
      <w:r>
        <w:rPr>
          <w:rFonts w:ascii="仿宋_GB2312" w:hAnsi="仿宋_GB2312" w:eastAsia="仿宋_GB2312"/>
          <w:b/>
          <w:sz w:val="32"/>
        </w:rPr>
        <w:t>本年收入5,223.75万元，</w:t>
      </w:r>
      <w:r>
        <w:rPr>
          <w:rFonts w:ascii="仿宋_GB2312" w:hAnsi="仿宋_GB2312" w:eastAsia="仿宋_GB2312"/>
          <w:b w:val="0"/>
          <w:sz w:val="32"/>
        </w:rPr>
        <w:t>其中：财政拨款收入5,196.02万元，占99.47%；上级补助收入0.00万元，占0.00%；事业收入0.00万元，占0.00%；经营收入0.00万元，占0.00%；附属单位上缴收入0.00万元，占0.00%；其他收入27.73万元，占0.53%。</w:t>
      </w:r>
    </w:p>
    <w:p w14:paraId="4E7AC953">
      <w:pPr>
        <w:spacing w:line="640" w:lineRule="exact"/>
        <w:ind w:firstLine="640"/>
        <w:jc w:val="both"/>
        <w:outlineLvl w:val="2"/>
      </w:pPr>
      <w:r>
        <w:rPr>
          <w:rFonts w:ascii="黑体" w:hAnsi="黑体" w:eastAsia="黑体"/>
          <w:sz w:val="32"/>
        </w:rPr>
        <w:t>三、支出决算情况说明</w:t>
      </w:r>
    </w:p>
    <w:p w14:paraId="109B1BB2">
      <w:pPr>
        <w:spacing w:line="580" w:lineRule="exact"/>
        <w:ind w:firstLine="640"/>
        <w:jc w:val="both"/>
      </w:pPr>
      <w:r>
        <w:rPr>
          <w:rFonts w:ascii="仿宋_GB2312" w:hAnsi="仿宋_GB2312" w:eastAsia="仿宋_GB2312"/>
          <w:b/>
          <w:sz w:val="32"/>
        </w:rPr>
        <w:t>本年支出5,327.12万元，</w:t>
      </w:r>
      <w:r>
        <w:rPr>
          <w:rFonts w:ascii="仿宋_GB2312" w:hAnsi="仿宋_GB2312" w:eastAsia="仿宋_GB2312"/>
          <w:b w:val="0"/>
          <w:sz w:val="32"/>
        </w:rPr>
        <w:t>其中：基本支出3,245.50万元，占60.92%；项目支出2,081.63万元，占39.08%；上缴上级支出0.00万元，占0.00%；经营支出0.00万元，占0.00%；对附属单位补助支出0.00万元，占0.00%。</w:t>
      </w:r>
    </w:p>
    <w:p w14:paraId="0D117AED">
      <w:pPr>
        <w:spacing w:line="640" w:lineRule="exact"/>
        <w:ind w:firstLine="640"/>
        <w:jc w:val="both"/>
        <w:outlineLvl w:val="2"/>
      </w:pPr>
      <w:r>
        <w:rPr>
          <w:rFonts w:ascii="黑体" w:hAnsi="黑体" w:eastAsia="黑体"/>
          <w:sz w:val="32"/>
        </w:rPr>
        <w:t>四、财政拨款收入支出决算总体情况说明</w:t>
      </w:r>
    </w:p>
    <w:p w14:paraId="30FE54BB">
      <w:pPr>
        <w:spacing w:line="580" w:lineRule="exact"/>
        <w:ind w:firstLine="640"/>
        <w:jc w:val="both"/>
      </w:pPr>
      <w:r>
        <w:rPr>
          <w:rFonts w:ascii="仿宋_GB2312" w:hAnsi="仿宋_GB2312" w:eastAsia="仿宋_GB2312"/>
          <w:b/>
          <w:sz w:val="32"/>
        </w:rPr>
        <w:t>2024年度财政拨款收入总计5,196.02万元，</w:t>
      </w:r>
      <w:r>
        <w:rPr>
          <w:rFonts w:ascii="仿宋_GB2312" w:hAnsi="仿宋_GB2312" w:eastAsia="仿宋_GB2312"/>
          <w:b w:val="0"/>
          <w:sz w:val="32"/>
        </w:rPr>
        <w:t>其中：年初财政拨款结转和结余0.00万元，本年财政拨款收入5,196.02万元。</w:t>
      </w:r>
      <w:r>
        <w:rPr>
          <w:rFonts w:ascii="仿宋_GB2312" w:hAnsi="仿宋_GB2312" w:eastAsia="仿宋_GB2312"/>
          <w:b/>
          <w:sz w:val="32"/>
        </w:rPr>
        <w:t>财政拨款支出总计5,196.02万元，</w:t>
      </w:r>
      <w:r>
        <w:rPr>
          <w:rFonts w:ascii="仿宋_GB2312" w:hAnsi="仿宋_GB2312" w:eastAsia="仿宋_GB2312"/>
          <w:b w:val="0"/>
          <w:sz w:val="32"/>
        </w:rPr>
        <w:t>其中：年末财政拨款结转和结余0.00万元，本年财政拨款支出5,196.02万元。</w:t>
      </w:r>
    </w:p>
    <w:p w14:paraId="02EC6D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增加1,131.78万元，增长27.85%，主要原因是：本年在职人员增加，在职人员工资调增、社保、公积金基数调增，人员经费增加；本年新增审查调查中心工作经费项目，导致经费较上年增加。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年初预算数3,613.40万元，决算数5,196.02万元，预决算差异率43.80%，主要原因是：年中追加人员工资、社保、公积金基数调增部分资金及审查调查中心工作经费项目，导致预决算存在差异。</w:t>
      </w:r>
    </w:p>
    <w:p w14:paraId="07DCDE1F">
      <w:pPr>
        <w:spacing w:line="640" w:lineRule="exact"/>
        <w:ind w:firstLine="640"/>
        <w:jc w:val="both"/>
        <w:outlineLvl w:val="2"/>
      </w:pPr>
      <w:r>
        <w:rPr>
          <w:rFonts w:ascii="黑体" w:hAnsi="黑体" w:eastAsia="黑体"/>
          <w:sz w:val="32"/>
        </w:rPr>
        <w:t>五、一般公共预算财政拨款支出决算情况说明</w:t>
      </w:r>
    </w:p>
    <w:p w14:paraId="5FBCA782">
      <w:pPr>
        <w:spacing w:line="640" w:lineRule="exact"/>
        <w:ind w:firstLine="640"/>
        <w:jc w:val="both"/>
        <w:outlineLvl w:val="3"/>
      </w:pPr>
      <w:r>
        <w:rPr>
          <w:rFonts w:ascii="楷体_GB2312" w:hAnsi="楷体_GB2312" w:eastAsia="楷体_GB2312"/>
          <w:b/>
          <w:sz w:val="32"/>
        </w:rPr>
        <w:t>（一）一般公共预算财政拨款支出决算总体情况</w:t>
      </w:r>
    </w:p>
    <w:p w14:paraId="63DF5194">
      <w:pPr>
        <w:spacing w:line="580" w:lineRule="exact"/>
        <w:ind w:firstLine="640"/>
        <w:jc w:val="both"/>
      </w:pPr>
      <w:r>
        <w:rPr>
          <w:rFonts w:ascii="仿宋_GB2312" w:hAnsi="仿宋_GB2312" w:eastAsia="仿宋_GB2312"/>
          <w:b/>
          <w:sz w:val="32"/>
        </w:rPr>
        <w:t>2024年度一般公共预算财政拨款支出5,196.02万元，</w:t>
      </w:r>
      <w:r>
        <w:rPr>
          <w:rFonts w:ascii="仿宋_GB2312" w:hAnsi="仿宋_GB2312" w:eastAsia="仿宋_GB2312"/>
          <w:b w:val="0"/>
          <w:sz w:val="32"/>
        </w:rPr>
        <w:t>占本年支出合计的97.54%。</w:t>
      </w:r>
      <w:r>
        <w:rPr>
          <w:rFonts w:ascii="仿宋_GB2312" w:hAnsi="仿宋_GB2312" w:eastAsia="仿宋_GB2312"/>
          <w:b/>
          <w:sz w:val="32"/>
        </w:rPr>
        <w:t>与上年相比，</w:t>
      </w:r>
      <w:r>
        <w:rPr>
          <w:rFonts w:ascii="仿宋_GB2312" w:hAnsi="仿宋_GB2312" w:eastAsia="仿宋_GB2312"/>
          <w:b w:val="0"/>
          <w:sz w:val="32"/>
        </w:rPr>
        <w:t>增加1,131.78万元，增长27.85%，主要原因是：本年在职人员增加，在职人员工资调增、社保、公积金基数调增，人员经费增加；本年新增审查调查中心工作经费项目，导致经费较上年增加。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年初预算数3,613.40万元，决算数5,196.02万元，预决算差异率43.80%，主要原因是：年中追加人员工资、社保、公积金基数调增部分资金及审查调查中心工作经费项目，导致预决算存在差异。</w:t>
      </w:r>
    </w:p>
    <w:p w14:paraId="56C8B4DB">
      <w:pPr>
        <w:spacing w:line="640" w:lineRule="exact"/>
        <w:ind w:firstLine="640"/>
        <w:jc w:val="both"/>
        <w:outlineLvl w:val="3"/>
      </w:pPr>
      <w:r>
        <w:rPr>
          <w:rFonts w:ascii="楷体_GB2312" w:hAnsi="楷体_GB2312" w:eastAsia="楷体_GB2312"/>
          <w:b/>
          <w:sz w:val="32"/>
        </w:rPr>
        <w:t>（二）一般公共预算财政拨款支出决算结构情况</w:t>
      </w:r>
    </w:p>
    <w:p w14:paraId="4A917B6C">
      <w:pPr>
        <w:spacing w:line="580" w:lineRule="exact"/>
        <w:ind w:firstLine="640"/>
        <w:jc w:val="both"/>
      </w:pPr>
      <w:r>
        <w:rPr>
          <w:rFonts w:ascii="仿宋_GB2312" w:hAnsi="仿宋_GB2312" w:eastAsia="仿宋_GB2312"/>
          <w:b w:val="0"/>
          <w:sz w:val="32"/>
        </w:rPr>
        <w:t>1.一般公共服务支出(类)4,796.02万元,占92.30%。</w:t>
      </w:r>
    </w:p>
    <w:p w14:paraId="7CBDA0DB">
      <w:pPr>
        <w:spacing w:line="580" w:lineRule="exact"/>
        <w:ind w:firstLine="640"/>
        <w:jc w:val="both"/>
      </w:pPr>
      <w:r>
        <w:rPr>
          <w:rFonts w:ascii="仿宋_GB2312" w:hAnsi="仿宋_GB2312" w:eastAsia="仿宋_GB2312"/>
          <w:b w:val="0"/>
          <w:sz w:val="32"/>
        </w:rPr>
        <w:t>2.社会保障和就业支出(类)400.00万元,占7.70%。</w:t>
      </w:r>
    </w:p>
    <w:p w14:paraId="40050F46">
      <w:pPr>
        <w:spacing w:line="640" w:lineRule="exact"/>
        <w:ind w:firstLine="640"/>
        <w:jc w:val="both"/>
        <w:outlineLvl w:val="3"/>
      </w:pPr>
      <w:r>
        <w:rPr>
          <w:rFonts w:ascii="楷体_GB2312" w:hAnsi="楷体_GB2312" w:eastAsia="楷体_GB2312"/>
          <w:b/>
          <w:sz w:val="32"/>
        </w:rPr>
        <w:t>（三）一般公共预算财政拨款支出决算具体情况</w:t>
      </w:r>
    </w:p>
    <w:p w14:paraId="5D9FD245">
      <w:pPr>
        <w:spacing w:line="580" w:lineRule="exact"/>
        <w:ind w:firstLine="640"/>
        <w:jc w:val="both"/>
      </w:pPr>
      <w:r>
        <w:rPr>
          <w:rFonts w:ascii="仿宋_GB2312" w:hAnsi="仿宋_GB2312" w:eastAsia="仿宋_GB2312"/>
          <w:b w:val="0"/>
          <w:sz w:val="32"/>
        </w:rPr>
        <w:t>1.一般公共服务支出(类)纪检监察事务(款)行政运行(项):支出决算数为2,539.03万元，比上年决算增加271.37万元，增长11.97%,主要原因是：本年在职人员增加，在职人员工资调增，人员经费增加；本年科目调整，部分办公费用上年在突发公共卫生事件应急处理</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列支，本年全部调整至行政运行列支，导致经费较上年增加。</w:t>
      </w:r>
    </w:p>
    <w:p w14:paraId="1A7036AB">
      <w:pPr>
        <w:spacing w:line="580" w:lineRule="exact"/>
        <w:ind w:firstLine="640"/>
        <w:jc w:val="both"/>
      </w:pPr>
      <w:r>
        <w:rPr>
          <w:rFonts w:ascii="仿宋_GB2312" w:hAnsi="仿宋_GB2312" w:eastAsia="仿宋_GB2312"/>
          <w:b w:val="0"/>
          <w:sz w:val="32"/>
        </w:rPr>
        <w:t>2.一般公共服务支出(类)纪检监察事务(款)事业运行(项):支出决算数为175.36万元，比上年决算增加2.99万元，增长1.73%,主要原因是：本年在职人员工资调增，导致相关人员经费较上年有所增加。</w:t>
      </w:r>
    </w:p>
    <w:p w14:paraId="543A472D">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3.一般公共服务支出(类)纪检监察事务(款)其他纪检监察事务支出(项):支出决算数为2,081.63万元，比上年决算增加778.04万元，增长59.68%,主要原因是：本年新增审查调查中心工作经费项目，导致经费较上年增加。</w:t>
      </w:r>
    </w:p>
    <w:p w14:paraId="02C92D0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4.社会保障和就业支出(类)行政事业单位养老支出(款)行政单位离退休(项):支出决算数为52.20万元，比上年决算增加2.17万元，增长4.34%,主要原因是：本年增加退休人员基础绩效奖，退休费支出增加。</w:t>
      </w:r>
    </w:p>
    <w:p w14:paraId="2B527CE2">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273.34万元，比上年决算增加28.95万元，增长11.85%,主要原因是：本年在职人员增加，养老保险缴费较上年增加。</w:t>
      </w:r>
    </w:p>
    <w:p w14:paraId="40CE5277">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74.46万元，比上年决算增加52.30万元，增长236.01%,主要原因是：本年新增退休人员、调出人员，职业年金缴费支出增加。</w:t>
      </w:r>
    </w:p>
    <w:p w14:paraId="55635991">
      <w:pPr>
        <w:spacing w:line="580" w:lineRule="exact"/>
        <w:ind w:firstLine="640"/>
        <w:jc w:val="both"/>
      </w:pPr>
      <w:r>
        <w:rPr>
          <w:rFonts w:ascii="仿宋_GB2312" w:hAnsi="仿宋_GB2312" w:eastAsia="仿宋_GB2312"/>
          <w:b w:val="0"/>
          <w:sz w:val="32"/>
        </w:rPr>
        <w:t>7.卫生健康支出(类)公共卫生(款)突发公共卫生事件应急处理(项):支出决算数为0.00万元，比上年决算减少4.05万元，下降100.00%,主要原因是：本年科目调整，部分办公费用上年在突发公共卫生事件应急处理</w:t>
      </w:r>
      <w:r>
        <w:rPr>
          <w:rFonts w:hint="eastAsia" w:ascii="仿宋_GB2312" w:hAnsi="仿宋_GB2312" w:eastAsia="仿宋_GB2312"/>
          <w:b w:val="0"/>
          <w:sz w:val="32"/>
          <w:lang w:val="en-US" w:eastAsia="zh-CN"/>
        </w:rPr>
        <w:t>科目</w:t>
      </w:r>
      <w:r>
        <w:rPr>
          <w:rFonts w:ascii="仿宋_GB2312" w:hAnsi="仿宋_GB2312" w:eastAsia="仿宋_GB2312"/>
          <w:b w:val="0"/>
          <w:sz w:val="32"/>
        </w:rPr>
        <w:t>列支，本年全部调整至行政运行</w:t>
      </w:r>
      <w:r>
        <w:rPr>
          <w:rFonts w:hint="eastAsia" w:ascii="仿宋_GB2312" w:hAnsi="仿宋_GB2312" w:eastAsia="仿宋_GB2312"/>
          <w:b w:val="0"/>
          <w:sz w:val="32"/>
          <w:lang w:val="en-US" w:eastAsia="zh-CN"/>
        </w:rPr>
        <w:t>科目</w:t>
      </w:r>
      <w:r>
        <w:rPr>
          <w:rFonts w:ascii="仿宋_GB2312" w:hAnsi="仿宋_GB2312" w:eastAsia="仿宋_GB2312"/>
          <w:b w:val="0"/>
          <w:sz w:val="32"/>
        </w:rPr>
        <w:t>列支，导致经费较上年减少。</w:t>
      </w:r>
    </w:p>
    <w:p w14:paraId="26CBF672">
      <w:pPr>
        <w:spacing w:line="640" w:lineRule="exact"/>
        <w:ind w:firstLine="640"/>
        <w:jc w:val="both"/>
        <w:outlineLvl w:val="2"/>
      </w:pPr>
      <w:r>
        <w:rPr>
          <w:rFonts w:ascii="黑体" w:hAnsi="黑体" w:eastAsia="黑体"/>
          <w:sz w:val="32"/>
        </w:rPr>
        <w:t>六、一般公共预算财政拨款基本支出决算情况说明</w:t>
      </w:r>
    </w:p>
    <w:p w14:paraId="48B68EC7">
      <w:pPr>
        <w:spacing w:line="580" w:lineRule="exact"/>
        <w:ind w:firstLine="640"/>
        <w:jc w:val="both"/>
      </w:pPr>
      <w:r>
        <w:rPr>
          <w:rFonts w:ascii="仿宋_GB2312" w:hAnsi="仿宋_GB2312" w:eastAsia="仿宋_GB2312"/>
          <w:b w:val="0"/>
          <w:sz w:val="32"/>
        </w:rPr>
        <w:t>2024年度一般公共预算财政拨款基本支出3,114.39万元，其中：</w:t>
      </w:r>
      <w:r>
        <w:rPr>
          <w:rFonts w:ascii="仿宋_GB2312" w:hAnsi="仿宋_GB2312" w:eastAsia="仿宋_GB2312"/>
          <w:b/>
          <w:sz w:val="32"/>
        </w:rPr>
        <w:t>人员经费2,949.45万元，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生活补助、奖励金、其他对个人和家庭的补助。</w:t>
      </w:r>
    </w:p>
    <w:p w14:paraId="70F7B792">
      <w:pPr>
        <w:spacing w:line="580" w:lineRule="exact"/>
        <w:ind w:firstLine="640"/>
        <w:jc w:val="both"/>
      </w:pPr>
      <w:r>
        <w:rPr>
          <w:rFonts w:ascii="仿宋_GB2312" w:hAnsi="仿宋_GB2312" w:eastAsia="仿宋_GB2312"/>
          <w:b/>
          <w:sz w:val="32"/>
        </w:rPr>
        <w:t>公用经费164.95万元，</w:t>
      </w:r>
      <w:r>
        <w:rPr>
          <w:rFonts w:ascii="仿宋_GB2312" w:hAnsi="仿宋_GB2312" w:eastAsia="仿宋_GB2312"/>
          <w:b w:val="0"/>
          <w:sz w:val="32"/>
        </w:rPr>
        <w:t>包括：办公费、印刷费、水费、电费、邮电费、取暖费、差旅费、维修（护）费、会议费、培训费、公务接待费、劳务费、委托业务费、工会经费、福利费、公务用车运行维护费、其他商品和服务支出。</w:t>
      </w:r>
    </w:p>
    <w:p w14:paraId="6A2703D2">
      <w:pPr>
        <w:spacing w:line="640" w:lineRule="exact"/>
        <w:ind w:firstLine="640"/>
        <w:jc w:val="both"/>
        <w:outlineLvl w:val="2"/>
      </w:pPr>
      <w:r>
        <w:rPr>
          <w:rFonts w:ascii="黑体" w:hAnsi="黑体" w:eastAsia="黑体"/>
          <w:sz w:val="32"/>
        </w:rPr>
        <w:t>七、政府性基金预算财政拨款收入支出决算情况说明</w:t>
      </w:r>
    </w:p>
    <w:p w14:paraId="5EF7620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C07D49">
      <w:pPr>
        <w:spacing w:line="640" w:lineRule="exact"/>
        <w:ind w:firstLine="640"/>
        <w:jc w:val="both"/>
        <w:outlineLvl w:val="2"/>
      </w:pPr>
      <w:r>
        <w:rPr>
          <w:rFonts w:ascii="黑体" w:hAnsi="黑体" w:eastAsia="黑体"/>
          <w:sz w:val="32"/>
        </w:rPr>
        <w:t>八、国有资本经营预算财政拨款收入支出决算情况说明</w:t>
      </w:r>
    </w:p>
    <w:p w14:paraId="17AF813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5F961F6">
      <w:pPr>
        <w:spacing w:line="640" w:lineRule="exact"/>
        <w:ind w:firstLine="640"/>
        <w:jc w:val="both"/>
        <w:outlineLvl w:val="2"/>
      </w:pPr>
      <w:r>
        <w:rPr>
          <w:rFonts w:ascii="黑体" w:hAnsi="黑体" w:eastAsia="黑体"/>
          <w:sz w:val="32"/>
        </w:rPr>
        <w:t>九、财政拨款“三公”经费支出决算情况说明</w:t>
      </w:r>
    </w:p>
    <w:p w14:paraId="6B102D5A">
      <w:pPr>
        <w:spacing w:line="580" w:lineRule="exact"/>
        <w:ind w:firstLine="640"/>
        <w:jc w:val="both"/>
      </w:pPr>
      <w:r>
        <w:rPr>
          <w:rFonts w:ascii="仿宋_GB2312" w:hAnsi="仿宋_GB2312" w:eastAsia="仿宋_GB2312"/>
          <w:b/>
          <w:sz w:val="32"/>
        </w:rPr>
        <w:t>2024年度财政拨款“三公”经费支出32.86万元，</w:t>
      </w:r>
      <w:r>
        <w:rPr>
          <w:rFonts w:ascii="仿宋_GB2312" w:hAnsi="仿宋_GB2312" w:eastAsia="仿宋_GB2312"/>
          <w:b w:val="0"/>
          <w:sz w:val="32"/>
        </w:rPr>
        <w:t>比上年增加8.75万元，增长36.29%，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31.47万元，占95.77%，比上年增加8.76万元，增长38.57%，主要原因是：本年因业务需求，用车次数增加，燃油费增加，导致公务用车运行维护费较上年增加。公务接待费支出1.39万元，占4.23%，比上年减少0.01万元，下降0.71%，主要原因是：采取有效措施加强公务接待管理，严格控制公务接待活动，认真执行经费开支标准。</w:t>
      </w:r>
    </w:p>
    <w:p w14:paraId="4940789F">
      <w:pPr>
        <w:spacing w:line="580" w:lineRule="exact"/>
        <w:ind w:firstLine="640"/>
        <w:jc w:val="both"/>
      </w:pPr>
      <w:r>
        <w:rPr>
          <w:rFonts w:ascii="仿宋_GB2312" w:hAnsi="仿宋_GB2312" w:eastAsia="仿宋_GB2312"/>
          <w:b/>
          <w:sz w:val="32"/>
        </w:rPr>
        <w:t>具体情况如下：</w:t>
      </w:r>
    </w:p>
    <w:p w14:paraId="1383A9C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67D17D5">
      <w:pPr>
        <w:spacing w:line="580" w:lineRule="exact"/>
        <w:ind w:firstLine="640"/>
        <w:jc w:val="both"/>
      </w:pPr>
      <w:r>
        <w:rPr>
          <w:rFonts w:ascii="仿宋_GB2312" w:hAnsi="仿宋_GB2312" w:eastAsia="仿宋_GB2312"/>
          <w:b w:val="0"/>
          <w:sz w:val="32"/>
        </w:rPr>
        <w:t>公务用车购置及运行维护费31.47万元，其中：公务用车购置费0.00万元，公务用车运行维护费31.47万元。公务用车运行维护费开支内容包括车辆加油费、维修费、保险费、审车费、过路费等。公务用车购置数0辆，公务用车保有量12辆。国有资产占用情况中固定资产车辆12辆，与公务用车保有量差异原因是：本单位固定资产车辆与公务用车保有量一致无差异。</w:t>
      </w:r>
    </w:p>
    <w:p w14:paraId="2FDE2231">
      <w:pPr>
        <w:spacing w:line="580" w:lineRule="exact"/>
        <w:ind w:firstLine="640"/>
        <w:jc w:val="both"/>
      </w:pPr>
      <w:r>
        <w:rPr>
          <w:rFonts w:ascii="仿宋_GB2312" w:hAnsi="仿宋_GB2312" w:eastAsia="仿宋_GB2312"/>
          <w:b w:val="0"/>
          <w:sz w:val="32"/>
        </w:rPr>
        <w:t>公务接待费1.39万元，开支内容包括接待上级领导检查产生的餐费、住宿费。单位全年安排的国内公务接待24批次，120人次。</w:t>
      </w:r>
    </w:p>
    <w:p w14:paraId="52A6465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33.17万元，决算数32.86万元，预决算差异率-0.93%，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31.78万元，决算数31.47万元，预决算差异率-0.98%，主要原因是：严格落实中央八项规定精神，厉行节约，减少经费支出。公务接待费全年预算数1.39万元，决算数1.39万元，预决算差异率0.00%，主要原因是：严格按照预算执行，预决算无差异。</w:t>
      </w:r>
    </w:p>
    <w:p w14:paraId="4A42FAA1">
      <w:pPr>
        <w:spacing w:line="640" w:lineRule="exact"/>
        <w:ind w:firstLine="640"/>
        <w:jc w:val="both"/>
        <w:outlineLvl w:val="2"/>
      </w:pPr>
      <w:r>
        <w:rPr>
          <w:rFonts w:ascii="黑体" w:hAnsi="黑体" w:eastAsia="黑体"/>
          <w:sz w:val="32"/>
        </w:rPr>
        <w:t>十、其他重要事项的情况说明</w:t>
      </w:r>
    </w:p>
    <w:p w14:paraId="10F4B0E8">
      <w:pPr>
        <w:spacing w:line="640" w:lineRule="exact"/>
        <w:ind w:firstLine="640"/>
        <w:jc w:val="both"/>
        <w:outlineLvl w:val="3"/>
      </w:pPr>
      <w:r>
        <w:rPr>
          <w:rFonts w:ascii="楷体_GB2312" w:hAnsi="楷体_GB2312" w:eastAsia="楷体_GB2312"/>
          <w:b/>
          <w:sz w:val="32"/>
        </w:rPr>
        <w:t>（一）机关运行经费及公用经费支出情况</w:t>
      </w:r>
    </w:p>
    <w:p w14:paraId="48D528EF">
      <w:pPr>
        <w:spacing w:line="580" w:lineRule="exact"/>
        <w:ind w:firstLine="640"/>
        <w:jc w:val="both"/>
      </w:pPr>
      <w:r>
        <w:rPr>
          <w:rFonts w:ascii="仿宋_GB2312" w:hAnsi="仿宋_GB2312" w:eastAsia="仿宋_GB2312"/>
          <w:b w:val="0"/>
          <w:sz w:val="32"/>
        </w:rPr>
        <w:t>2024年度中共克孜勒苏柯尔克孜自治州纪律检查委员会（行政单位和参照公务员法管理事业单位）机关运行经费支出164.95万元，比上年减少16.33万元，下降9.01%，主要原因是：严控经费支出，厉行节约，减少办公费和差旅费，导致机关运行经费较上年减少。</w:t>
      </w:r>
    </w:p>
    <w:p w14:paraId="074750A2">
      <w:pPr>
        <w:spacing w:line="640" w:lineRule="exact"/>
        <w:ind w:firstLine="640"/>
        <w:jc w:val="both"/>
        <w:outlineLvl w:val="3"/>
      </w:pPr>
      <w:r>
        <w:rPr>
          <w:rFonts w:ascii="楷体_GB2312" w:hAnsi="楷体_GB2312" w:eastAsia="楷体_GB2312"/>
          <w:b/>
          <w:sz w:val="32"/>
        </w:rPr>
        <w:t>（二）政府采购情况</w:t>
      </w:r>
    </w:p>
    <w:p w14:paraId="7FD89568">
      <w:pPr>
        <w:spacing w:line="580" w:lineRule="exact"/>
        <w:ind w:firstLine="640"/>
        <w:jc w:val="both"/>
      </w:pPr>
      <w:r>
        <w:rPr>
          <w:rFonts w:ascii="仿宋_GB2312" w:hAnsi="仿宋_GB2312" w:eastAsia="仿宋_GB2312"/>
          <w:b w:val="0"/>
          <w:sz w:val="32"/>
        </w:rPr>
        <w:t>2024年度政府采购支出总额49.77万元，其中：政府采购货物支出30.84万元、政府采购工程支出0.00万元、政府采购服务支出18.93万元。</w:t>
      </w:r>
    </w:p>
    <w:p w14:paraId="6A05E6A8">
      <w:pPr>
        <w:spacing w:line="580" w:lineRule="exact"/>
        <w:ind w:firstLine="640"/>
        <w:jc w:val="both"/>
      </w:pPr>
      <w:r>
        <w:rPr>
          <w:rFonts w:ascii="仿宋_GB2312" w:hAnsi="仿宋_GB2312" w:eastAsia="仿宋_GB2312"/>
          <w:b w:val="0"/>
          <w:sz w:val="32"/>
        </w:rPr>
        <w:t>授予中小企业合同金额35.06万元，占政府采购支出总额的70.44%，其中：授予小微企业合同金额34.23万元，占政府采购支出总额的68.78%。</w:t>
      </w:r>
    </w:p>
    <w:p w14:paraId="20BA34FB">
      <w:pPr>
        <w:spacing w:line="640" w:lineRule="exact"/>
        <w:ind w:firstLine="640"/>
        <w:jc w:val="both"/>
        <w:outlineLvl w:val="3"/>
      </w:pPr>
      <w:r>
        <w:rPr>
          <w:rFonts w:ascii="楷体_GB2312" w:hAnsi="楷体_GB2312" w:eastAsia="楷体_GB2312"/>
          <w:b/>
          <w:sz w:val="32"/>
        </w:rPr>
        <w:t>（三）国有资产占用情况说明</w:t>
      </w:r>
    </w:p>
    <w:p w14:paraId="3304FD41">
      <w:pPr>
        <w:spacing w:line="580" w:lineRule="exact"/>
        <w:ind w:firstLine="640"/>
        <w:jc w:val="both"/>
      </w:pPr>
      <w:r>
        <w:rPr>
          <w:rFonts w:ascii="仿宋_GB2312" w:hAnsi="仿宋_GB2312" w:eastAsia="仿宋_GB2312"/>
          <w:b w:val="0"/>
          <w:sz w:val="32"/>
        </w:rPr>
        <w:t>截至2024年12月31日，房屋8,937.00平方米，价值322.81万元。车辆12辆，价值332.79万元，其中：副部（省）级及以上领导用车0辆、主要负责人用车0辆、机要通信用车0辆、应急保障用车0辆、执法执勤用车8辆、特种专业技术用车0辆、离退休干部服务用车0辆、其他用车4辆，其他用车主要是：一般公务用车。单价100万元（含）以上设备（不含车辆）4台（套）。</w:t>
      </w:r>
    </w:p>
    <w:p w14:paraId="0FB9709F">
      <w:pPr>
        <w:spacing w:line="640" w:lineRule="exact"/>
        <w:ind w:firstLine="640"/>
        <w:jc w:val="both"/>
        <w:outlineLvl w:val="2"/>
      </w:pPr>
      <w:r>
        <w:rPr>
          <w:rFonts w:ascii="黑体" w:hAnsi="黑体" w:eastAsia="黑体"/>
          <w:sz w:val="32"/>
        </w:rPr>
        <w:t>十一、预算绩效的情况说明</w:t>
      </w:r>
    </w:p>
    <w:p w14:paraId="5B56DA7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594</w:t>
      </w:r>
      <w:r>
        <w:rPr>
          <w:rFonts w:ascii="仿宋_GB2312" w:hAnsi="仿宋_GB2312" w:eastAsia="仿宋_GB2312"/>
          <w:b w:val="0"/>
          <w:sz w:val="32"/>
        </w:rPr>
        <w:t>.</w:t>
      </w:r>
      <w:r>
        <w:rPr>
          <w:rFonts w:hint="eastAsia" w:ascii="仿宋_GB2312" w:hAnsi="仿宋_GB2312" w:eastAsia="仿宋_GB2312"/>
          <w:b w:val="0"/>
          <w:sz w:val="32"/>
          <w:lang w:val="en-US" w:eastAsia="zh-CN"/>
        </w:rPr>
        <w:t>24</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327</w:t>
      </w:r>
      <w:r>
        <w:rPr>
          <w:rFonts w:ascii="仿宋_GB2312" w:hAnsi="仿宋_GB2312" w:eastAsia="仿宋_GB2312"/>
          <w:b w:val="0"/>
          <w:sz w:val="32"/>
        </w:rPr>
        <w:t>.</w:t>
      </w:r>
      <w:r>
        <w:rPr>
          <w:rFonts w:hint="eastAsia" w:ascii="仿宋_GB2312" w:hAnsi="仿宋_GB2312" w:eastAsia="仿宋_GB2312"/>
          <w:b w:val="0"/>
          <w:sz w:val="32"/>
          <w:lang w:val="en-US" w:eastAsia="zh-CN"/>
        </w:rPr>
        <w:t>12</w:t>
      </w:r>
      <w:r>
        <w:rPr>
          <w:rFonts w:ascii="仿宋_GB2312" w:hAnsi="仿宋_GB2312" w:eastAsia="仿宋_GB2312"/>
          <w:b w:val="0"/>
          <w:sz w:val="32"/>
        </w:rPr>
        <w:t>万元；预算绩效评价项目2个，全年预算数27.73万元，全年执行数27.73万元。预算绩效管理取得的成效：为加强预算管理，规范财务行为，已制定各项管理制度，有效保障了高效履行工作职能，加强了制度建设，打牢绩效管理工作基础。发现的问题及原因：一是对绩效目标偏差问题缺乏有效分析，从而导致填报的内容相对简单。二是在部门整体支出的资金安排和使用上仍有不可预见性，在经费支出科学化精细化管理上还有待加强。下一步改进措施：加大预算绩效评价公开力度。不仅各类预算支出项目的绩效目标需要公开，还应进一步较为详细</w:t>
      </w:r>
      <w:r>
        <w:rPr>
          <w:rFonts w:hint="eastAsia" w:ascii="仿宋_GB2312" w:hAnsi="仿宋_GB2312" w:eastAsia="仿宋_GB2312"/>
          <w:b w:val="0"/>
          <w:sz w:val="32"/>
          <w:lang w:eastAsia="zh-CN"/>
        </w:rPr>
        <w:t>地</w:t>
      </w:r>
      <w:r>
        <w:rPr>
          <w:rFonts w:ascii="仿宋_GB2312" w:hAnsi="仿宋_GB2312" w:eastAsia="仿宋_GB2312"/>
          <w:b w:val="0"/>
          <w:sz w:val="32"/>
        </w:rPr>
        <w:t>公开预算绩效评价结果及后续的追踪问责机制，避免出现各预算单位“自说自话”问题，实现信息透明、共享。具体附项目支出绩效自评表和评价报告。</w:t>
      </w:r>
    </w:p>
    <w:p w14:paraId="6CECB0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BD3906D">
        <w:tblPrEx>
          <w:tblCellMar>
            <w:top w:w="0" w:type="dxa"/>
            <w:left w:w="108" w:type="dxa"/>
            <w:bottom w:w="0" w:type="dxa"/>
            <w:right w:w="108" w:type="dxa"/>
          </w:tblCellMar>
        </w:tblPrEx>
        <w:tc>
          <w:tcPr>
            <w:tcW w:w="8848" w:type="dxa"/>
            <w:gridSpan w:val="14"/>
            <w:vAlign w:val="center"/>
          </w:tcPr>
          <w:p w14:paraId="25230201">
            <w:pPr>
              <w:jc w:val="center"/>
            </w:pPr>
            <w:r>
              <w:rPr>
                <w:rFonts w:ascii="宋体" w:hAnsi="宋体" w:eastAsia="宋体"/>
                <w:sz w:val="24"/>
              </w:rPr>
              <w:t>项目支出绩效自评表</w:t>
            </w:r>
          </w:p>
        </w:tc>
      </w:tr>
      <w:tr w14:paraId="579CEA0D">
        <w:tblPrEx>
          <w:tblCellMar>
            <w:top w:w="0" w:type="dxa"/>
            <w:left w:w="108" w:type="dxa"/>
            <w:bottom w:w="0" w:type="dxa"/>
            <w:right w:w="108" w:type="dxa"/>
          </w:tblCellMar>
        </w:tblPrEx>
        <w:tc>
          <w:tcPr>
            <w:tcW w:w="8848" w:type="dxa"/>
            <w:gridSpan w:val="14"/>
            <w:vAlign w:val="center"/>
          </w:tcPr>
          <w:p w14:paraId="0411BE62">
            <w:pPr>
              <w:jc w:val="center"/>
            </w:pPr>
            <w:r>
              <w:rPr>
                <w:rFonts w:ascii="宋体" w:hAnsi="宋体" w:eastAsia="宋体"/>
                <w:sz w:val="24"/>
              </w:rPr>
              <w:t>(2024年度)</w:t>
            </w:r>
          </w:p>
        </w:tc>
      </w:tr>
      <w:tr w14:paraId="5D51B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8B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619051">
            <w:pPr>
              <w:jc w:val="center"/>
            </w:pPr>
            <w:r>
              <w:rPr>
                <w:rFonts w:ascii="宋体" w:hAnsi="宋体" w:eastAsia="宋体"/>
                <w:sz w:val="16"/>
              </w:rPr>
              <w:t>其他资金</w:t>
            </w:r>
          </w:p>
        </w:tc>
      </w:tr>
      <w:tr w14:paraId="35D769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7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1A9E1A">
            <w:pPr>
              <w:jc w:val="center"/>
            </w:pPr>
            <w:r>
              <w:rPr>
                <w:rFonts w:ascii="宋体" w:hAnsi="宋体" w:eastAsia="宋体"/>
                <w:sz w:val="16"/>
              </w:rPr>
              <w:t>新疆克州纪律检查委员会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E9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84F111">
            <w:pPr>
              <w:jc w:val="center"/>
            </w:pPr>
            <w:r>
              <w:rPr>
                <w:rFonts w:ascii="宋体" w:hAnsi="宋体" w:eastAsia="宋体"/>
                <w:sz w:val="16"/>
              </w:rPr>
              <w:t>中共克孜勒苏柯尔克孜自治州纪律检查委员会</w:t>
            </w:r>
          </w:p>
        </w:tc>
      </w:tr>
      <w:tr w14:paraId="18415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C7D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BD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8D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9E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F7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E58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C2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D273">
            <w:pPr>
              <w:jc w:val="center"/>
            </w:pPr>
            <w:r>
              <w:rPr>
                <w:rFonts w:ascii="宋体" w:hAnsi="宋体" w:eastAsia="宋体"/>
                <w:sz w:val="16"/>
              </w:rPr>
              <w:t>得分</w:t>
            </w:r>
          </w:p>
        </w:tc>
      </w:tr>
      <w:tr w14:paraId="67D78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933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5F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64DE">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19AF1">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484AC">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17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DF5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5FE4">
            <w:pPr>
              <w:jc w:val="center"/>
            </w:pPr>
            <w:r>
              <w:rPr>
                <w:rFonts w:ascii="宋体" w:hAnsi="宋体" w:eastAsia="宋体"/>
                <w:sz w:val="16"/>
              </w:rPr>
              <w:t>10.00分</w:t>
            </w:r>
          </w:p>
        </w:tc>
      </w:tr>
      <w:tr w14:paraId="34054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0CA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DEC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E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98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B2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12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D42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FE83">
            <w:pPr>
              <w:jc w:val="center"/>
            </w:pPr>
            <w:r>
              <w:rPr>
                <w:rFonts w:ascii="宋体" w:hAnsi="宋体" w:eastAsia="宋体"/>
                <w:sz w:val="16"/>
              </w:rPr>
              <w:t>—</w:t>
            </w:r>
          </w:p>
        </w:tc>
      </w:tr>
      <w:tr w14:paraId="29DA8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E07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85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790E4">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01D6A">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094C">
            <w:pPr>
              <w:jc w:val="center"/>
            </w:pPr>
            <w:r>
              <w:rPr>
                <w:rFonts w:ascii="宋体" w:hAnsi="宋体" w:eastAsia="宋体"/>
                <w:sz w:val="16"/>
              </w:rPr>
              <w:t>10.73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72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27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AF10">
            <w:pPr>
              <w:jc w:val="center"/>
            </w:pPr>
            <w:r>
              <w:rPr>
                <w:rFonts w:ascii="宋体" w:hAnsi="宋体" w:eastAsia="宋体"/>
                <w:sz w:val="16"/>
              </w:rPr>
              <w:t>—</w:t>
            </w:r>
          </w:p>
        </w:tc>
      </w:tr>
      <w:tr w14:paraId="0F6E2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60C4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1CDD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2D1DD4">
            <w:pPr>
              <w:jc w:val="center"/>
            </w:pPr>
            <w:r>
              <w:rPr>
                <w:rFonts w:ascii="宋体" w:hAnsi="宋体" w:eastAsia="宋体"/>
                <w:sz w:val="16"/>
              </w:rPr>
              <w:t>实际完成情况</w:t>
            </w:r>
          </w:p>
        </w:tc>
      </w:tr>
      <w:tr w14:paraId="3290A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2D6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90A4C">
            <w:pPr>
              <w:jc w:val="both"/>
            </w:pPr>
            <w:r>
              <w:rPr>
                <w:rFonts w:ascii="宋体" w:hAnsi="宋体" w:eastAsia="宋体"/>
                <w:sz w:val="16"/>
              </w:rPr>
              <w:t>该项目资金总额10.73万元，财政拨款为0万元，其他资金10.73万元；主要用于购买图书、办公用品和过路费，有利于提高敢为的工作效率和干部职工业务能力有效提升。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425FDC">
            <w:pPr>
              <w:jc w:val="both"/>
            </w:pPr>
            <w:r>
              <w:rPr>
                <w:rFonts w:ascii="宋体" w:hAnsi="宋体" w:eastAsia="宋体"/>
                <w:sz w:val="16"/>
              </w:rPr>
              <w:t>截至2024年12月31日，购买图书4次、办公用品5次，过路费360次，通过该项目实施，有利于提高敢为的工作效率和干部职工业务能力有效提升。</w:t>
            </w:r>
          </w:p>
        </w:tc>
      </w:tr>
      <w:tr w14:paraId="7E47BC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E0A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9D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7B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37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59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11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C7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E4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CD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2D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16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37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8975">
            <w:pPr>
              <w:jc w:val="center"/>
            </w:pPr>
            <w:r>
              <w:rPr>
                <w:rFonts w:ascii="宋体" w:hAnsi="宋体" w:eastAsia="宋体"/>
                <w:sz w:val="16"/>
              </w:rPr>
              <w:t>偏差原因分析及改进措施</w:t>
            </w:r>
          </w:p>
        </w:tc>
      </w:tr>
      <w:tr w14:paraId="4CC573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684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A5A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388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8EC5">
            <w:pPr>
              <w:jc w:val="center"/>
            </w:pPr>
            <w:r>
              <w:rPr>
                <w:rFonts w:ascii="宋体" w:hAnsi="宋体" w:eastAsia="宋体"/>
                <w:sz w:val="16"/>
              </w:rPr>
              <w:t>购买书籍（批）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41C3">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C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0F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F5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B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29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247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4C7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ED14C">
            <w:pPr>
              <w:jc w:val="center"/>
            </w:pPr>
          </w:p>
        </w:tc>
      </w:tr>
      <w:tr w14:paraId="0A744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9F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21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A6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06B">
            <w:pPr>
              <w:jc w:val="center"/>
            </w:pPr>
            <w:r>
              <w:rPr>
                <w:rFonts w:ascii="宋体" w:hAnsi="宋体" w:eastAsia="宋体"/>
                <w:sz w:val="16"/>
              </w:rPr>
              <w:t>购买办公用品（批）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62C1">
            <w:pPr>
              <w:jc w:val="center"/>
            </w:pPr>
            <w:r>
              <w:rPr>
                <w:rFonts w:ascii="宋体" w:hAnsi="宋体" w:eastAsia="宋体"/>
                <w:sz w:val="16"/>
              </w:rPr>
              <w:t>&gt;=5批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6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8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5F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7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11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48E7">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59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D9DE">
            <w:pPr>
              <w:jc w:val="center"/>
            </w:pPr>
          </w:p>
        </w:tc>
      </w:tr>
      <w:tr w14:paraId="5A8F5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03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5A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B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64AF">
            <w:pPr>
              <w:jc w:val="center"/>
            </w:pPr>
            <w:r>
              <w:rPr>
                <w:rFonts w:ascii="宋体" w:hAnsi="宋体" w:eastAsia="宋体"/>
                <w:sz w:val="16"/>
              </w:rPr>
              <w:t>过路费（次）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2539">
            <w:pPr>
              <w:jc w:val="center"/>
            </w:pPr>
            <w:r>
              <w:rPr>
                <w:rFonts w:ascii="宋体" w:hAnsi="宋体" w:eastAsia="宋体"/>
                <w:sz w:val="16"/>
              </w:rPr>
              <w:t>&gt;=350次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7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C8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F7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9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5424">
            <w:pPr>
              <w:jc w:val="center"/>
            </w:pPr>
            <w:r>
              <w:rPr>
                <w:rFonts w:ascii="宋体" w:hAnsi="宋体" w:eastAsia="宋体"/>
                <w:sz w:val="16"/>
              </w:rPr>
              <w:t>=350次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AB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8E737">
            <w:pPr>
              <w:jc w:val="center"/>
            </w:pPr>
          </w:p>
        </w:tc>
      </w:tr>
      <w:tr w14:paraId="4B8DE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7A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203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E01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2AE1">
            <w:pPr>
              <w:jc w:val="center"/>
            </w:pPr>
            <w:r>
              <w:rPr>
                <w:rFonts w:ascii="宋体" w:hAnsi="宋体" w:eastAsia="宋体"/>
                <w:sz w:val="16"/>
              </w:rPr>
              <w:t>购买书籍验收合格率（%）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0D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9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0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90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A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9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7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E7E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1877">
            <w:pPr>
              <w:jc w:val="center"/>
            </w:pPr>
          </w:p>
        </w:tc>
      </w:tr>
      <w:tr w14:paraId="0445B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95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DD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27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CBC0">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1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0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6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DB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6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8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C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95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364F">
            <w:pPr>
              <w:jc w:val="center"/>
            </w:pPr>
          </w:p>
        </w:tc>
      </w:tr>
      <w:tr w14:paraId="1E8A9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82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31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A08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6294">
            <w:pPr>
              <w:jc w:val="center"/>
            </w:pPr>
            <w:r>
              <w:rPr>
                <w:rFonts w:ascii="宋体" w:hAnsi="宋体" w:eastAsia="宋体"/>
                <w:sz w:val="16"/>
              </w:rPr>
              <w:t>购买书籍及时性（%）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1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A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62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F9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46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42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A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65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EF0C">
            <w:pPr>
              <w:jc w:val="center"/>
            </w:pPr>
          </w:p>
        </w:tc>
      </w:tr>
      <w:tr w14:paraId="2D8B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01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18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FF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C85D">
            <w:pPr>
              <w:jc w:val="center"/>
            </w:pPr>
            <w:r>
              <w:rPr>
                <w:rFonts w:ascii="宋体" w:hAnsi="宋体" w:eastAsia="宋体"/>
                <w:sz w:val="16"/>
              </w:rPr>
              <w:t>购买办公用品及时性（%）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D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9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93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4A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0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5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4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18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34D98">
            <w:pPr>
              <w:jc w:val="center"/>
            </w:pPr>
          </w:p>
        </w:tc>
      </w:tr>
      <w:tr w14:paraId="7F4A3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421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1F3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D5D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0B88">
            <w:pPr>
              <w:jc w:val="center"/>
            </w:pPr>
            <w:r>
              <w:rPr>
                <w:rFonts w:ascii="宋体" w:hAnsi="宋体" w:eastAsia="宋体"/>
                <w:sz w:val="16"/>
              </w:rPr>
              <w:t>购买书籍金额（万元）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9E0F">
            <w:pPr>
              <w:jc w:val="center"/>
            </w:pPr>
            <w:r>
              <w:rPr>
                <w:rFonts w:ascii="宋体" w:hAnsi="宋体" w:eastAsia="宋体"/>
                <w:sz w:val="16"/>
              </w:rPr>
              <w:t>&lt;=6.73万元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AD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B1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1A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3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3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4BDE4">
            <w:pPr>
              <w:jc w:val="center"/>
            </w:pPr>
            <w:r>
              <w:rPr>
                <w:rFonts w:ascii="宋体" w:hAnsi="宋体" w:eastAsia="宋体"/>
                <w:sz w:val="16"/>
              </w:rPr>
              <w:t>=6.37万元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FC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31F1">
            <w:pPr>
              <w:jc w:val="center"/>
            </w:pPr>
          </w:p>
        </w:tc>
      </w:tr>
      <w:tr w14:paraId="0BD69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48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4B3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0A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5656">
            <w:pPr>
              <w:jc w:val="center"/>
            </w:pPr>
            <w:r>
              <w:rPr>
                <w:rFonts w:ascii="宋体" w:hAnsi="宋体" w:eastAsia="宋体"/>
                <w:sz w:val="16"/>
              </w:rPr>
              <w:t>购买办公用品金额（万元）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6EA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B8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CF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EA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E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42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04A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AF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B1A2">
            <w:pPr>
              <w:jc w:val="center"/>
            </w:pPr>
          </w:p>
        </w:tc>
      </w:tr>
      <w:tr w14:paraId="3623F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0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73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5E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9228">
            <w:pPr>
              <w:jc w:val="center"/>
            </w:pPr>
            <w:r>
              <w:rPr>
                <w:rFonts w:ascii="宋体" w:hAnsi="宋体" w:eastAsia="宋体"/>
                <w:sz w:val="16"/>
              </w:rPr>
              <w:t>过路费金额（万元）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411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D4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8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0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6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07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3F36">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43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085C">
            <w:pPr>
              <w:jc w:val="center"/>
            </w:pPr>
          </w:p>
        </w:tc>
      </w:tr>
      <w:tr w14:paraId="4F860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C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18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18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EBD0">
            <w:pPr>
              <w:jc w:val="center"/>
            </w:pPr>
            <w:r>
              <w:rPr>
                <w:rFonts w:ascii="宋体" w:hAnsi="宋体" w:eastAsia="宋体"/>
                <w:sz w:val="16"/>
              </w:rPr>
              <w:t>业务能力有效提升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63B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D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71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E4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8C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E9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3F2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C94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51A9">
            <w:pPr>
              <w:jc w:val="center"/>
            </w:pPr>
          </w:p>
        </w:tc>
      </w:tr>
      <w:tr w14:paraId="28E0E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6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54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BC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D25D">
            <w:pPr>
              <w:jc w:val="center"/>
            </w:pPr>
            <w:r>
              <w:rPr>
                <w:rFonts w:ascii="宋体" w:hAnsi="宋体" w:eastAsia="宋体"/>
                <w:sz w:val="16"/>
              </w:rPr>
              <w:t>干部群众满意度（%）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F39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9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6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65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47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11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12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C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9696">
            <w:pPr>
              <w:jc w:val="center"/>
            </w:pPr>
          </w:p>
        </w:tc>
      </w:tr>
      <w:tr w14:paraId="29F5C1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3EA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E06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C1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A71EA">
            <w:pPr>
              <w:jc w:val="center"/>
            </w:pPr>
            <w:r>
              <w:rPr>
                <w:rFonts w:ascii="宋体" w:hAnsi="宋体" w:eastAsia="宋体"/>
                <w:sz w:val="16"/>
              </w:rPr>
              <w:t>100分</w:t>
            </w:r>
          </w:p>
        </w:tc>
      </w:tr>
    </w:tbl>
    <w:p w14:paraId="5AC78BA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0DD45D">
        <w:tblPrEx>
          <w:tblCellMar>
            <w:top w:w="0" w:type="dxa"/>
            <w:left w:w="108" w:type="dxa"/>
            <w:bottom w:w="0" w:type="dxa"/>
            <w:right w:w="108" w:type="dxa"/>
          </w:tblCellMar>
        </w:tblPrEx>
        <w:tc>
          <w:tcPr>
            <w:tcW w:w="8848" w:type="dxa"/>
            <w:gridSpan w:val="14"/>
            <w:vAlign w:val="center"/>
          </w:tcPr>
          <w:p w14:paraId="791F28B2">
            <w:pPr>
              <w:jc w:val="center"/>
            </w:pPr>
            <w:r>
              <w:rPr>
                <w:rFonts w:ascii="宋体" w:hAnsi="宋体" w:eastAsia="宋体"/>
                <w:sz w:val="24"/>
              </w:rPr>
              <w:t>项目支出绩效自评表</w:t>
            </w:r>
          </w:p>
        </w:tc>
      </w:tr>
      <w:tr w14:paraId="5157C931">
        <w:tblPrEx>
          <w:tblCellMar>
            <w:top w:w="0" w:type="dxa"/>
            <w:left w:w="108" w:type="dxa"/>
            <w:bottom w:w="0" w:type="dxa"/>
            <w:right w:w="108" w:type="dxa"/>
          </w:tblCellMar>
        </w:tblPrEx>
        <w:tc>
          <w:tcPr>
            <w:tcW w:w="8848" w:type="dxa"/>
            <w:gridSpan w:val="14"/>
            <w:vAlign w:val="center"/>
          </w:tcPr>
          <w:p w14:paraId="181EB653">
            <w:pPr>
              <w:jc w:val="center"/>
            </w:pPr>
            <w:r>
              <w:rPr>
                <w:rFonts w:ascii="宋体" w:hAnsi="宋体" w:eastAsia="宋体"/>
                <w:sz w:val="24"/>
              </w:rPr>
              <w:t>(2024年度)</w:t>
            </w:r>
          </w:p>
        </w:tc>
      </w:tr>
      <w:tr w14:paraId="1CF348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CA4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96D79">
            <w:pPr>
              <w:jc w:val="center"/>
            </w:pPr>
            <w:r>
              <w:rPr>
                <w:rFonts w:ascii="宋体" w:hAnsi="宋体" w:eastAsia="宋体"/>
                <w:sz w:val="16"/>
              </w:rPr>
              <w:t>第一书记和为民办实事工作经费</w:t>
            </w:r>
          </w:p>
        </w:tc>
      </w:tr>
      <w:tr w14:paraId="18D62A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2E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F9D06">
            <w:pPr>
              <w:jc w:val="center"/>
            </w:pPr>
            <w:r>
              <w:rPr>
                <w:rFonts w:ascii="宋体" w:hAnsi="宋体" w:eastAsia="宋体"/>
                <w:sz w:val="16"/>
              </w:rPr>
              <w:t>中共克孜勒苏柯尔克孜自治州纪委监委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32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D3D6B">
            <w:pPr>
              <w:jc w:val="center"/>
            </w:pPr>
            <w:r>
              <w:rPr>
                <w:rFonts w:ascii="宋体" w:hAnsi="宋体" w:eastAsia="宋体"/>
                <w:sz w:val="16"/>
              </w:rPr>
              <w:t>中共克孜勒苏柯尔克孜自治州纪律检查委员会</w:t>
            </w:r>
          </w:p>
        </w:tc>
      </w:tr>
      <w:tr w14:paraId="719CFE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FCC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A83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B68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235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B7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C6C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77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065">
            <w:pPr>
              <w:jc w:val="center"/>
            </w:pPr>
            <w:r>
              <w:rPr>
                <w:rFonts w:ascii="宋体" w:hAnsi="宋体" w:eastAsia="宋体"/>
                <w:sz w:val="16"/>
              </w:rPr>
              <w:t>得分</w:t>
            </w:r>
          </w:p>
        </w:tc>
      </w:tr>
      <w:tr w14:paraId="000D0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D5D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C4D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594D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11C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E42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E0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59BE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DF8F">
            <w:pPr>
              <w:jc w:val="center"/>
            </w:pPr>
            <w:r>
              <w:rPr>
                <w:rFonts w:ascii="宋体" w:hAnsi="宋体" w:eastAsia="宋体"/>
                <w:sz w:val="16"/>
              </w:rPr>
              <w:t>10.00分</w:t>
            </w:r>
          </w:p>
        </w:tc>
      </w:tr>
      <w:tr w14:paraId="5435B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B0D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C41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916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1449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36D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F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D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7053">
            <w:pPr>
              <w:jc w:val="center"/>
            </w:pPr>
            <w:r>
              <w:rPr>
                <w:rFonts w:ascii="宋体" w:hAnsi="宋体" w:eastAsia="宋体"/>
                <w:sz w:val="16"/>
              </w:rPr>
              <w:t>—</w:t>
            </w:r>
          </w:p>
        </w:tc>
      </w:tr>
      <w:tr w14:paraId="03E237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F7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B8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8AD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3E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C09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F2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4DD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2230">
            <w:pPr>
              <w:jc w:val="center"/>
            </w:pPr>
            <w:r>
              <w:rPr>
                <w:rFonts w:ascii="宋体" w:hAnsi="宋体" w:eastAsia="宋体"/>
                <w:sz w:val="16"/>
              </w:rPr>
              <w:t>—</w:t>
            </w:r>
          </w:p>
        </w:tc>
      </w:tr>
      <w:tr w14:paraId="18CDE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437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1A85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CF7648">
            <w:pPr>
              <w:jc w:val="center"/>
            </w:pPr>
            <w:r>
              <w:rPr>
                <w:rFonts w:ascii="宋体" w:hAnsi="宋体" w:eastAsia="宋体"/>
                <w:sz w:val="16"/>
              </w:rPr>
              <w:t>实际完成情况</w:t>
            </w:r>
          </w:p>
        </w:tc>
      </w:tr>
      <w:tr w14:paraId="6FDB4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CD4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C3A19">
            <w:pPr>
              <w:jc w:val="both"/>
            </w:pPr>
            <w:r>
              <w:rPr>
                <w:rFonts w:ascii="宋体" w:hAnsi="宋体" w:eastAsia="宋体"/>
                <w:sz w:val="16"/>
              </w:rPr>
              <w:t>该项目资金投入总额为17万元，其中财政资金17万元，其他资金0万元。主要用于村组织日常运行和解决群众生产发展维修改造帮扶。通过该项目的实施，有效提升村基层组织工作质量，达到持续加强基层组织建设，持续做好社会稳定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4F5FD">
            <w:pPr>
              <w:jc w:val="both"/>
            </w:pPr>
            <w:r>
              <w:rPr>
                <w:rFonts w:ascii="宋体" w:hAnsi="宋体" w:eastAsia="宋体"/>
                <w:sz w:val="16"/>
              </w:rPr>
              <w:t>该项目资金投入总额为17万元，慰问帮扶5次，修建维修基础设施5次，办公类支出6次。通过该项目的实施，有效提升村基层组织工作质量，达到持续加强基层组织建设，持续做好社会稳定工作。</w:t>
            </w:r>
          </w:p>
        </w:tc>
      </w:tr>
      <w:tr w14:paraId="1A5DB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273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6D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DF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62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71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5E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7B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62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E0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15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8F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B92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B327">
            <w:pPr>
              <w:jc w:val="center"/>
            </w:pPr>
            <w:r>
              <w:rPr>
                <w:rFonts w:ascii="宋体" w:hAnsi="宋体" w:eastAsia="宋体"/>
                <w:sz w:val="16"/>
              </w:rPr>
              <w:t>偏差原因分析及改进措施</w:t>
            </w:r>
          </w:p>
        </w:tc>
      </w:tr>
      <w:tr w14:paraId="522E4A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D43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25E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8A5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195D">
            <w:pPr>
              <w:jc w:val="center"/>
            </w:pPr>
            <w:r>
              <w:rPr>
                <w:rFonts w:ascii="宋体" w:hAnsi="宋体" w:eastAsia="宋体"/>
                <w:sz w:val="16"/>
              </w:rPr>
              <w:t>建设维修（次）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649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0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4DFC">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DF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8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C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B9E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33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2DB27">
            <w:pPr>
              <w:jc w:val="center"/>
            </w:pPr>
          </w:p>
        </w:tc>
      </w:tr>
      <w:tr w14:paraId="7D95A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4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B2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5E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5FFF">
            <w:pPr>
              <w:jc w:val="center"/>
            </w:pPr>
            <w:r>
              <w:rPr>
                <w:rFonts w:ascii="宋体" w:hAnsi="宋体" w:eastAsia="宋体"/>
                <w:sz w:val="16"/>
              </w:rPr>
              <w:t>办公用品（批）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1B41">
            <w:pPr>
              <w:jc w:val="center"/>
            </w:pPr>
            <w:r>
              <w:rPr>
                <w:rFonts w:ascii="宋体" w:hAnsi="宋体" w:eastAsia="宋体"/>
                <w:sz w:val="16"/>
              </w:rPr>
              <w:t>&gt;=6批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D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6F65">
            <w:pPr>
              <w:jc w:val="center"/>
            </w:pPr>
            <w:r>
              <w:rPr>
                <w:rFonts w:ascii="宋体" w:hAnsi="宋体" w:eastAsia="宋体"/>
                <w:sz w:val="16"/>
              </w:rPr>
              <w:t>5批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A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51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2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80C4">
            <w:pPr>
              <w:jc w:val="center"/>
            </w:pPr>
            <w:r>
              <w:rPr>
                <w:rFonts w:ascii="宋体" w:hAnsi="宋体" w:eastAsia="宋体"/>
                <w:sz w:val="16"/>
              </w:rPr>
              <w: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4F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DF0F0">
            <w:pPr>
              <w:jc w:val="center"/>
            </w:pPr>
          </w:p>
        </w:tc>
      </w:tr>
      <w:tr w14:paraId="60A17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1F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03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4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AC95">
            <w:pPr>
              <w:jc w:val="center"/>
            </w:pPr>
            <w:r>
              <w:rPr>
                <w:rFonts w:ascii="宋体" w:hAnsi="宋体" w:eastAsia="宋体"/>
                <w:sz w:val="16"/>
              </w:rPr>
              <w:t>慰问困难群众（次）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D7E1">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ED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B34D">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6C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0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CC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50F9">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67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AC9A">
            <w:pPr>
              <w:jc w:val="center"/>
            </w:pPr>
          </w:p>
        </w:tc>
      </w:tr>
      <w:tr w14:paraId="00821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D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44D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42F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FBF7">
            <w:pPr>
              <w:jc w:val="center"/>
            </w:pPr>
            <w:r>
              <w:rPr>
                <w:rFonts w:ascii="宋体" w:hAnsi="宋体" w:eastAsia="宋体"/>
                <w:sz w:val="16"/>
              </w:rPr>
              <w:t>建设维修验收质量合格率（%）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8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4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78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F0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7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F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2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06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D6469">
            <w:pPr>
              <w:jc w:val="center"/>
            </w:pPr>
          </w:p>
        </w:tc>
      </w:tr>
      <w:tr w14:paraId="157FE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C1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B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2E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3FF2">
            <w:pPr>
              <w:jc w:val="center"/>
            </w:pPr>
            <w:r>
              <w:rPr>
                <w:rFonts w:ascii="宋体" w:hAnsi="宋体" w:eastAsia="宋体"/>
                <w:sz w:val="16"/>
              </w:rPr>
              <w:t>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2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9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D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B7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61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5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B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937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BD008">
            <w:pPr>
              <w:jc w:val="center"/>
            </w:pPr>
          </w:p>
        </w:tc>
      </w:tr>
      <w:tr w14:paraId="50A87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70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51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5B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E307">
            <w:pPr>
              <w:jc w:val="center"/>
            </w:pPr>
            <w:r>
              <w:rPr>
                <w:rFonts w:ascii="宋体" w:hAnsi="宋体" w:eastAsia="宋体"/>
                <w:sz w:val="16"/>
              </w:rPr>
              <w:t>维修建设及时率（%）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6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5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7E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B8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1B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C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BD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73648">
            <w:pPr>
              <w:jc w:val="center"/>
            </w:pPr>
          </w:p>
        </w:tc>
      </w:tr>
      <w:tr w14:paraId="4B935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EBB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BF39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33B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0587">
            <w:pPr>
              <w:jc w:val="center"/>
            </w:pPr>
            <w:r>
              <w:rPr>
                <w:rFonts w:ascii="宋体" w:hAnsi="宋体" w:eastAsia="宋体"/>
                <w:sz w:val="16"/>
              </w:rPr>
              <w:t>建设维修（万元）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313F">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37D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66CD">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1E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81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8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036C">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B1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FD87">
            <w:pPr>
              <w:jc w:val="center"/>
            </w:pPr>
          </w:p>
        </w:tc>
      </w:tr>
      <w:tr w14:paraId="1E52E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BD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B2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4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B670">
            <w:pPr>
              <w:jc w:val="center"/>
            </w:pPr>
            <w:r>
              <w:rPr>
                <w:rFonts w:ascii="宋体" w:hAnsi="宋体" w:eastAsia="宋体"/>
                <w:sz w:val="16"/>
              </w:rPr>
              <w:t>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340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D6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DCA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CE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50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B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31D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C32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4C0E">
            <w:pPr>
              <w:jc w:val="center"/>
            </w:pPr>
          </w:p>
        </w:tc>
      </w:tr>
      <w:tr w14:paraId="7B281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14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BF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61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4B4D">
            <w:pPr>
              <w:jc w:val="center"/>
            </w:pPr>
            <w:r>
              <w:rPr>
                <w:rFonts w:ascii="宋体" w:hAnsi="宋体" w:eastAsia="宋体"/>
                <w:sz w:val="16"/>
              </w:rPr>
              <w:t>慰问帮扶（万元）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5C20">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FC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7F65A">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EC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2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61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10A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9A5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5814">
            <w:pPr>
              <w:jc w:val="center"/>
            </w:pPr>
          </w:p>
        </w:tc>
      </w:tr>
      <w:tr w14:paraId="5DA80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CD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CB3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91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829D">
            <w:pPr>
              <w:jc w:val="center"/>
            </w:pPr>
            <w:r>
              <w:rPr>
                <w:rFonts w:ascii="宋体" w:hAnsi="宋体" w:eastAsia="宋体"/>
                <w:sz w:val="16"/>
              </w:rPr>
              <w:t>群众生活质量有效提高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B8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C59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E0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A9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B0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A9A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69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7C3A9">
            <w:pPr>
              <w:jc w:val="center"/>
            </w:pPr>
          </w:p>
        </w:tc>
      </w:tr>
      <w:tr w14:paraId="03428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9AA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42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42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167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9814">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9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AAD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A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6B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B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9C1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3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C3731">
            <w:pPr>
              <w:jc w:val="center"/>
            </w:pPr>
          </w:p>
        </w:tc>
      </w:tr>
      <w:tr w14:paraId="48D557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F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57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5BF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E15D6">
            <w:pPr>
              <w:jc w:val="center"/>
            </w:pPr>
            <w:r>
              <w:rPr>
                <w:rFonts w:ascii="宋体" w:hAnsi="宋体" w:eastAsia="宋体"/>
                <w:sz w:val="16"/>
              </w:rPr>
              <w:t>100分</w:t>
            </w:r>
          </w:p>
        </w:tc>
      </w:tr>
    </w:tbl>
    <w:p w14:paraId="65FFD169">
      <w:r>
        <w:br w:type="page"/>
      </w:r>
    </w:p>
    <w:p w14:paraId="422E0EDC">
      <w:pPr>
        <w:spacing w:line="640" w:lineRule="exact"/>
        <w:ind w:firstLine="640"/>
        <w:jc w:val="both"/>
        <w:outlineLvl w:val="2"/>
      </w:pPr>
      <w:r>
        <w:rPr>
          <w:rFonts w:ascii="黑体" w:hAnsi="黑体" w:eastAsia="黑体"/>
          <w:sz w:val="32"/>
        </w:rPr>
        <w:t>十二、其他需说明的事项</w:t>
      </w:r>
    </w:p>
    <w:p w14:paraId="06821E11">
      <w:pPr>
        <w:spacing w:line="580" w:lineRule="exact"/>
        <w:ind w:firstLine="640"/>
        <w:jc w:val="both"/>
      </w:pPr>
      <w:r>
        <w:rPr>
          <w:rFonts w:ascii="仿宋_GB2312" w:hAnsi="仿宋_GB2312" w:eastAsia="仿宋_GB2312"/>
          <w:b w:val="0"/>
          <w:sz w:val="32"/>
        </w:rPr>
        <w:t>本年度本单位整体绩效自评表不予公开。</w:t>
      </w:r>
    </w:p>
    <w:p w14:paraId="52185749">
      <w:r>
        <w:br w:type="page"/>
      </w:r>
    </w:p>
    <w:p w14:paraId="023F78F2">
      <w:pPr>
        <w:spacing w:line="240" w:lineRule="auto"/>
        <w:jc w:val="center"/>
        <w:outlineLvl w:val="1"/>
      </w:pPr>
      <w:r>
        <w:rPr>
          <w:rFonts w:ascii="黑体" w:hAnsi="黑体" w:eastAsia="黑体"/>
          <w:sz w:val="32"/>
        </w:rPr>
        <w:t>第三部分 专业名词解释</w:t>
      </w:r>
    </w:p>
    <w:p w14:paraId="5266B8F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0578E3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F39C3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3C490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B8C20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7350C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2B7DB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4C94E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41644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AF73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73A87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EF818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3AFE9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4E74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4EA00B">
      <w:r>
        <w:br w:type="page"/>
      </w:r>
    </w:p>
    <w:p w14:paraId="35AB27CE">
      <w:pPr>
        <w:spacing w:line="240" w:lineRule="auto"/>
        <w:jc w:val="center"/>
        <w:outlineLvl w:val="1"/>
      </w:pPr>
      <w:r>
        <w:rPr>
          <w:rFonts w:ascii="黑体" w:hAnsi="黑体" w:eastAsia="黑体"/>
          <w:sz w:val="32"/>
        </w:rPr>
        <w:t>第四部分 部门决算报表（见附表）</w:t>
      </w:r>
    </w:p>
    <w:p w14:paraId="6202F4D3">
      <w:pPr>
        <w:spacing w:line="240" w:lineRule="auto"/>
        <w:ind w:firstLine="640"/>
        <w:jc w:val="both"/>
      </w:pPr>
      <w:r>
        <w:rPr>
          <w:rFonts w:ascii="仿宋_GB2312" w:hAnsi="仿宋_GB2312" w:eastAsia="仿宋_GB2312"/>
          <w:b w:val="0"/>
          <w:sz w:val="32"/>
        </w:rPr>
        <w:t>一、《收入支出决算总表》</w:t>
      </w:r>
    </w:p>
    <w:p w14:paraId="63C76E12">
      <w:pPr>
        <w:spacing w:line="240" w:lineRule="auto"/>
        <w:ind w:firstLine="640"/>
        <w:jc w:val="both"/>
      </w:pPr>
      <w:r>
        <w:rPr>
          <w:rFonts w:ascii="仿宋_GB2312" w:hAnsi="仿宋_GB2312" w:eastAsia="仿宋_GB2312"/>
          <w:b w:val="0"/>
          <w:sz w:val="32"/>
        </w:rPr>
        <w:t>二、《收入决算表》</w:t>
      </w:r>
    </w:p>
    <w:p w14:paraId="37BD39C9">
      <w:pPr>
        <w:spacing w:line="240" w:lineRule="auto"/>
        <w:ind w:firstLine="640"/>
        <w:jc w:val="both"/>
      </w:pPr>
      <w:r>
        <w:rPr>
          <w:rFonts w:ascii="仿宋_GB2312" w:hAnsi="仿宋_GB2312" w:eastAsia="仿宋_GB2312"/>
          <w:b w:val="0"/>
          <w:sz w:val="32"/>
        </w:rPr>
        <w:t>三、《支出决算表》</w:t>
      </w:r>
    </w:p>
    <w:p w14:paraId="30C12962">
      <w:pPr>
        <w:spacing w:line="240" w:lineRule="auto"/>
        <w:ind w:firstLine="640"/>
        <w:jc w:val="both"/>
      </w:pPr>
      <w:r>
        <w:rPr>
          <w:rFonts w:ascii="仿宋_GB2312" w:hAnsi="仿宋_GB2312" w:eastAsia="仿宋_GB2312"/>
          <w:b w:val="0"/>
          <w:sz w:val="32"/>
        </w:rPr>
        <w:t>四、《财政拨款收入支出决算总表》</w:t>
      </w:r>
    </w:p>
    <w:p w14:paraId="1359CCB9">
      <w:pPr>
        <w:spacing w:line="240" w:lineRule="auto"/>
        <w:ind w:firstLine="640"/>
        <w:jc w:val="both"/>
      </w:pPr>
      <w:r>
        <w:rPr>
          <w:rFonts w:ascii="仿宋_GB2312" w:hAnsi="仿宋_GB2312" w:eastAsia="仿宋_GB2312"/>
          <w:b w:val="0"/>
          <w:sz w:val="32"/>
        </w:rPr>
        <w:t>五、《一般公共预算财政拨款支出决算表》</w:t>
      </w:r>
    </w:p>
    <w:p w14:paraId="019BF57D">
      <w:pPr>
        <w:spacing w:line="240" w:lineRule="auto"/>
        <w:ind w:firstLine="640"/>
        <w:jc w:val="both"/>
      </w:pPr>
      <w:r>
        <w:rPr>
          <w:rFonts w:ascii="仿宋_GB2312" w:hAnsi="仿宋_GB2312" w:eastAsia="仿宋_GB2312"/>
          <w:b w:val="0"/>
          <w:sz w:val="32"/>
        </w:rPr>
        <w:t>六、《一般公共预算财政拨款基本支出决算表》</w:t>
      </w:r>
    </w:p>
    <w:p w14:paraId="4035D6F1">
      <w:pPr>
        <w:spacing w:line="240" w:lineRule="auto"/>
        <w:ind w:firstLine="640"/>
        <w:jc w:val="both"/>
      </w:pPr>
      <w:r>
        <w:rPr>
          <w:rFonts w:ascii="仿宋_GB2312" w:hAnsi="仿宋_GB2312" w:eastAsia="仿宋_GB2312"/>
          <w:b w:val="0"/>
          <w:sz w:val="32"/>
        </w:rPr>
        <w:t>七、《政府性基金预算财政拨款收入支出决算表》</w:t>
      </w:r>
    </w:p>
    <w:p w14:paraId="671DB22E">
      <w:pPr>
        <w:spacing w:line="240" w:lineRule="auto"/>
        <w:ind w:firstLine="640"/>
        <w:jc w:val="both"/>
      </w:pPr>
      <w:r>
        <w:rPr>
          <w:rFonts w:ascii="仿宋_GB2312" w:hAnsi="仿宋_GB2312" w:eastAsia="仿宋_GB2312"/>
          <w:b w:val="0"/>
          <w:sz w:val="32"/>
        </w:rPr>
        <w:t>八、《国有资本经营预算财政拨款收入支出决算表》</w:t>
      </w:r>
    </w:p>
    <w:p w14:paraId="540B9C43">
      <w:pPr>
        <w:spacing w:line="240" w:lineRule="auto"/>
        <w:ind w:firstLine="640"/>
        <w:jc w:val="both"/>
      </w:pPr>
      <w:r>
        <w:rPr>
          <w:rFonts w:ascii="仿宋_GB2312" w:hAnsi="仿宋_GB2312" w:eastAsia="仿宋_GB2312"/>
          <w:b w:val="0"/>
          <w:sz w:val="32"/>
        </w:rPr>
        <w:t>九、《财政拨</w:t>
      </w:r>
      <w:bookmarkStart w:id="0" w:name="_GoBack"/>
      <w:bookmarkEnd w:id="0"/>
      <w:r>
        <w:rPr>
          <w:rFonts w:ascii="仿宋_GB2312" w:hAnsi="仿宋_GB2312" w:eastAsia="仿宋_GB2312"/>
          <w:b w:val="0"/>
          <w:sz w:val="32"/>
        </w:rPr>
        <w:t>款“三公”经费支出决算表》</w:t>
      </w:r>
    </w:p>
    <w:p w14:paraId="20C74A25">
      <w:pPr>
        <w:spacing w:line="240" w:lineRule="auto"/>
        <w:ind w:firstLine="640"/>
        <w:jc w:val="both"/>
      </w:pPr>
    </w:p>
    <w:p w14:paraId="0F27219C">
      <w:pPr>
        <w:spacing w:line="240" w:lineRule="auto"/>
        <w:ind w:firstLine="640"/>
        <w:jc w:val="both"/>
      </w:pPr>
    </w:p>
    <w:p w14:paraId="1DE57E2A">
      <w:pPr>
        <w:spacing w:line="240" w:lineRule="auto"/>
        <w:ind w:firstLine="640"/>
        <w:jc w:val="both"/>
      </w:pPr>
    </w:p>
    <w:p w14:paraId="2C3DDCA1">
      <w:pPr>
        <w:spacing w:line="240" w:lineRule="auto"/>
        <w:ind w:firstLine="640"/>
        <w:jc w:val="both"/>
      </w:pPr>
    </w:p>
    <w:p w14:paraId="5FCF9EB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B8E8D3-7897-4DBC-80B7-583E2741FB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EC4251C-9C26-46F7-AAC4-1379CBC6B5D1}"/>
  </w:font>
  <w:font w:name="仿宋_GB2312">
    <w:panose1 w:val="02010609030101010101"/>
    <w:charset w:val="86"/>
    <w:family w:val="auto"/>
    <w:pitch w:val="default"/>
    <w:sig w:usb0="00000001" w:usb1="080E0000" w:usb2="00000000" w:usb3="00000000" w:csb0="00040000" w:csb1="00000000"/>
    <w:embedRegular r:id="rId3" w:fontKey="{F8106E83-842B-4392-B603-6149265B1A5B}"/>
  </w:font>
  <w:font w:name="楷体_GB2312">
    <w:panose1 w:val="02010609030101010101"/>
    <w:charset w:val="86"/>
    <w:family w:val="auto"/>
    <w:pitch w:val="default"/>
    <w:sig w:usb0="00000001" w:usb1="080E0000" w:usb2="00000000" w:usb3="00000000" w:csb0="00040000" w:csb1="00000000"/>
    <w:embedRegular r:id="rId4" w:fontKey="{D38E43D0-6A69-4AC4-B2D8-6375B214CA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2C5CF3"/>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282F44"/>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5770</Words>
  <Characters>6479</Characters>
  <Lines>0</Lines>
  <Paragraphs>0</Paragraphs>
  <TotalTime>6</TotalTime>
  <ScaleCrop>false</ScaleCrop>
  <LinksUpToDate>false</LinksUpToDate>
  <CharactersWithSpaces>6487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