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阿合奇县人民检察院2024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59F3594">
      <w:r>
        <w:br w:type="page"/>
      </w:r>
    </w:p>
    <w:p w14:paraId="1DFFC8F9">
      <w:pPr>
        <w:spacing w:line="640" w:lineRule="exact"/>
        <w:jc w:val="center"/>
        <w:outlineLvl w:val="1"/>
      </w:pPr>
      <w:r>
        <w:rPr>
          <w:rFonts w:ascii="黑体" w:hAnsi="黑体" w:eastAsia="黑体"/>
          <w:sz w:val="32"/>
        </w:rPr>
        <w:t>第一部分 单位概况</w:t>
      </w:r>
    </w:p>
    <w:p w14:paraId="305B4C9F">
      <w:pPr>
        <w:spacing w:line="640" w:lineRule="exact"/>
        <w:ind w:firstLine="640"/>
        <w:jc w:val="both"/>
        <w:outlineLvl w:val="2"/>
      </w:pPr>
      <w:r>
        <w:rPr>
          <w:rFonts w:ascii="黑体" w:hAnsi="黑体" w:eastAsia="黑体"/>
          <w:sz w:val="32"/>
        </w:rPr>
        <w:t>一、主要职能</w:t>
      </w:r>
    </w:p>
    <w:p w14:paraId="1A50CDC2">
      <w:pPr>
        <w:spacing w:line="580" w:lineRule="exact"/>
        <w:ind w:firstLine="640"/>
        <w:jc w:val="both"/>
      </w:pPr>
      <w:r>
        <w:rPr>
          <w:rFonts w:ascii="仿宋_GB2312" w:hAnsi="仿宋_GB2312" w:eastAsia="仿宋_GB2312"/>
          <w:sz w:val="32"/>
        </w:rPr>
        <w:t>根据《中华人民共和国宪法》《中华人民共和国人民检察院组织法》之规定，检察机关是国家的法律监督机关，代表国家依法行使检察权。人民检察院主要行使下列职权：对于叛国案、分裂国家案以及严重破坏国家的政策、法律、法令、政令统一实施的重大犯罪案件，行使检察权。对于直接受理的刑事案件，进行侦查。对于公安机关侦查的案件，进行审查，决定是否逮捕、起诉或者不起诉；对于公安机关的侦查活动是否合法，实行监督。对于刑事案件提起公诉，支持公诉；对于人民法院的审判活动是否合法，实行监督。对于刑事案件判决、裁定的执行和监狱、看守所、劳动改造机关的活动是否合法，实行监督。</w:t>
      </w:r>
    </w:p>
    <w:p w14:paraId="6A069E93">
      <w:pPr>
        <w:spacing w:line="640" w:lineRule="exact"/>
        <w:ind w:firstLine="640"/>
        <w:jc w:val="both"/>
        <w:outlineLvl w:val="2"/>
      </w:pPr>
      <w:r>
        <w:rPr>
          <w:rFonts w:ascii="黑体" w:hAnsi="黑体" w:eastAsia="黑体"/>
          <w:sz w:val="32"/>
        </w:rPr>
        <w:t>二、机构设置及人员情况</w:t>
      </w:r>
    </w:p>
    <w:p w14:paraId="47324DEB">
      <w:pPr>
        <w:spacing w:line="580" w:lineRule="exact"/>
        <w:ind w:firstLine="640"/>
        <w:jc w:val="both"/>
      </w:pPr>
      <w:r>
        <w:rPr>
          <w:rFonts w:ascii="仿宋_GB2312" w:hAnsi="仿宋_GB2312" w:eastAsia="仿宋_GB2312"/>
          <w:sz w:val="32"/>
        </w:rPr>
        <w:t>阿合奇县人民检察院2024年度，实有人数43人，其中：在职人员26人，减少1人；离休人员0人，增加0人；退休人员17人,增加1人。</w:t>
      </w:r>
    </w:p>
    <w:p w14:paraId="6D835F1D">
      <w:pPr>
        <w:spacing w:line="580" w:lineRule="exact"/>
        <w:ind w:firstLine="640"/>
        <w:jc w:val="both"/>
      </w:pPr>
      <w:r>
        <w:rPr>
          <w:rFonts w:ascii="仿宋_GB2312" w:hAnsi="仿宋_GB2312" w:eastAsia="仿宋_GB2312"/>
          <w:sz w:val="32"/>
        </w:rPr>
        <w:t>阿合奇县人民检察院无下属预算单位，下设3个科室，分别是：综合行政部、第一检察部、第二检察部。</w:t>
      </w:r>
    </w:p>
    <w:p w14:paraId="09F7A890">
      <w:r>
        <w:br w:type="page"/>
      </w:r>
    </w:p>
    <w:p w14:paraId="325D8D5A">
      <w:pPr>
        <w:spacing w:line="240" w:lineRule="auto"/>
        <w:jc w:val="center"/>
        <w:outlineLvl w:val="1"/>
      </w:pPr>
      <w:r>
        <w:rPr>
          <w:rFonts w:ascii="黑体" w:hAnsi="黑体" w:eastAsia="黑体"/>
          <w:sz w:val="32"/>
        </w:rPr>
        <w:t>第二部分 部门决算情况说明</w:t>
      </w:r>
    </w:p>
    <w:p w14:paraId="5080FB98">
      <w:pPr>
        <w:spacing w:line="640" w:lineRule="exact"/>
        <w:ind w:firstLine="640"/>
        <w:jc w:val="both"/>
        <w:outlineLvl w:val="2"/>
      </w:pPr>
      <w:r>
        <w:rPr>
          <w:rFonts w:ascii="黑体" w:hAnsi="黑体" w:eastAsia="黑体"/>
          <w:sz w:val="32"/>
        </w:rPr>
        <w:t>一、收入支出决算总体情况说明</w:t>
      </w:r>
    </w:p>
    <w:p w14:paraId="09996D68">
      <w:pPr>
        <w:spacing w:line="580" w:lineRule="exact"/>
        <w:ind w:firstLine="640"/>
        <w:jc w:val="both"/>
      </w:pPr>
      <w:r>
        <w:rPr>
          <w:rFonts w:ascii="仿宋_GB2312" w:hAnsi="仿宋_GB2312" w:eastAsia="仿宋_GB2312"/>
          <w:b/>
          <w:sz w:val="32"/>
        </w:rPr>
        <w:t>2024年度收入总计806.58万元，</w:t>
      </w:r>
      <w:r>
        <w:rPr>
          <w:rFonts w:ascii="仿宋_GB2312" w:hAnsi="仿宋_GB2312" w:eastAsia="仿宋_GB2312"/>
          <w:b w:val="0"/>
          <w:sz w:val="32"/>
        </w:rPr>
        <w:t>其中：本年收入合计802.48万元，使用非财政拨款结余（含专用结余）0.00万元，年初结转和结余4.10万元。</w:t>
      </w:r>
    </w:p>
    <w:p w14:paraId="4ED97441">
      <w:pPr>
        <w:spacing w:line="580" w:lineRule="exact"/>
        <w:ind w:firstLine="640"/>
        <w:jc w:val="both"/>
      </w:pPr>
      <w:r>
        <w:rPr>
          <w:rFonts w:ascii="仿宋_GB2312" w:hAnsi="仿宋_GB2312" w:eastAsia="仿宋_GB2312"/>
          <w:b/>
          <w:sz w:val="32"/>
        </w:rPr>
        <w:t>2024年度支出总计806.58万元，</w:t>
      </w:r>
      <w:r>
        <w:rPr>
          <w:rFonts w:ascii="仿宋_GB2312" w:hAnsi="仿宋_GB2312" w:eastAsia="仿宋_GB2312"/>
          <w:b w:val="0"/>
          <w:sz w:val="32"/>
        </w:rPr>
        <w:t>其中：本年支出合计797.88万元，结余分配0.00万元，年末结转和结余8.70万元。</w:t>
      </w:r>
    </w:p>
    <w:p w14:paraId="280BE27F">
      <w:pPr>
        <w:spacing w:line="580" w:lineRule="exact"/>
        <w:ind w:firstLine="640"/>
        <w:jc w:val="both"/>
      </w:pPr>
      <w:r>
        <w:rPr>
          <w:rFonts w:ascii="仿宋_GB2312" w:hAnsi="仿宋_GB2312" w:eastAsia="仿宋_GB2312"/>
          <w:b w:val="0"/>
          <w:sz w:val="32"/>
        </w:rPr>
        <w:t>收入支出总体与上年相比，减少64.01万元，下降7.35%，主要原因是：本年在职人员减少，相关人员经费较上年减少；本年减少专项业务经费。</w:t>
      </w:r>
    </w:p>
    <w:p w14:paraId="67F82434">
      <w:pPr>
        <w:spacing w:line="640" w:lineRule="exact"/>
        <w:ind w:firstLine="640"/>
        <w:jc w:val="both"/>
        <w:outlineLvl w:val="2"/>
      </w:pPr>
      <w:r>
        <w:rPr>
          <w:rFonts w:ascii="黑体" w:hAnsi="黑体" w:eastAsia="黑体"/>
          <w:sz w:val="32"/>
        </w:rPr>
        <w:t>二、收入决算情况说明</w:t>
      </w:r>
    </w:p>
    <w:p w14:paraId="0E03D055">
      <w:pPr>
        <w:spacing w:line="580" w:lineRule="exact"/>
        <w:ind w:firstLine="640"/>
        <w:jc w:val="both"/>
      </w:pPr>
      <w:r>
        <w:rPr>
          <w:rFonts w:ascii="仿宋_GB2312" w:hAnsi="仿宋_GB2312" w:eastAsia="仿宋_GB2312"/>
          <w:b/>
          <w:sz w:val="32"/>
        </w:rPr>
        <w:t>本年收入802.48万元，</w:t>
      </w:r>
      <w:r>
        <w:rPr>
          <w:rFonts w:ascii="仿宋_GB2312" w:hAnsi="仿宋_GB2312" w:eastAsia="仿宋_GB2312"/>
          <w:b w:val="0"/>
          <w:sz w:val="32"/>
        </w:rPr>
        <w:t>其中：财政拨款收入759.53万元，占94.65%；上级补助收入0.00万元，占0.00%；事业收入0.00万元，占0.00%；经营收入0.00万元，占0.00%；附属单位上缴收入0.00万元，占0.00%；其他收入42.95万元，占5.35%。</w:t>
      </w:r>
    </w:p>
    <w:p w14:paraId="0CD122F3">
      <w:pPr>
        <w:spacing w:line="640" w:lineRule="exact"/>
        <w:ind w:firstLine="640"/>
        <w:jc w:val="both"/>
        <w:outlineLvl w:val="2"/>
      </w:pPr>
      <w:r>
        <w:rPr>
          <w:rFonts w:ascii="黑体" w:hAnsi="黑体" w:eastAsia="黑体"/>
          <w:sz w:val="32"/>
        </w:rPr>
        <w:t>三、支出决算情况说明</w:t>
      </w:r>
    </w:p>
    <w:p w14:paraId="1BDA21BC">
      <w:pPr>
        <w:spacing w:line="580" w:lineRule="exact"/>
        <w:ind w:firstLine="640"/>
        <w:jc w:val="both"/>
      </w:pPr>
      <w:r>
        <w:rPr>
          <w:rFonts w:ascii="仿宋_GB2312" w:hAnsi="仿宋_GB2312" w:eastAsia="仿宋_GB2312"/>
          <w:b/>
          <w:sz w:val="32"/>
        </w:rPr>
        <w:t>本年支出797.88万元，</w:t>
      </w:r>
      <w:r>
        <w:rPr>
          <w:rFonts w:ascii="仿宋_GB2312" w:hAnsi="仿宋_GB2312" w:eastAsia="仿宋_GB2312"/>
          <w:b w:val="0"/>
          <w:sz w:val="32"/>
        </w:rPr>
        <w:t>其中：基本支出681.00万元，占85.35%；项目支出116.88万元，占14.65%；上缴上级支出0.00万元，占0.00%；经营支出0.00万元，占0.00%；对附属单位补助支出0.00万元，占0.00%。</w:t>
      </w:r>
    </w:p>
    <w:p w14:paraId="6A661AEA">
      <w:pPr>
        <w:spacing w:line="640" w:lineRule="exact"/>
        <w:ind w:firstLine="640"/>
        <w:jc w:val="both"/>
        <w:outlineLvl w:val="2"/>
      </w:pPr>
      <w:r>
        <w:rPr>
          <w:rFonts w:ascii="黑体" w:hAnsi="黑体" w:eastAsia="黑体"/>
          <w:sz w:val="32"/>
        </w:rPr>
        <w:t>四、财政拨款收入支出决算总体情况说明</w:t>
      </w:r>
    </w:p>
    <w:p w14:paraId="1CE94084">
      <w:pPr>
        <w:spacing w:line="580" w:lineRule="exact"/>
        <w:ind w:firstLine="640"/>
        <w:jc w:val="both"/>
      </w:pPr>
      <w:r>
        <w:rPr>
          <w:rFonts w:ascii="仿宋_GB2312" w:hAnsi="仿宋_GB2312" w:eastAsia="仿宋_GB2312"/>
          <w:b/>
          <w:sz w:val="32"/>
        </w:rPr>
        <w:t>2024年度财政拨款收入总计760.96万元，</w:t>
      </w:r>
      <w:r>
        <w:rPr>
          <w:rFonts w:ascii="仿宋_GB2312" w:hAnsi="仿宋_GB2312" w:eastAsia="仿宋_GB2312"/>
          <w:b w:val="0"/>
          <w:sz w:val="32"/>
        </w:rPr>
        <w:t>其中：年初财政拨款结转和结余1.43万元，本年财政拨款收入759.53万元。</w:t>
      </w:r>
      <w:r>
        <w:rPr>
          <w:rFonts w:ascii="仿宋_GB2312" w:hAnsi="仿宋_GB2312" w:eastAsia="仿宋_GB2312"/>
          <w:b/>
          <w:sz w:val="32"/>
        </w:rPr>
        <w:t>财政拨款支出总计760.96万元，</w:t>
      </w:r>
      <w:r>
        <w:rPr>
          <w:rFonts w:ascii="仿宋_GB2312" w:hAnsi="仿宋_GB2312" w:eastAsia="仿宋_GB2312"/>
          <w:b w:val="0"/>
          <w:sz w:val="32"/>
        </w:rPr>
        <w:t>其中：年末财政拨款结转和结余0.00万元，本年财政拨款支出760.96万元。</w:t>
      </w:r>
    </w:p>
    <w:p w14:paraId="51A058F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减少106.10万元，下降12.24%，主要原因是：本年在职人员减少，相关人员经费减少；本年减少专项业务经费。</w:t>
      </w:r>
      <w:r>
        <w:rPr>
          <w:rFonts w:ascii="仿宋_GB2312" w:hAnsi="仿宋_GB2312" w:eastAsia="仿宋_GB2312"/>
          <w:b/>
          <w:sz w:val="32"/>
        </w:rPr>
        <w:t>与年初预算相比，</w:t>
      </w:r>
      <w:r>
        <w:rPr>
          <w:rFonts w:ascii="仿宋_GB2312" w:hAnsi="仿宋_GB2312" w:eastAsia="仿宋_GB2312"/>
          <w:b w:val="0"/>
          <w:sz w:val="32"/>
        </w:rPr>
        <w:t>年初预算数771.44万元，决算数760.96万元，预决算差异率-1.36%，主要原因是：本年在职人员减少，年中调减人员经费，导致预决算差异。</w:t>
      </w:r>
    </w:p>
    <w:p w14:paraId="2A708D4E">
      <w:pPr>
        <w:spacing w:line="640" w:lineRule="exact"/>
        <w:ind w:firstLine="640"/>
        <w:jc w:val="both"/>
        <w:outlineLvl w:val="2"/>
      </w:pPr>
      <w:r>
        <w:rPr>
          <w:rFonts w:ascii="黑体" w:hAnsi="黑体" w:eastAsia="黑体"/>
          <w:sz w:val="32"/>
        </w:rPr>
        <w:t>五、一般公共预算财政拨款支出决算情况说明</w:t>
      </w:r>
    </w:p>
    <w:p w14:paraId="16D4E931">
      <w:pPr>
        <w:spacing w:line="640" w:lineRule="exact"/>
        <w:ind w:firstLine="640"/>
        <w:jc w:val="both"/>
        <w:outlineLvl w:val="3"/>
      </w:pPr>
      <w:r>
        <w:rPr>
          <w:rFonts w:ascii="楷体_GB2312" w:hAnsi="楷体_GB2312" w:eastAsia="楷体_GB2312"/>
          <w:b/>
          <w:sz w:val="32"/>
        </w:rPr>
        <w:t>（一）一般公共预算财政拨款支出决算总体情况</w:t>
      </w:r>
    </w:p>
    <w:p w14:paraId="6CDA54DE">
      <w:pPr>
        <w:spacing w:line="580" w:lineRule="exact"/>
        <w:ind w:firstLine="640"/>
        <w:jc w:val="both"/>
      </w:pPr>
      <w:r>
        <w:rPr>
          <w:rFonts w:ascii="仿宋_GB2312" w:hAnsi="仿宋_GB2312" w:eastAsia="仿宋_GB2312"/>
          <w:b/>
          <w:sz w:val="32"/>
        </w:rPr>
        <w:t>2024年度一般公共预算财政拨款支出760.96万元，</w:t>
      </w:r>
      <w:r>
        <w:rPr>
          <w:rFonts w:ascii="仿宋_GB2312" w:hAnsi="仿宋_GB2312" w:eastAsia="仿宋_GB2312"/>
          <w:b w:val="0"/>
          <w:sz w:val="32"/>
        </w:rPr>
        <w:t>占本年支出合计的95.37%。</w:t>
      </w:r>
      <w:r>
        <w:rPr>
          <w:rFonts w:ascii="仿宋_GB2312" w:hAnsi="仿宋_GB2312" w:eastAsia="仿宋_GB2312"/>
          <w:b/>
          <w:sz w:val="32"/>
        </w:rPr>
        <w:t>与上年相比，</w:t>
      </w:r>
      <w:r>
        <w:rPr>
          <w:rFonts w:ascii="仿宋_GB2312" w:hAnsi="仿宋_GB2312" w:eastAsia="仿宋_GB2312"/>
          <w:b w:val="0"/>
          <w:sz w:val="32"/>
        </w:rPr>
        <w:t>减少104.67万元，下降12.09%，主要原因是：本年在职人员减少，相关人员经费较上年减少；本年减少专项业务经费。</w:t>
      </w:r>
      <w:r>
        <w:rPr>
          <w:rFonts w:ascii="仿宋_GB2312" w:hAnsi="仿宋_GB2312" w:eastAsia="仿宋_GB2312"/>
          <w:b/>
          <w:sz w:val="32"/>
        </w:rPr>
        <w:t>与年初预算相比,</w:t>
      </w:r>
      <w:r>
        <w:rPr>
          <w:rFonts w:ascii="仿宋_GB2312" w:hAnsi="仿宋_GB2312" w:eastAsia="仿宋_GB2312"/>
          <w:b w:val="0"/>
          <w:sz w:val="32"/>
        </w:rPr>
        <w:t>年初预算数771.44万元，决算数760.96万元，预决算差异率-1.36%，主要原因是：本年在职人员减少，年中调减人员经费，导致预决算差异。</w:t>
      </w:r>
    </w:p>
    <w:p w14:paraId="38F69BB1">
      <w:pPr>
        <w:spacing w:line="640" w:lineRule="exact"/>
        <w:ind w:firstLine="640"/>
        <w:jc w:val="both"/>
        <w:outlineLvl w:val="3"/>
      </w:pPr>
      <w:r>
        <w:rPr>
          <w:rFonts w:ascii="楷体_GB2312" w:hAnsi="楷体_GB2312" w:eastAsia="楷体_GB2312"/>
          <w:b/>
          <w:sz w:val="32"/>
        </w:rPr>
        <w:t>（二）一般公共预算财政拨款支出决算结构情况</w:t>
      </w:r>
    </w:p>
    <w:p w14:paraId="51458DD0">
      <w:pPr>
        <w:spacing w:line="580" w:lineRule="exact"/>
        <w:ind w:firstLine="640"/>
        <w:jc w:val="both"/>
      </w:pPr>
      <w:r>
        <w:rPr>
          <w:rFonts w:ascii="仿宋_GB2312" w:hAnsi="仿宋_GB2312" w:eastAsia="仿宋_GB2312"/>
          <w:b w:val="0"/>
          <w:sz w:val="32"/>
        </w:rPr>
        <w:t>1.公共安全支出(类)674.70万元,占88.66%。</w:t>
      </w:r>
    </w:p>
    <w:p w14:paraId="1795E428">
      <w:pPr>
        <w:spacing w:line="580" w:lineRule="exact"/>
        <w:ind w:firstLine="640"/>
        <w:jc w:val="both"/>
      </w:pPr>
      <w:r>
        <w:rPr>
          <w:rFonts w:ascii="仿宋_GB2312" w:hAnsi="仿宋_GB2312" w:eastAsia="仿宋_GB2312"/>
          <w:b w:val="0"/>
          <w:sz w:val="32"/>
        </w:rPr>
        <w:t>2.社会保障和就业支出(类)86.26万元,占11.34%。</w:t>
      </w:r>
    </w:p>
    <w:p w14:paraId="291B0330">
      <w:pPr>
        <w:spacing w:line="640" w:lineRule="exact"/>
        <w:ind w:firstLine="640"/>
        <w:jc w:val="both"/>
        <w:outlineLvl w:val="3"/>
      </w:pPr>
      <w:r>
        <w:rPr>
          <w:rFonts w:ascii="楷体_GB2312" w:hAnsi="楷体_GB2312" w:eastAsia="楷体_GB2312"/>
          <w:b/>
          <w:sz w:val="32"/>
        </w:rPr>
        <w:t>（三）一般公共预算财政拨款支出决算具体情况</w:t>
      </w:r>
    </w:p>
    <w:p w14:paraId="0EFD40B4">
      <w:pPr>
        <w:spacing w:line="580" w:lineRule="exact"/>
        <w:ind w:firstLine="640"/>
        <w:jc w:val="both"/>
      </w:pPr>
      <w:r>
        <w:rPr>
          <w:rFonts w:ascii="仿宋_GB2312" w:hAnsi="仿宋_GB2312" w:eastAsia="仿宋_GB2312"/>
          <w:b w:val="0"/>
          <w:sz w:val="32"/>
        </w:rPr>
        <w:t>1.公共安全支出(类)检察(款)行政运行(项):支出决算数为478.44万元，比上年决算减少10.83万元，下降2.21%,主要原因是：本年在职人员减少，相应人员经费较上年减少。</w:t>
      </w:r>
    </w:p>
    <w:p w14:paraId="3A1F80D4">
      <w:pPr>
        <w:spacing w:line="580" w:lineRule="exact"/>
        <w:ind w:firstLine="640"/>
        <w:jc w:val="both"/>
      </w:pPr>
      <w:r>
        <w:rPr>
          <w:rFonts w:ascii="仿宋_GB2312" w:hAnsi="仿宋_GB2312" w:eastAsia="仿宋_GB2312"/>
          <w:b w:val="0"/>
          <w:sz w:val="32"/>
        </w:rPr>
        <w:t>2.公共安全支出(类)检察(款)一般行政管理事务(项):支出决算数为0.00万元，比上年决算减少96.99万元，下降100.00%,主要原因是：本年功能科目调整，司法改革绩效经费上年度在本科目列支，本年在检察监督科目列支，导致经费较上年减少。</w:t>
      </w:r>
    </w:p>
    <w:p w14:paraId="527661D6">
      <w:pPr>
        <w:spacing w:line="580" w:lineRule="exact"/>
        <w:ind w:firstLine="640"/>
        <w:jc w:val="both"/>
      </w:pPr>
      <w:r>
        <w:rPr>
          <w:rFonts w:ascii="仿宋_GB2312" w:hAnsi="仿宋_GB2312" w:eastAsia="仿宋_GB2312"/>
          <w:b w:val="0"/>
          <w:sz w:val="32"/>
        </w:rPr>
        <w:t>3.公共安全支出(类)检察(款)检察监督(项):支出决算数为25.60万元，比上年决算增加25.60万元，增长100.00%,主要原因是：本年功能科目调整，司法改革绩效经费上年度在一般行政管理事务科目列支，本年在检察监督科目列支，导致经费较上年增加。</w:t>
      </w:r>
    </w:p>
    <w:p w14:paraId="61BDD6D4">
      <w:pPr>
        <w:spacing w:line="580" w:lineRule="exact"/>
        <w:ind w:firstLine="640"/>
        <w:jc w:val="both"/>
      </w:pPr>
      <w:r>
        <w:rPr>
          <w:rFonts w:ascii="仿宋_GB2312" w:hAnsi="仿宋_GB2312" w:eastAsia="仿宋_GB2312"/>
          <w:b w:val="0"/>
          <w:sz w:val="32"/>
        </w:rPr>
        <w:t>4.公共安全支出(类)检察(款)事业运行(项):支出决算数为79.38万元，比上年决算增加18.87万元，增长31.18%,主要原因是：本年</w:t>
      </w:r>
      <w:r>
        <w:rPr>
          <w:rFonts w:hint="eastAsia" w:ascii="仿宋_GB2312" w:hAnsi="仿宋_GB2312" w:eastAsia="仿宋_GB2312"/>
          <w:b w:val="0"/>
          <w:sz w:val="32"/>
          <w:lang w:val="en-US" w:eastAsia="zh-CN"/>
        </w:rPr>
        <w:t>在职人员工资调增</w:t>
      </w:r>
      <w:r>
        <w:rPr>
          <w:rFonts w:ascii="仿宋_GB2312" w:hAnsi="仿宋_GB2312" w:eastAsia="仿宋_GB2312"/>
          <w:b w:val="0"/>
          <w:sz w:val="32"/>
        </w:rPr>
        <w:t>，导致经费较上年有所增加。</w:t>
      </w:r>
    </w:p>
    <w:p w14:paraId="74766E10">
      <w:pPr>
        <w:spacing w:line="580" w:lineRule="exact"/>
        <w:ind w:firstLine="640"/>
        <w:jc w:val="both"/>
      </w:pPr>
      <w:r>
        <w:rPr>
          <w:rFonts w:ascii="仿宋_GB2312" w:hAnsi="仿宋_GB2312" w:eastAsia="仿宋_GB2312"/>
          <w:b w:val="0"/>
          <w:sz w:val="32"/>
        </w:rPr>
        <w:t>5.公共安全支出(类)检察(款)其他检察支出(项):支出决算数为91.28万元，比上年决算减少58.31万元，下降38.98%,主要原因是：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较上年减少专项业务经费。</w:t>
      </w:r>
    </w:p>
    <w:p w14:paraId="6FE8394D">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6.社会保障和就业支出(类)行政事业单位养老支出(款)行政单位离退休(项):支出决算数为22.47万元，比上年决算增加5.70万元，增长33.99%,主要原因是：</w:t>
      </w:r>
      <w:r>
        <w:rPr>
          <w:rFonts w:hint="eastAsia" w:ascii="仿宋_GB2312" w:hAnsi="仿宋_GB2312" w:eastAsia="仿宋_GB2312"/>
          <w:b w:val="0"/>
          <w:sz w:val="32"/>
          <w:lang w:val="en-US" w:eastAsia="zh-CN"/>
        </w:rPr>
        <w:t>本年度退休人员增加，退休费较上年增加</w:t>
      </w:r>
      <w:r>
        <w:rPr>
          <w:rFonts w:ascii="仿宋_GB2312" w:hAnsi="仿宋_GB2312" w:eastAsia="仿宋_GB2312"/>
          <w:b w:val="0"/>
          <w:sz w:val="32"/>
        </w:rPr>
        <w:t>。</w:t>
      </w:r>
    </w:p>
    <w:p w14:paraId="068076C1">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63.79万元，比上年决算增加11.29万元，增长21.50%,主要原因是：本年在职人员工资基数调增，养老缴费基数上涨，相应支出增加。</w:t>
      </w:r>
    </w:p>
    <w:p w14:paraId="6D92B795">
      <w:pPr>
        <w:spacing w:line="640" w:lineRule="exact"/>
        <w:ind w:firstLine="640"/>
        <w:jc w:val="both"/>
        <w:outlineLvl w:val="2"/>
      </w:pPr>
      <w:r>
        <w:rPr>
          <w:rFonts w:ascii="黑体" w:hAnsi="黑体" w:eastAsia="黑体"/>
          <w:sz w:val="32"/>
        </w:rPr>
        <w:t>六、一般公共预算财政拨款基本支出决算情况说明</w:t>
      </w:r>
    </w:p>
    <w:p w14:paraId="045D08CE">
      <w:pPr>
        <w:spacing w:line="580" w:lineRule="exact"/>
        <w:ind w:firstLine="640"/>
        <w:jc w:val="both"/>
      </w:pPr>
      <w:r>
        <w:rPr>
          <w:rFonts w:ascii="仿宋_GB2312" w:hAnsi="仿宋_GB2312" w:eastAsia="仿宋_GB2312"/>
          <w:b w:val="0"/>
          <w:sz w:val="32"/>
        </w:rPr>
        <w:t>2024年度一般公共预算财政拨款基本支出644.07万元，其中：</w:t>
      </w:r>
      <w:r>
        <w:rPr>
          <w:rFonts w:ascii="仿宋_GB2312" w:hAnsi="仿宋_GB2312" w:eastAsia="仿宋_GB2312"/>
          <w:b/>
          <w:sz w:val="32"/>
        </w:rPr>
        <w:t>人员经费622.21万元，</w:t>
      </w:r>
      <w:r>
        <w:rPr>
          <w:rFonts w:ascii="仿宋_GB2312" w:hAnsi="仿宋_GB2312" w:eastAsia="仿宋_GB2312"/>
          <w:b w:val="0"/>
          <w:sz w:val="32"/>
        </w:rPr>
        <w:t>包括：基本工资、津贴补贴、奖金、机关事业单位基本养老保险缴费、职工基本医疗保险缴费、其他社会保障缴费、住房公积金、退休费、生活补助、其他对个人和家庭的补助。</w:t>
      </w:r>
    </w:p>
    <w:p w14:paraId="1151D612">
      <w:pPr>
        <w:spacing w:line="580" w:lineRule="exact"/>
        <w:ind w:firstLine="640"/>
        <w:jc w:val="both"/>
      </w:pPr>
      <w:r>
        <w:rPr>
          <w:rFonts w:ascii="仿宋_GB2312" w:hAnsi="仿宋_GB2312" w:eastAsia="仿宋_GB2312"/>
          <w:b/>
          <w:sz w:val="32"/>
        </w:rPr>
        <w:t>公用经费21.87万元，</w:t>
      </w:r>
      <w:r>
        <w:rPr>
          <w:rFonts w:ascii="仿宋_GB2312" w:hAnsi="仿宋_GB2312" w:eastAsia="仿宋_GB2312"/>
          <w:b w:val="0"/>
          <w:sz w:val="32"/>
        </w:rPr>
        <w:t>包括：办公费、水费、电费、邮电费、取暖费、物业管理费、差旅费、维修（护）费、公务接待费、工会经费、福利费、公务用车运行维护费、其他商品和服务支出。</w:t>
      </w:r>
    </w:p>
    <w:p w14:paraId="759EA7C8">
      <w:pPr>
        <w:spacing w:line="640" w:lineRule="exact"/>
        <w:ind w:firstLine="640"/>
        <w:jc w:val="both"/>
        <w:outlineLvl w:val="2"/>
      </w:pPr>
      <w:r>
        <w:rPr>
          <w:rFonts w:ascii="黑体" w:hAnsi="黑体" w:eastAsia="黑体"/>
          <w:sz w:val="32"/>
        </w:rPr>
        <w:t>七、政府性基金预算财政拨款收入支出决算情况说明</w:t>
      </w:r>
    </w:p>
    <w:p w14:paraId="0EB47EA4">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1C3E3D4">
      <w:pPr>
        <w:spacing w:line="640" w:lineRule="exact"/>
        <w:ind w:firstLine="640"/>
        <w:jc w:val="both"/>
        <w:outlineLvl w:val="2"/>
      </w:pPr>
      <w:r>
        <w:rPr>
          <w:rFonts w:ascii="黑体" w:hAnsi="黑体" w:eastAsia="黑体"/>
          <w:sz w:val="32"/>
        </w:rPr>
        <w:t>八、国有资本经营预算财政拨款收入支出决算情况说明</w:t>
      </w:r>
    </w:p>
    <w:p w14:paraId="1878436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142B08A">
      <w:pPr>
        <w:spacing w:line="640" w:lineRule="exact"/>
        <w:ind w:firstLine="640"/>
        <w:jc w:val="both"/>
        <w:outlineLvl w:val="2"/>
      </w:pPr>
      <w:r>
        <w:rPr>
          <w:rFonts w:ascii="黑体" w:hAnsi="黑体" w:eastAsia="黑体"/>
          <w:sz w:val="32"/>
        </w:rPr>
        <w:t>九、财政拨款“三公”经费支出决算情况说明</w:t>
      </w:r>
    </w:p>
    <w:p w14:paraId="07F376A7">
      <w:pPr>
        <w:spacing w:line="580" w:lineRule="exact"/>
        <w:ind w:firstLine="640"/>
        <w:jc w:val="both"/>
      </w:pPr>
      <w:r>
        <w:rPr>
          <w:rFonts w:ascii="仿宋_GB2312" w:hAnsi="仿宋_GB2312" w:eastAsia="仿宋_GB2312"/>
          <w:b/>
          <w:sz w:val="32"/>
        </w:rPr>
        <w:t>2024年度财政拨款“三公”经费支出10.97万元，</w:t>
      </w:r>
      <w:r>
        <w:rPr>
          <w:rFonts w:ascii="仿宋_GB2312" w:hAnsi="仿宋_GB2312" w:eastAsia="仿宋_GB2312"/>
          <w:b w:val="0"/>
          <w:sz w:val="32"/>
        </w:rPr>
        <w:t>比上年增加6.31万元，增长135.41%，主要原因是：一是本单位公务用车日渐老化，维修维护成本增加，导致公务用车运行维护费较上年增加。二是因地震原因，办案场所成为危房，前往阿图什市办案，增加车辆运行成本。其中：因公出国（境）费支出0.00万元，占0.00%，比上年增加0.00万元，增长0.00%，主要原因是：2023年与2024年均未安排因公出国（境）费支出。公务用车购置及运行维护费支出10.61万元，占96.72%，比上年增加6.72万元，增长172.75%，主要原因是：一是本单位公务用车日渐老化，维修维护成本增加，导致公务用车运行维护费较上年增加。二是因地震原因，办案场所成为危房，前往阿图什市办案，增加车辆运行成本。公务接待费支出0.36万元，占3.28%，比上年减少0.41万元，下降53.25%，主要原因是：严格落实</w:t>
      </w:r>
      <w:r>
        <w:rPr>
          <w:rFonts w:hint="eastAsia" w:ascii="仿宋_GB2312" w:hAnsi="仿宋_GB2312" w:eastAsia="仿宋_GB2312"/>
          <w:b w:val="0"/>
          <w:sz w:val="32"/>
          <w:lang w:eastAsia="zh-CN"/>
        </w:rPr>
        <w:t>中央八项规定</w:t>
      </w:r>
      <w:r>
        <w:rPr>
          <w:rFonts w:ascii="仿宋_GB2312" w:hAnsi="仿宋_GB2312" w:eastAsia="仿宋_GB2312"/>
          <w:b w:val="0"/>
          <w:sz w:val="32"/>
        </w:rPr>
        <w:t>精神，厉行节约，减少公务接待费。</w:t>
      </w:r>
    </w:p>
    <w:p w14:paraId="46115D6F">
      <w:pPr>
        <w:spacing w:line="580" w:lineRule="exact"/>
        <w:ind w:firstLine="640"/>
        <w:jc w:val="both"/>
      </w:pPr>
      <w:r>
        <w:rPr>
          <w:rFonts w:ascii="仿宋_GB2312" w:hAnsi="仿宋_GB2312" w:eastAsia="仿宋_GB2312"/>
          <w:b/>
          <w:sz w:val="32"/>
        </w:rPr>
        <w:t>具体情况如下：</w:t>
      </w:r>
    </w:p>
    <w:p w14:paraId="66785C5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354A0A3">
      <w:pPr>
        <w:spacing w:line="580" w:lineRule="exact"/>
        <w:ind w:firstLine="640"/>
        <w:jc w:val="both"/>
      </w:pPr>
      <w:r>
        <w:rPr>
          <w:rFonts w:ascii="仿宋_GB2312" w:hAnsi="仿宋_GB2312" w:eastAsia="仿宋_GB2312"/>
          <w:b w:val="0"/>
          <w:sz w:val="32"/>
        </w:rPr>
        <w:t>公务用车购置及运行维护费10.61万元，其中：公务用车购置费0.00万元，公务用车运行维护费10.61万元。公务用车运行维护费开支内容包括车辆加油费、维修费、保险费、审车费、过路费。公务用车购置数0辆，公务用车保有量4辆。国有资产占用情况中固定资产车辆4辆，与公务用车保有量差异原因是：本单位固定资产车辆与公务用车保有量一致无差异。</w:t>
      </w:r>
    </w:p>
    <w:p w14:paraId="46E1B41B">
      <w:pPr>
        <w:spacing w:line="580" w:lineRule="exact"/>
        <w:ind w:firstLine="640"/>
        <w:jc w:val="both"/>
      </w:pPr>
      <w:r>
        <w:rPr>
          <w:rFonts w:ascii="仿宋_GB2312" w:hAnsi="仿宋_GB2312" w:eastAsia="仿宋_GB2312"/>
          <w:b w:val="0"/>
          <w:sz w:val="32"/>
        </w:rPr>
        <w:t>公务接待费0.36万元，开支内容包括接待上级领导检查、督导组检查、调研产生的就餐费。单位全年安排的国内公务接待10批次，52人次。</w:t>
      </w:r>
    </w:p>
    <w:p w14:paraId="25AE92F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10.97万元，决算数10.97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10.61万元，决算数10.61万元，预决算差异率0.00%，主要原因是：严格按照预算执行，预决算无差异。公务接待费全年预算数0.36万元，决算数0.36万元，预决算差异率0.00%，主要原因是：严格按照预算执行，预决算无差异。</w:t>
      </w:r>
    </w:p>
    <w:p w14:paraId="255894B7">
      <w:pPr>
        <w:spacing w:line="640" w:lineRule="exact"/>
        <w:ind w:firstLine="640"/>
        <w:jc w:val="both"/>
        <w:outlineLvl w:val="2"/>
      </w:pPr>
      <w:r>
        <w:rPr>
          <w:rFonts w:ascii="黑体" w:hAnsi="黑体" w:eastAsia="黑体"/>
          <w:sz w:val="32"/>
        </w:rPr>
        <w:t>十、其他重要事项的情况说明</w:t>
      </w:r>
    </w:p>
    <w:p w14:paraId="26957BB9">
      <w:pPr>
        <w:spacing w:line="640" w:lineRule="exact"/>
        <w:ind w:firstLine="640"/>
        <w:jc w:val="both"/>
        <w:outlineLvl w:val="3"/>
      </w:pPr>
      <w:r>
        <w:rPr>
          <w:rFonts w:ascii="楷体_GB2312" w:hAnsi="楷体_GB2312" w:eastAsia="楷体_GB2312"/>
          <w:b/>
          <w:sz w:val="32"/>
        </w:rPr>
        <w:t>（一）机关运行经费及公用经费支出情况</w:t>
      </w:r>
    </w:p>
    <w:p w14:paraId="333E7F7B">
      <w:pPr>
        <w:spacing w:line="580" w:lineRule="exact"/>
        <w:ind w:firstLine="640"/>
        <w:jc w:val="both"/>
      </w:pPr>
      <w:r>
        <w:rPr>
          <w:rFonts w:ascii="仿宋_GB2312" w:hAnsi="仿宋_GB2312" w:eastAsia="仿宋_GB2312"/>
          <w:b w:val="0"/>
          <w:sz w:val="32"/>
        </w:rPr>
        <w:t>2024年度阿合奇县人民检察院（行政单位和参照公务员法管理事业单位）机关运行经费支出21.87万元，比上年减少19.88万元，下降47.62%，主要原因是：严控经费支出，厉行节约，减少</w:t>
      </w:r>
      <w:r>
        <w:rPr>
          <w:rFonts w:hint="eastAsia" w:ascii="仿宋_GB2312" w:hAnsi="仿宋_GB2312" w:eastAsia="仿宋_GB2312"/>
          <w:b w:val="0"/>
          <w:sz w:val="32"/>
          <w:lang w:val="en-US" w:eastAsia="zh-CN"/>
        </w:rPr>
        <w:t>办公</w:t>
      </w:r>
      <w:r>
        <w:rPr>
          <w:rFonts w:ascii="仿宋_GB2312" w:hAnsi="仿宋_GB2312" w:eastAsia="仿宋_GB2312"/>
          <w:b w:val="0"/>
          <w:sz w:val="32"/>
        </w:rPr>
        <w:t>经费支出。</w:t>
      </w:r>
    </w:p>
    <w:p w14:paraId="5CF64AC6">
      <w:pPr>
        <w:spacing w:line="640" w:lineRule="exact"/>
        <w:ind w:firstLine="640"/>
        <w:jc w:val="both"/>
        <w:outlineLvl w:val="3"/>
      </w:pPr>
      <w:r>
        <w:rPr>
          <w:rFonts w:ascii="楷体_GB2312" w:hAnsi="楷体_GB2312" w:eastAsia="楷体_GB2312"/>
          <w:b/>
          <w:sz w:val="32"/>
        </w:rPr>
        <w:t>（二）政府采购情况</w:t>
      </w:r>
    </w:p>
    <w:p w14:paraId="018CF045">
      <w:pPr>
        <w:spacing w:line="580" w:lineRule="exact"/>
        <w:ind w:firstLine="640"/>
        <w:jc w:val="both"/>
      </w:pPr>
      <w:r>
        <w:rPr>
          <w:rFonts w:ascii="仿宋_GB2312" w:hAnsi="仿宋_GB2312" w:eastAsia="仿宋_GB2312"/>
          <w:b w:val="0"/>
          <w:sz w:val="32"/>
        </w:rPr>
        <w:t>2024年度政府采购支出总额55.60万元，其中：政府采购货物支出12.94万元、政府采购工程支出16.00万元、政府采购服务支出26.66万元。</w:t>
      </w:r>
    </w:p>
    <w:p w14:paraId="23E143C5">
      <w:pPr>
        <w:spacing w:line="580" w:lineRule="exact"/>
        <w:ind w:firstLine="640"/>
        <w:jc w:val="both"/>
      </w:pPr>
      <w:r>
        <w:rPr>
          <w:rFonts w:ascii="仿宋_GB2312" w:hAnsi="仿宋_GB2312" w:eastAsia="仿宋_GB2312"/>
          <w:b w:val="0"/>
          <w:sz w:val="32"/>
        </w:rPr>
        <w:t>授予中小企业合同金额55.60万元，占政府采购支出总额的100.00%，其中：授予小微企业合同金额36.99万元，占政府采购支出总额的66.53%。</w:t>
      </w:r>
    </w:p>
    <w:p w14:paraId="14A39FB1">
      <w:pPr>
        <w:spacing w:line="640" w:lineRule="exact"/>
        <w:ind w:firstLine="640"/>
        <w:jc w:val="both"/>
        <w:outlineLvl w:val="3"/>
      </w:pPr>
      <w:r>
        <w:rPr>
          <w:rFonts w:ascii="楷体_GB2312" w:hAnsi="楷体_GB2312" w:eastAsia="楷体_GB2312"/>
          <w:b/>
          <w:sz w:val="32"/>
        </w:rPr>
        <w:t>（三）国有资产占用情况说明</w:t>
      </w:r>
    </w:p>
    <w:p w14:paraId="5B4C56F3">
      <w:pPr>
        <w:spacing w:line="580" w:lineRule="exact"/>
        <w:ind w:firstLine="640"/>
        <w:jc w:val="both"/>
      </w:pPr>
      <w:r>
        <w:rPr>
          <w:rFonts w:ascii="仿宋_GB2312" w:hAnsi="仿宋_GB2312" w:eastAsia="仿宋_GB2312"/>
          <w:b w:val="0"/>
          <w:sz w:val="32"/>
        </w:rPr>
        <w:t>截至2024年12月31日，房屋2,637.16平方米，价值323.25万元。车辆4辆，价值87.32万元，其中：副部（省）级及以上领导用车0辆、主要负责人用车0辆、机要通信用车0辆、应急保障用车0辆、执法执勤用车3辆、特种专业技术用车0辆、离退休干部服务用车0辆、其他用车1辆，其他用车主要是：一般公务用车。单价100万元（含）以上设备（不含车辆）0台（套）。</w:t>
      </w:r>
    </w:p>
    <w:p w14:paraId="53962A05">
      <w:pPr>
        <w:spacing w:line="640" w:lineRule="exact"/>
        <w:ind w:firstLine="640"/>
        <w:jc w:val="both"/>
        <w:outlineLvl w:val="2"/>
      </w:pPr>
      <w:r>
        <w:rPr>
          <w:rFonts w:ascii="黑体" w:hAnsi="黑体" w:eastAsia="黑体"/>
          <w:sz w:val="32"/>
        </w:rPr>
        <w:t>十一、预算绩效的情况说明</w:t>
      </w:r>
    </w:p>
    <w:p w14:paraId="2D94776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806.58万元，实际执行总额797.88万元；预算绩效评价项目1个，全年预算数113.00万元，全年执行数113.00万元。预算绩效管理取得的成效：</w:t>
      </w:r>
      <w:bookmarkStart w:id="0" w:name="_GoBack"/>
      <w:r>
        <w:rPr>
          <w:rFonts w:hint="eastAsia" w:ascii="仿宋_GB2312" w:hAnsi="仿宋_GB2312" w:eastAsia="仿宋_GB2312"/>
          <w:b w:val="0"/>
          <w:sz w:val="32"/>
          <w:lang w:eastAsia="zh-CN"/>
        </w:rPr>
        <w:t>本单位</w:t>
      </w:r>
      <w:bookmarkEnd w:id="0"/>
      <w:r>
        <w:rPr>
          <w:rFonts w:ascii="仿宋_GB2312" w:hAnsi="仿宋_GB2312" w:eastAsia="仿宋_GB2312"/>
          <w:b w:val="0"/>
          <w:sz w:val="32"/>
        </w:rPr>
        <w:t>绩效自评项目SM，不予公开。发现的问题及原因：</w:t>
      </w:r>
      <w:r>
        <w:rPr>
          <w:rFonts w:hint="eastAsia" w:ascii="仿宋_GB2312" w:hAnsi="仿宋_GB2312" w:eastAsia="仿宋_GB2312"/>
          <w:b w:val="0"/>
          <w:sz w:val="32"/>
          <w:lang w:eastAsia="zh-CN"/>
        </w:rPr>
        <w:t>本单位</w:t>
      </w:r>
      <w:r>
        <w:rPr>
          <w:rFonts w:ascii="仿宋_GB2312" w:hAnsi="仿宋_GB2312" w:eastAsia="仿宋_GB2312"/>
          <w:b w:val="0"/>
          <w:sz w:val="32"/>
        </w:rPr>
        <w:t>绩效自评项目SM，不予公开。下一步改进措施：</w:t>
      </w:r>
      <w:r>
        <w:rPr>
          <w:rFonts w:hint="eastAsia" w:ascii="仿宋_GB2312" w:hAnsi="仿宋_GB2312" w:eastAsia="仿宋_GB2312"/>
          <w:b w:val="0"/>
          <w:sz w:val="32"/>
          <w:lang w:eastAsia="zh-CN"/>
        </w:rPr>
        <w:t>本单位</w:t>
      </w:r>
      <w:r>
        <w:rPr>
          <w:rFonts w:ascii="仿宋_GB2312" w:hAnsi="仿宋_GB2312" w:eastAsia="仿宋_GB2312"/>
          <w:b w:val="0"/>
          <w:sz w:val="32"/>
        </w:rPr>
        <w:t>绩效自评项目SM，不予公开。具体附整体支出绩效自评表。</w:t>
      </w:r>
    </w:p>
    <w:p w14:paraId="59B278B9">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605F5209">
        <w:tblPrEx>
          <w:tblCellMar>
            <w:top w:w="0" w:type="dxa"/>
            <w:left w:w="108" w:type="dxa"/>
            <w:bottom w:w="0" w:type="dxa"/>
            <w:right w:w="108" w:type="dxa"/>
          </w:tblCellMar>
        </w:tblPrEx>
        <w:tc>
          <w:tcPr>
            <w:tcW w:w="8840" w:type="dxa"/>
            <w:gridSpan w:val="8"/>
            <w:vAlign w:val="center"/>
          </w:tcPr>
          <w:p w14:paraId="4F538972">
            <w:pPr>
              <w:jc w:val="center"/>
            </w:pPr>
            <w:r>
              <w:rPr>
                <w:rFonts w:ascii="宋体" w:hAnsi="宋体" w:eastAsia="宋体"/>
                <w:sz w:val="24"/>
              </w:rPr>
              <w:t>单位整体支出绩效自评表</w:t>
            </w:r>
          </w:p>
        </w:tc>
      </w:tr>
      <w:tr w14:paraId="6766F965">
        <w:tblPrEx>
          <w:tblCellMar>
            <w:top w:w="0" w:type="dxa"/>
            <w:left w:w="108" w:type="dxa"/>
            <w:bottom w:w="0" w:type="dxa"/>
            <w:right w:w="108" w:type="dxa"/>
          </w:tblCellMar>
        </w:tblPrEx>
        <w:tc>
          <w:tcPr>
            <w:tcW w:w="8840" w:type="dxa"/>
            <w:gridSpan w:val="8"/>
            <w:vAlign w:val="center"/>
          </w:tcPr>
          <w:p w14:paraId="7DD6264E">
            <w:pPr>
              <w:jc w:val="center"/>
            </w:pPr>
            <w:r>
              <w:rPr>
                <w:rFonts w:ascii="宋体" w:hAnsi="宋体" w:eastAsia="宋体"/>
                <w:sz w:val="24"/>
              </w:rPr>
              <w:t>（2024年度）</w:t>
            </w:r>
          </w:p>
        </w:tc>
      </w:tr>
      <w:tr w14:paraId="35C3DED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95A325">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4A060E">
            <w:pPr>
              <w:jc w:val="center"/>
            </w:pPr>
            <w:r>
              <w:rPr>
                <w:rFonts w:ascii="宋体" w:hAnsi="宋体" w:eastAsia="宋体"/>
                <w:sz w:val="16"/>
              </w:rPr>
              <w:t>阿合奇县人民检察院</w:t>
            </w:r>
          </w:p>
        </w:tc>
      </w:tr>
      <w:tr w14:paraId="424EB0F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6B90DA">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ACAF69">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7B0511">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4C89BA">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3D8B9C">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2CFC6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E04FB6">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D5FFBF">
            <w:pPr>
              <w:jc w:val="center"/>
            </w:pPr>
            <w:r>
              <w:rPr>
                <w:rFonts w:ascii="宋体" w:hAnsi="宋体" w:eastAsia="宋体"/>
                <w:sz w:val="16"/>
              </w:rPr>
              <w:t>得分</w:t>
            </w:r>
          </w:p>
        </w:tc>
      </w:tr>
      <w:tr w14:paraId="3B72113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1D3643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73C0B3">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7699E1">
            <w:pPr>
              <w:jc w:val="center"/>
            </w:pPr>
            <w:r>
              <w:rPr>
                <w:rFonts w:ascii="宋体" w:hAnsi="宋体" w:eastAsia="宋体"/>
                <w:sz w:val="16"/>
              </w:rPr>
              <w:t>775.54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495C25">
            <w:pPr>
              <w:jc w:val="center"/>
            </w:pPr>
            <w:r>
              <w:rPr>
                <w:rFonts w:ascii="宋体" w:hAnsi="宋体" w:eastAsia="宋体"/>
                <w:sz w:val="16"/>
              </w:rPr>
              <w:t>806.58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B6B65D">
            <w:pPr>
              <w:jc w:val="center"/>
            </w:pPr>
            <w:r>
              <w:rPr>
                <w:rFonts w:ascii="宋体" w:hAnsi="宋体" w:eastAsia="宋体"/>
                <w:sz w:val="16"/>
              </w:rPr>
              <w:t>797.88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007E19">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0ED8D8">
            <w:pPr>
              <w:jc w:val="center"/>
            </w:pPr>
            <w:r>
              <w:rPr>
                <w:rFonts w:ascii="宋体" w:hAnsi="宋体" w:eastAsia="宋体"/>
                <w:sz w:val="16"/>
              </w:rPr>
              <w:t>98.92%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03DECC">
            <w:pPr>
              <w:jc w:val="center"/>
            </w:pPr>
            <w:r>
              <w:rPr>
                <w:rFonts w:ascii="宋体" w:hAnsi="宋体" w:eastAsia="宋体"/>
                <w:sz w:val="16"/>
              </w:rPr>
              <w:t>9</w:t>
            </w:r>
            <w:r>
              <w:rPr>
                <w:rFonts w:hint="eastAsia" w:ascii="宋体" w:hAnsi="宋体"/>
                <w:sz w:val="16"/>
                <w:lang w:eastAsia="zh-CN"/>
              </w:rPr>
              <w:t>.</w:t>
            </w:r>
            <w:r>
              <w:rPr>
                <w:rFonts w:ascii="宋体" w:hAnsi="宋体" w:eastAsia="宋体"/>
                <w:sz w:val="16"/>
              </w:rPr>
              <w:t>89</w:t>
            </w:r>
          </w:p>
        </w:tc>
      </w:tr>
      <w:tr w14:paraId="195BF9C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C00F51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FFDA31">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5D3FE9">
            <w:pPr>
              <w:jc w:val="center"/>
            </w:pPr>
            <w:r>
              <w:rPr>
                <w:rFonts w:ascii="宋体" w:hAnsi="宋体" w:eastAsia="宋体"/>
                <w:sz w:val="16"/>
              </w:rPr>
              <w:t>111.66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78A5F1">
            <w:pPr>
              <w:jc w:val="center"/>
            </w:pPr>
            <w:r>
              <w:rPr>
                <w:rFonts w:ascii="宋体" w:hAnsi="宋体" w:eastAsia="宋体"/>
                <w:sz w:val="16"/>
              </w:rPr>
              <w:t>116.88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FE66BC">
            <w:pPr>
              <w:jc w:val="center"/>
            </w:pPr>
            <w:r>
              <w:rPr>
                <w:rFonts w:ascii="宋体" w:hAnsi="宋体" w:eastAsia="宋体"/>
                <w:sz w:val="16"/>
              </w:rPr>
              <w:t>116.88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93C06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E7F8A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653787">
            <w:pPr>
              <w:jc w:val="center"/>
            </w:pPr>
            <w:r>
              <w:rPr>
                <w:rFonts w:ascii="宋体" w:hAnsi="宋体" w:eastAsia="宋体"/>
                <w:sz w:val="16"/>
              </w:rPr>
              <w:t>—</w:t>
            </w:r>
          </w:p>
        </w:tc>
      </w:tr>
      <w:tr w14:paraId="1FC0A85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651EC5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D290DA">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D1EFD2">
            <w:pPr>
              <w:jc w:val="center"/>
            </w:pPr>
            <w:r>
              <w:rPr>
                <w:rFonts w:ascii="宋体" w:hAnsi="宋体" w:eastAsia="宋体"/>
                <w:sz w:val="16"/>
              </w:rPr>
              <w:t>659.78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0FF565">
            <w:pPr>
              <w:jc w:val="center"/>
            </w:pPr>
            <w:r>
              <w:rPr>
                <w:rFonts w:ascii="宋体" w:hAnsi="宋体" w:eastAsia="宋体"/>
                <w:sz w:val="16"/>
              </w:rPr>
              <w:t>689.70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70499D">
            <w:pPr>
              <w:jc w:val="center"/>
            </w:pPr>
            <w:r>
              <w:rPr>
                <w:rFonts w:ascii="宋体" w:hAnsi="宋体" w:eastAsia="宋体"/>
                <w:sz w:val="16"/>
              </w:rPr>
              <w:t>681.00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C03CB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C7CB4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A32BD4">
            <w:pPr>
              <w:jc w:val="center"/>
            </w:pPr>
            <w:r>
              <w:rPr>
                <w:rFonts w:ascii="宋体" w:hAnsi="宋体" w:eastAsia="宋体"/>
                <w:sz w:val="16"/>
              </w:rPr>
              <w:t>—</w:t>
            </w:r>
          </w:p>
        </w:tc>
      </w:tr>
      <w:tr w14:paraId="33349A8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C7A5BF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CE3661">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49BAA9">
            <w:pPr>
              <w:jc w:val="center"/>
            </w:pPr>
            <w:r>
              <w:rPr>
                <w:rFonts w:ascii="宋体" w:hAnsi="宋体" w:eastAsia="宋体"/>
                <w:sz w:val="16"/>
              </w:rPr>
              <w:t>4.10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999DA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2AC7E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F3ADF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15DBD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4AA945">
            <w:pPr>
              <w:jc w:val="center"/>
            </w:pPr>
            <w:r>
              <w:rPr>
                <w:rFonts w:ascii="宋体" w:hAnsi="宋体" w:eastAsia="宋体"/>
                <w:sz w:val="16"/>
              </w:rPr>
              <w:t>—</w:t>
            </w:r>
          </w:p>
        </w:tc>
      </w:tr>
      <w:tr w14:paraId="4103E64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928ED6">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92A3FB">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EDC149">
            <w:pPr>
              <w:jc w:val="center"/>
            </w:pPr>
            <w:r>
              <w:rPr>
                <w:rFonts w:ascii="宋体" w:hAnsi="宋体" w:eastAsia="宋体"/>
                <w:sz w:val="16"/>
              </w:rPr>
              <w:t>实际完成情况</w:t>
            </w:r>
          </w:p>
        </w:tc>
      </w:tr>
      <w:tr w14:paraId="1A38E9C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AEC9E64"/>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AC94153">
            <w:pPr>
              <w:jc w:val="both"/>
            </w:pPr>
            <w:r>
              <w:rPr>
                <w:rFonts w:ascii="宋体" w:hAnsi="宋体" w:eastAsia="宋体"/>
                <w:sz w:val="16"/>
              </w:rPr>
              <w:t>全面贯彻党的二十大精神，以习近平新时代中国特色社会主义思想为指导，紧紧围绕社会稳定和长治久安总目标，依法全面履行法律监督职责，严肃认真查办司法人员相关职务犯罪；在助力稳定大局中贡献新力量，在推进依法治疆进程中体现新作为，公平公正受理公益诉讼案件；在强化管理完善监督体系中提升新效能，在打造四个铁一般过硬检察队伍中担当新使命。监督民事案件中转变监督理念、强化精准监督、加强执行监督，组织公开听证、公开审查、公开送达次数为社会稳定提供有力司法保障，维护社会法治公平公正，贡献检察智慧力量。</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1E639CA">
            <w:pPr>
              <w:jc w:val="both"/>
            </w:pPr>
            <w:r>
              <w:rPr>
                <w:rFonts w:ascii="宋体" w:hAnsi="宋体" w:eastAsia="宋体"/>
                <w:sz w:val="16"/>
              </w:rPr>
              <w:t>一是坚持对涉罪未成年人坚持教育、感化、挽救方针，坚持不懈融入大抓教育工作格局，织密未成年人“六位一体”保护网，形成协同推进工作落实合力，对侵害未成年人犯罪“零容忍”，侵害未成年人件数、人数较往年分别下降了20%和60%。未成年人犯罪人数较往年下降60%</w:t>
            </w:r>
            <w:r>
              <w:rPr>
                <w:rFonts w:hint="eastAsia" w:ascii="宋体" w:hAnsi="宋体"/>
                <w:sz w:val="16"/>
                <w:lang w:eastAsia="zh-CN"/>
              </w:rPr>
              <w:t>。</w:t>
            </w:r>
            <w:r>
              <w:rPr>
                <w:rFonts w:ascii="宋体" w:hAnsi="宋体" w:eastAsia="宋体"/>
                <w:sz w:val="16"/>
              </w:rPr>
              <w:t>通过以上工作的实施；</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二是践行新时代“枫桥经验”，畅通诉求反映渠道，全力办好群众信访案件，积极回应群众合理诉求，收到群众来信2件，来访7人次，做实了“件件有回复”。服务乡村全面振兴，拓展帮困扶弱路径，移送支持起诉案件3件，通过协商解决，为农民工追讨工资78.776万元。联合县教科局、同心中学、无锡前方工作组共同推动建立“点亮工程”，对28名困境女童每年资助2000元。坚持“应救尽救”原则，办理司法救助1件，发放救助金69085.33元。办理的阿某家庭暴力案“支持起诉+司法救助”案例，入选自治区检察院典型案例；</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三是我院托什干河公益诉讼保护成功入选自治区检察院高质效案例，同时为托什干河（克孜勒苏柯尔克孜自治州段）成功入选生态环境部“第三批美丽河湖优秀案例”做出了检察贡献；</w:t>
            </w:r>
          </w:p>
        </w:tc>
      </w:tr>
      <w:tr w14:paraId="031057BE">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701FB3">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20E277">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199533">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2C52C9">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405611">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CCF1F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934680">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B8EF54">
            <w:pPr>
              <w:jc w:val="center"/>
            </w:pPr>
            <w:r>
              <w:rPr>
                <w:rFonts w:ascii="宋体" w:hAnsi="宋体" w:eastAsia="宋体"/>
                <w:sz w:val="16"/>
              </w:rPr>
              <w:t>得分</w:t>
            </w:r>
          </w:p>
        </w:tc>
      </w:tr>
      <w:tr w14:paraId="6ED9A32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40FFB2">
            <w:pPr>
              <w:jc w:val="center"/>
            </w:pPr>
            <w:r>
              <w:rPr>
                <w:rFonts w:ascii="宋体" w:hAnsi="宋体" w:eastAsia="宋体"/>
                <w:sz w:val="16"/>
              </w:rPr>
              <w:t>管理效率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B4D8E4">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2121D2">
            <w:pPr>
              <w:jc w:val="center"/>
            </w:pPr>
            <w:r>
              <w:rPr>
                <w:rFonts w:ascii="宋体" w:hAnsi="宋体" w:eastAsia="宋体"/>
                <w:sz w:val="16"/>
              </w:rPr>
              <w:t>履行法律监督完成率（%）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2360B4">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922D5A">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3AA192">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031A37">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EDFAA0">
            <w:pPr>
              <w:jc w:val="center"/>
            </w:pPr>
            <w:r>
              <w:rPr>
                <w:rFonts w:ascii="宋体" w:hAnsi="宋体" w:eastAsia="宋体"/>
                <w:sz w:val="16"/>
              </w:rPr>
              <w:t>20</w:t>
            </w:r>
          </w:p>
        </w:tc>
      </w:tr>
      <w:tr w14:paraId="54B8A59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37BE3D">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B05C7F">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9D7FE7">
            <w:pPr>
              <w:jc w:val="center"/>
            </w:pPr>
            <w:r>
              <w:rPr>
                <w:rFonts w:ascii="宋体" w:hAnsi="宋体" w:eastAsia="宋体"/>
                <w:sz w:val="16"/>
              </w:rPr>
              <w:t>案件办结率（%）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43A699">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9DBAA7">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4E0262">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8AF51E">
            <w:pPr>
              <w:jc w:val="center"/>
            </w:pPr>
            <w:r>
              <w:rPr>
                <w:rFonts w:ascii="宋体" w:hAnsi="宋体" w:eastAsia="宋体"/>
                <w:sz w:val="16"/>
              </w:rPr>
              <w:t>97.36%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74374C">
            <w:pPr>
              <w:jc w:val="center"/>
            </w:pPr>
            <w:r>
              <w:rPr>
                <w:rFonts w:ascii="宋体" w:hAnsi="宋体" w:eastAsia="宋体"/>
                <w:sz w:val="16"/>
              </w:rPr>
              <w:t>29.21</w:t>
            </w:r>
          </w:p>
        </w:tc>
      </w:tr>
      <w:tr w14:paraId="70ACCD8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ABFD49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3CC5FC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459A1A">
            <w:pPr>
              <w:jc w:val="center"/>
            </w:pPr>
            <w:r>
              <w:rPr>
                <w:rFonts w:ascii="宋体" w:hAnsi="宋体" w:eastAsia="宋体"/>
                <w:sz w:val="16"/>
              </w:rPr>
              <w:t>办理各类案件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CFB4D8">
            <w:pPr>
              <w:jc w:val="center"/>
            </w:pPr>
            <w:r>
              <w:rPr>
                <w:rFonts w:ascii="宋体" w:hAnsi="宋体" w:eastAsia="宋体"/>
                <w:sz w:val="16"/>
              </w:rPr>
              <w:t>=200个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29CC02">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95545F">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A340DA">
            <w:pPr>
              <w:jc w:val="center"/>
            </w:pPr>
            <w:r>
              <w:rPr>
                <w:rFonts w:ascii="宋体" w:hAnsi="宋体" w:eastAsia="宋体"/>
                <w:sz w:val="16"/>
              </w:rPr>
              <w:t>227个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97377C">
            <w:pPr>
              <w:jc w:val="center"/>
            </w:pPr>
            <w:r>
              <w:rPr>
                <w:rFonts w:ascii="宋体" w:hAnsi="宋体" w:eastAsia="宋体"/>
                <w:sz w:val="16"/>
              </w:rPr>
              <w:t>15</w:t>
            </w:r>
          </w:p>
        </w:tc>
      </w:tr>
      <w:tr w14:paraId="5CE5A6D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887516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6D75E8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11855E">
            <w:pPr>
              <w:jc w:val="center"/>
            </w:pPr>
            <w:r>
              <w:rPr>
                <w:rFonts w:ascii="宋体" w:hAnsi="宋体" w:eastAsia="宋体"/>
                <w:sz w:val="16"/>
              </w:rPr>
              <w:t>举办法律宣讲次数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AFD8C1">
            <w:pPr>
              <w:jc w:val="center"/>
            </w:pPr>
            <w:r>
              <w:rPr>
                <w:rFonts w:ascii="宋体" w:hAnsi="宋体" w:eastAsia="宋体"/>
                <w:sz w:val="16"/>
              </w:rPr>
              <w:t>&gt;=15次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366001">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508C63">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D3F032">
            <w:pPr>
              <w:jc w:val="center"/>
            </w:pPr>
            <w:r>
              <w:rPr>
                <w:rFonts w:ascii="宋体" w:hAnsi="宋体" w:eastAsia="宋体"/>
                <w:sz w:val="16"/>
              </w:rPr>
              <w:t>16次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46D9C8">
            <w:pPr>
              <w:jc w:val="center"/>
            </w:pPr>
            <w:r>
              <w:rPr>
                <w:rFonts w:ascii="宋体" w:hAnsi="宋体" w:eastAsia="宋体"/>
                <w:sz w:val="16"/>
              </w:rPr>
              <w:t>10</w:t>
            </w:r>
          </w:p>
        </w:tc>
      </w:tr>
      <w:tr w14:paraId="6CF09ADE">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751E2C">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8468F3">
            <w:pPr>
              <w:jc w:val="center"/>
            </w:pPr>
            <w:r>
              <w:rPr>
                <w:rFonts w:ascii="宋体" w:hAnsi="宋体" w:eastAsia="宋体"/>
                <w:sz w:val="16"/>
              </w:rPr>
              <w:t>社会效益指标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D0A123">
            <w:pPr>
              <w:jc w:val="center"/>
            </w:pPr>
            <w:r>
              <w:rPr>
                <w:rFonts w:ascii="宋体" w:hAnsi="宋体" w:eastAsia="宋体"/>
                <w:sz w:val="16"/>
              </w:rPr>
              <w:t>检察建议采纳率（%）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FB0B02">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3CDC8C">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0407C5">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1C4EBF">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FD5FC8">
            <w:pPr>
              <w:jc w:val="center"/>
            </w:pPr>
            <w:r>
              <w:rPr>
                <w:rFonts w:ascii="宋体" w:hAnsi="宋体" w:eastAsia="宋体"/>
                <w:sz w:val="16"/>
              </w:rPr>
              <w:t>15</w:t>
            </w:r>
          </w:p>
        </w:tc>
      </w:tr>
    </w:tbl>
    <w:p w14:paraId="3BBCE005">
      <w:r>
        <w:br w:type="page"/>
      </w:r>
    </w:p>
    <w:p w14:paraId="346E4C97">
      <w:pPr>
        <w:spacing w:line="640" w:lineRule="exact"/>
        <w:ind w:firstLine="640"/>
        <w:jc w:val="both"/>
        <w:outlineLvl w:val="2"/>
      </w:pPr>
      <w:r>
        <w:rPr>
          <w:rFonts w:ascii="黑体" w:hAnsi="黑体" w:eastAsia="黑体"/>
          <w:sz w:val="32"/>
        </w:rPr>
        <w:t>十二、其他需说明的事项</w:t>
      </w:r>
    </w:p>
    <w:p w14:paraId="3BC72A6F">
      <w:pPr>
        <w:spacing w:line="580" w:lineRule="exact"/>
        <w:ind w:firstLine="640"/>
        <w:jc w:val="both"/>
      </w:pPr>
      <w:r>
        <w:rPr>
          <w:rFonts w:ascii="仿宋_GB2312" w:hAnsi="仿宋_GB2312" w:eastAsia="仿宋_GB2312"/>
          <w:b w:val="0"/>
          <w:sz w:val="32"/>
        </w:rPr>
        <w:t>本年本单位SM项目1个，全年预算数113.00万元，全年执行数113.00万元。</w:t>
      </w:r>
    </w:p>
    <w:p w14:paraId="33B8FF59">
      <w:r>
        <w:br w:type="page"/>
      </w:r>
    </w:p>
    <w:p w14:paraId="67A24C9A">
      <w:pPr>
        <w:spacing w:line="240" w:lineRule="auto"/>
        <w:jc w:val="center"/>
        <w:outlineLvl w:val="1"/>
      </w:pPr>
      <w:r>
        <w:rPr>
          <w:rFonts w:ascii="黑体" w:hAnsi="黑体" w:eastAsia="黑体"/>
          <w:sz w:val="32"/>
        </w:rPr>
        <w:t>第三部分 专业名词解释</w:t>
      </w:r>
    </w:p>
    <w:p w14:paraId="74AC86D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8DF243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66529C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872C9C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71E4D7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5A794B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7F8DA9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17F0B9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A821EA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582B97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FAC8E0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412B25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D4170E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C098AF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C75B79A">
      <w:r>
        <w:br w:type="page"/>
      </w:r>
    </w:p>
    <w:p w14:paraId="794E8171">
      <w:pPr>
        <w:spacing w:line="240" w:lineRule="auto"/>
        <w:jc w:val="center"/>
        <w:outlineLvl w:val="1"/>
      </w:pPr>
      <w:r>
        <w:rPr>
          <w:rFonts w:ascii="黑体" w:hAnsi="黑体" w:eastAsia="黑体"/>
          <w:sz w:val="32"/>
        </w:rPr>
        <w:t>第四部分 部门决算报表（见附表）</w:t>
      </w:r>
    </w:p>
    <w:p w14:paraId="79CB0FB4">
      <w:pPr>
        <w:spacing w:line="240" w:lineRule="auto"/>
        <w:ind w:firstLine="640"/>
        <w:jc w:val="both"/>
      </w:pPr>
      <w:r>
        <w:rPr>
          <w:rFonts w:ascii="仿宋_GB2312" w:hAnsi="仿宋_GB2312" w:eastAsia="仿宋_GB2312"/>
          <w:b w:val="0"/>
          <w:sz w:val="32"/>
        </w:rPr>
        <w:t>一、《收入支出决算总表》</w:t>
      </w:r>
    </w:p>
    <w:p w14:paraId="367683BE">
      <w:pPr>
        <w:spacing w:line="240" w:lineRule="auto"/>
        <w:ind w:firstLine="640"/>
        <w:jc w:val="both"/>
      </w:pPr>
      <w:r>
        <w:rPr>
          <w:rFonts w:ascii="仿宋_GB2312" w:hAnsi="仿宋_GB2312" w:eastAsia="仿宋_GB2312"/>
          <w:b w:val="0"/>
          <w:sz w:val="32"/>
        </w:rPr>
        <w:t>二、《收入决算表》</w:t>
      </w:r>
    </w:p>
    <w:p w14:paraId="4048AE61">
      <w:pPr>
        <w:spacing w:line="240" w:lineRule="auto"/>
        <w:ind w:firstLine="640"/>
        <w:jc w:val="both"/>
      </w:pPr>
      <w:r>
        <w:rPr>
          <w:rFonts w:ascii="仿宋_GB2312" w:hAnsi="仿宋_GB2312" w:eastAsia="仿宋_GB2312"/>
          <w:b w:val="0"/>
          <w:sz w:val="32"/>
        </w:rPr>
        <w:t>三、《支出决算表》</w:t>
      </w:r>
    </w:p>
    <w:p w14:paraId="32140091">
      <w:pPr>
        <w:spacing w:line="240" w:lineRule="auto"/>
        <w:ind w:firstLine="640"/>
        <w:jc w:val="both"/>
      </w:pPr>
      <w:r>
        <w:rPr>
          <w:rFonts w:ascii="仿宋_GB2312" w:hAnsi="仿宋_GB2312" w:eastAsia="仿宋_GB2312"/>
          <w:b w:val="0"/>
          <w:sz w:val="32"/>
        </w:rPr>
        <w:t>四、《财政拨款收入支出决算总表》</w:t>
      </w:r>
    </w:p>
    <w:p w14:paraId="26984BB3">
      <w:pPr>
        <w:spacing w:line="240" w:lineRule="auto"/>
        <w:ind w:firstLine="640"/>
        <w:jc w:val="both"/>
      </w:pPr>
      <w:r>
        <w:rPr>
          <w:rFonts w:ascii="仿宋_GB2312" w:hAnsi="仿宋_GB2312" w:eastAsia="仿宋_GB2312"/>
          <w:b w:val="0"/>
          <w:sz w:val="32"/>
        </w:rPr>
        <w:t>五、《一般公共预算财政拨款支出决算表》</w:t>
      </w:r>
    </w:p>
    <w:p w14:paraId="6317A57F">
      <w:pPr>
        <w:spacing w:line="240" w:lineRule="auto"/>
        <w:ind w:firstLine="640"/>
        <w:jc w:val="both"/>
      </w:pPr>
      <w:r>
        <w:rPr>
          <w:rFonts w:ascii="仿宋_GB2312" w:hAnsi="仿宋_GB2312" w:eastAsia="仿宋_GB2312"/>
          <w:b w:val="0"/>
          <w:sz w:val="32"/>
        </w:rPr>
        <w:t>六、《一般公共预算财政拨款基本支出决算表》</w:t>
      </w:r>
    </w:p>
    <w:p w14:paraId="06E62A37">
      <w:pPr>
        <w:spacing w:line="240" w:lineRule="auto"/>
        <w:ind w:firstLine="640"/>
        <w:jc w:val="both"/>
      </w:pPr>
      <w:r>
        <w:rPr>
          <w:rFonts w:ascii="仿宋_GB2312" w:hAnsi="仿宋_GB2312" w:eastAsia="仿宋_GB2312"/>
          <w:b w:val="0"/>
          <w:sz w:val="32"/>
        </w:rPr>
        <w:t>七、《政府性基金预算财政拨款收入支出决算表》</w:t>
      </w:r>
    </w:p>
    <w:p w14:paraId="6C1E2FEC">
      <w:pPr>
        <w:spacing w:line="240" w:lineRule="auto"/>
        <w:ind w:firstLine="640"/>
        <w:jc w:val="both"/>
      </w:pPr>
      <w:r>
        <w:rPr>
          <w:rFonts w:ascii="仿宋_GB2312" w:hAnsi="仿宋_GB2312" w:eastAsia="仿宋_GB2312"/>
          <w:b w:val="0"/>
          <w:sz w:val="32"/>
        </w:rPr>
        <w:t>八、《国有资本经营预算财政拨款收入支出决算表》</w:t>
      </w:r>
    </w:p>
    <w:p w14:paraId="74CEDD6A">
      <w:pPr>
        <w:spacing w:line="240" w:lineRule="auto"/>
        <w:ind w:firstLine="640"/>
        <w:jc w:val="both"/>
      </w:pPr>
      <w:r>
        <w:rPr>
          <w:rFonts w:ascii="仿宋_GB2312" w:hAnsi="仿宋_GB2312" w:eastAsia="仿宋_GB2312"/>
          <w:b w:val="0"/>
          <w:sz w:val="32"/>
        </w:rPr>
        <w:t>九、《财政拨款“三公”经费支出决算表》</w:t>
      </w:r>
    </w:p>
    <w:p w14:paraId="2933C2DA">
      <w:pPr>
        <w:spacing w:line="240" w:lineRule="auto"/>
        <w:ind w:firstLine="640"/>
        <w:jc w:val="both"/>
      </w:pPr>
    </w:p>
    <w:p w14:paraId="657B6A42">
      <w:pPr>
        <w:spacing w:line="240" w:lineRule="auto"/>
        <w:ind w:firstLine="640"/>
        <w:jc w:val="both"/>
      </w:pPr>
    </w:p>
    <w:p w14:paraId="7F70E7F0">
      <w:pPr>
        <w:spacing w:line="240" w:lineRule="auto"/>
        <w:ind w:firstLine="640"/>
        <w:jc w:val="both"/>
      </w:pPr>
    </w:p>
    <w:p w14:paraId="46EFB666">
      <w:pPr>
        <w:spacing w:line="240" w:lineRule="auto"/>
        <w:ind w:firstLine="640"/>
        <w:jc w:val="both"/>
      </w:pPr>
    </w:p>
    <w:p w14:paraId="7D428AE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F18E2ED-BC41-4005-B7C3-0F446FFC7B5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40F59BE8-F1B4-4CB9-AE54-132223647CEE}"/>
  </w:font>
  <w:font w:name="仿宋_GB2312">
    <w:panose1 w:val="02010609030101010101"/>
    <w:charset w:val="86"/>
    <w:family w:val="modern"/>
    <w:pitch w:val="default"/>
    <w:sig w:usb0="00000001" w:usb1="080E0000" w:usb2="00000000" w:usb3="00000000" w:csb0="00040000" w:csb1="00000000"/>
    <w:embedRegular r:id="rId3" w:fontKey="{42A7C910-7F5D-4C3A-B379-198D33F6F39C}"/>
  </w:font>
  <w:font w:name="楷体_GB2312">
    <w:panose1 w:val="02010609030101010101"/>
    <w:charset w:val="86"/>
    <w:family w:val="auto"/>
    <w:pitch w:val="default"/>
    <w:sig w:usb0="00000001" w:usb1="080E0000" w:usb2="00000000" w:usb3="00000000" w:csb0="00040000" w:csb1="00000000"/>
    <w:embedRegular r:id="rId4" w:fontKey="{A27BC70B-0A3B-4BD8-BB9E-821A80D5E73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2A76C79"/>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A4536A8"/>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4317</Words>
  <Characters>4961</Characters>
  <Lines>0</Lines>
  <Paragraphs>0</Paragraphs>
  <TotalTime>8</TotalTime>
  <ScaleCrop>false</ScaleCrop>
  <LinksUpToDate>false</LinksUpToDate>
  <CharactersWithSpaces>4969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2025-09-02T04:57:05Z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