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克孜勒苏柯尔克孜自治州数字化发展局2024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C06BA8">
      <w:r>
        <w:br w:type="page"/>
      </w:r>
    </w:p>
    <w:p w14:paraId="4777147C">
      <w:pPr>
        <w:spacing w:line="640" w:lineRule="exact"/>
        <w:jc w:val="center"/>
        <w:outlineLvl w:val="1"/>
      </w:pPr>
      <w:r>
        <w:rPr>
          <w:rFonts w:ascii="黑体" w:hAnsi="黑体" w:eastAsia="黑体"/>
          <w:sz w:val="32"/>
        </w:rPr>
        <w:t>第一部分 单位概况</w:t>
      </w:r>
    </w:p>
    <w:p w14:paraId="0C5D0EFC">
      <w:pPr>
        <w:spacing w:line="640" w:lineRule="exact"/>
        <w:ind w:firstLine="640"/>
        <w:jc w:val="both"/>
        <w:outlineLvl w:val="2"/>
      </w:pPr>
      <w:r>
        <w:rPr>
          <w:rFonts w:ascii="黑体" w:hAnsi="黑体" w:eastAsia="黑体"/>
          <w:sz w:val="32"/>
        </w:rPr>
        <w:t>一、主要职能</w:t>
      </w:r>
    </w:p>
    <w:p w14:paraId="5DB40D87">
      <w:pPr>
        <w:spacing w:line="580" w:lineRule="exact"/>
        <w:ind w:firstLine="640"/>
        <w:jc w:val="both"/>
      </w:pPr>
      <w:r>
        <w:rPr>
          <w:rFonts w:ascii="仿宋_GB2312" w:hAnsi="仿宋_GB2312" w:eastAsia="仿宋_GB2312"/>
          <w:sz w:val="32"/>
        </w:rPr>
        <w:t>(一)拟订数据要素、政务服务管理相关地方性法规、规章草案、指标标准规范、政策措施并组织实施。</w:t>
      </w:r>
    </w:p>
    <w:p w14:paraId="00C1CCD8">
      <w:pPr>
        <w:spacing w:line="580" w:lineRule="exact"/>
        <w:ind w:firstLine="640"/>
        <w:jc w:val="both"/>
      </w:pPr>
      <w:r>
        <w:rPr>
          <w:rFonts w:ascii="仿宋_GB2312" w:hAnsi="仿宋_GB2312" w:eastAsia="仿宋_GB2312"/>
          <w:sz w:val="32"/>
        </w:rPr>
        <w:t>(二)贯彻落实数字克州、数字经济、数字社会、数字政府规划和建设。组织落实国家、自治区大数据战略。</w:t>
      </w:r>
    </w:p>
    <w:p w14:paraId="2DB2DB71">
      <w:pPr>
        <w:spacing w:line="580" w:lineRule="exact"/>
        <w:ind w:firstLine="640"/>
        <w:jc w:val="both"/>
      </w:pPr>
      <w:r>
        <w:rPr>
          <w:rFonts w:ascii="仿宋_GB2312" w:hAnsi="仿宋_GB2312" w:eastAsia="仿宋_GB2312"/>
          <w:sz w:val="32"/>
        </w:rPr>
        <w:t>(三)组织落实数据要素产权、流通、分配、治理等数据基础制度，指导数据要素市场建设。研究提出培育数据要素市场的政策建议，引导数据交易场所建设发展。</w:t>
      </w:r>
    </w:p>
    <w:p w14:paraId="678CE608">
      <w:pPr>
        <w:spacing w:line="580" w:lineRule="exact"/>
        <w:ind w:firstLine="640"/>
        <w:jc w:val="both"/>
      </w:pPr>
      <w:r>
        <w:rPr>
          <w:rFonts w:ascii="仿宋_GB2312" w:hAnsi="仿宋_GB2312" w:eastAsia="仿宋_GB2312"/>
          <w:sz w:val="32"/>
        </w:rPr>
        <w:t>(四)统筹数据资源整合共享和开发利用。协调推进数据资源分类分级管理，组织推动公共数据资源开发利用，推动信息资源行业跨部门互联互通。</w:t>
      </w:r>
    </w:p>
    <w:p w14:paraId="7568120E">
      <w:pPr>
        <w:spacing w:line="580" w:lineRule="exact"/>
        <w:ind w:firstLine="640"/>
        <w:jc w:val="both"/>
      </w:pPr>
      <w:r>
        <w:rPr>
          <w:rFonts w:ascii="仿宋_GB2312" w:hAnsi="仿宋_GB2312" w:eastAsia="仿宋_GB2312"/>
          <w:sz w:val="32"/>
        </w:rPr>
        <w:t>(五)负责组织、协调、指导推进自治州数字政府的改革、建设、管理。负责推动全州政务服务体系建设工作，落实政务服务“一网通办”、政府运行“一网协同”、经济社会治理“一网统管”建设。负责自治州政务服务综合管理、业务指导。筹推进自治州行政审批制度改革。</w:t>
      </w:r>
    </w:p>
    <w:p w14:paraId="2CAE8497">
      <w:pPr>
        <w:spacing w:line="580" w:lineRule="exact"/>
        <w:ind w:firstLine="640"/>
        <w:jc w:val="both"/>
      </w:pPr>
      <w:r>
        <w:rPr>
          <w:rFonts w:ascii="仿宋_GB2312" w:hAnsi="仿宋_GB2312" w:eastAsia="仿宋_GB2312"/>
          <w:sz w:val="32"/>
        </w:rPr>
        <w:t>(六)协调推进数字经济发展，促进数字产业化和产业数字化，推动跨领域跨行业数字化转型，促进数字经济和实体经济深度融合。协调推动数字社会发展。协调推动公共服务和社会治理信息化，协调促进智慧城市建设。</w:t>
      </w:r>
    </w:p>
    <w:p w14:paraId="0BE4FB98">
      <w:pPr>
        <w:spacing w:line="580" w:lineRule="exact"/>
        <w:ind w:firstLine="640"/>
        <w:jc w:val="both"/>
      </w:pPr>
      <w:r>
        <w:rPr>
          <w:rFonts w:ascii="仿宋_GB2312" w:hAnsi="仿宋_GB2312" w:eastAsia="仿宋_GB2312"/>
          <w:sz w:val="32"/>
        </w:rPr>
        <w:t>(七)组织拟订自治州有关数字基础设施布局规划，协调推进数字基础设施布局建设。</w:t>
      </w:r>
    </w:p>
    <w:p w14:paraId="2A5BF53E">
      <w:pPr>
        <w:spacing w:line="580" w:lineRule="exact"/>
        <w:ind w:firstLine="640"/>
        <w:jc w:val="both"/>
      </w:pPr>
      <w:r>
        <w:rPr>
          <w:rFonts w:ascii="仿宋_GB2312" w:hAnsi="仿宋_GB2312" w:eastAsia="仿宋_GB2312"/>
          <w:sz w:val="32"/>
        </w:rPr>
        <w:t>(八)在具体承担数据基础制度建设、数据要素市场建设、数据标准规范、数据基础设施建设等职责中，履行相应数据安全职责，负责拟订相关数据安全政策并组织实施。</w:t>
      </w:r>
    </w:p>
    <w:p w14:paraId="47FC06FB">
      <w:pPr>
        <w:spacing w:line="580" w:lineRule="exact"/>
        <w:ind w:firstLine="640"/>
        <w:jc w:val="both"/>
      </w:pPr>
      <w:r>
        <w:rPr>
          <w:rFonts w:ascii="仿宋_GB2312" w:hAnsi="仿宋_GB2312" w:eastAsia="仿宋_GB2312"/>
          <w:sz w:val="32"/>
        </w:rPr>
        <w:t>(九)协同自治州党委网络安全和信息化委员会办公室开展网络数据跨境流动安全评估和监管工作。</w:t>
      </w:r>
    </w:p>
    <w:p w14:paraId="0E61487A">
      <w:pPr>
        <w:spacing w:line="580" w:lineRule="exact"/>
        <w:ind w:firstLine="640"/>
        <w:jc w:val="both"/>
      </w:pPr>
      <w:r>
        <w:rPr>
          <w:rFonts w:ascii="仿宋_GB2312" w:hAnsi="仿宋_GB2312" w:eastAsia="仿宋_GB2312"/>
          <w:sz w:val="32"/>
        </w:rPr>
        <w:t>(十)负责管理数字政府平台建设运维资金。负责数据资产管理等工作。</w:t>
      </w:r>
    </w:p>
    <w:p w14:paraId="2C8382C2">
      <w:pPr>
        <w:spacing w:line="580" w:lineRule="exact"/>
        <w:ind w:firstLine="640"/>
        <w:jc w:val="both"/>
      </w:pPr>
      <w:r>
        <w:rPr>
          <w:rFonts w:ascii="仿宋_GB2312" w:hAnsi="仿宋_GB2312" w:eastAsia="仿宋_GB2312"/>
          <w:sz w:val="32"/>
        </w:rPr>
        <w:t>(十一)完成自治州党委、自治州人民政府交办的其他任务。</w:t>
      </w:r>
    </w:p>
    <w:p w14:paraId="37CEBF28">
      <w:pPr>
        <w:spacing w:line="640" w:lineRule="exact"/>
        <w:ind w:firstLine="640"/>
        <w:jc w:val="both"/>
        <w:outlineLvl w:val="2"/>
      </w:pPr>
      <w:r>
        <w:rPr>
          <w:rFonts w:ascii="黑体" w:hAnsi="黑体" w:eastAsia="黑体"/>
          <w:sz w:val="32"/>
        </w:rPr>
        <w:t>二、机构设置及人员情况</w:t>
      </w:r>
    </w:p>
    <w:p w14:paraId="1CB0259B">
      <w:pPr>
        <w:spacing w:line="580" w:lineRule="exact"/>
        <w:ind w:firstLine="640"/>
        <w:jc w:val="both"/>
      </w:pPr>
      <w:r>
        <w:rPr>
          <w:rFonts w:ascii="仿宋_GB2312" w:hAnsi="仿宋_GB2312" w:eastAsia="仿宋_GB2312"/>
          <w:sz w:val="32"/>
        </w:rPr>
        <w:t>克孜勒苏柯尔克孜自治州数字化发展局2024年度，实有人数13人，其中：在职人员13人，增加13人；离休人员0人，增加0人；退休人员0人,增加0人。</w:t>
      </w:r>
    </w:p>
    <w:p w14:paraId="1697D899">
      <w:pPr>
        <w:spacing w:line="580" w:lineRule="exact"/>
        <w:ind w:firstLine="640"/>
        <w:jc w:val="both"/>
      </w:pPr>
      <w:r>
        <w:rPr>
          <w:rFonts w:ascii="仿宋_GB2312" w:hAnsi="仿宋_GB2312" w:eastAsia="仿宋_GB2312"/>
          <w:sz w:val="32"/>
        </w:rPr>
        <w:t>克孜勒苏柯尔克孜自治州数字化发展局无下属预算单位，下设13个科室，分别是：办公室、规划建设和安全监管科、数据要素和数字经济科、数字政府建设科、数据资源科、网络建设科、应用推广科、信息技术服务科、数字经济科、数据安全科、政务服务科、大厅管理科(效能科)、热线服务科。</w:t>
      </w:r>
    </w:p>
    <w:p w14:paraId="3882A1C6">
      <w:r>
        <w:br w:type="page"/>
      </w:r>
    </w:p>
    <w:p w14:paraId="0CF502DE">
      <w:pPr>
        <w:spacing w:line="240" w:lineRule="auto"/>
        <w:jc w:val="center"/>
        <w:outlineLvl w:val="1"/>
      </w:pPr>
      <w:r>
        <w:rPr>
          <w:rFonts w:ascii="黑体" w:hAnsi="黑体" w:eastAsia="黑体"/>
          <w:sz w:val="32"/>
        </w:rPr>
        <w:t>第二部分 部门决算情况说明</w:t>
      </w:r>
    </w:p>
    <w:p w14:paraId="61336279">
      <w:pPr>
        <w:spacing w:line="640" w:lineRule="exact"/>
        <w:ind w:firstLine="640"/>
        <w:jc w:val="both"/>
        <w:outlineLvl w:val="2"/>
      </w:pPr>
      <w:r>
        <w:rPr>
          <w:rFonts w:ascii="黑体" w:hAnsi="黑体" w:eastAsia="黑体"/>
          <w:sz w:val="32"/>
        </w:rPr>
        <w:t>一、收入支出决算总体情况说明</w:t>
      </w:r>
    </w:p>
    <w:p w14:paraId="7168E79A">
      <w:pPr>
        <w:spacing w:line="580" w:lineRule="exact"/>
        <w:ind w:firstLine="640"/>
        <w:jc w:val="both"/>
      </w:pPr>
      <w:r>
        <w:rPr>
          <w:rFonts w:ascii="仿宋_GB2312" w:hAnsi="仿宋_GB2312" w:eastAsia="仿宋_GB2312"/>
          <w:b/>
          <w:sz w:val="32"/>
        </w:rPr>
        <w:t>2024年度收入总计63.81万元，</w:t>
      </w:r>
      <w:r>
        <w:rPr>
          <w:rFonts w:ascii="仿宋_GB2312" w:hAnsi="仿宋_GB2312" w:eastAsia="仿宋_GB2312"/>
          <w:b w:val="0"/>
          <w:sz w:val="32"/>
        </w:rPr>
        <w:t>其中：本年收入合计63.81万元，使用非财政拨款结余（含专用结余）0.00万元，年初结转和结余0.00万元。</w:t>
      </w:r>
    </w:p>
    <w:p w14:paraId="52AE66A8">
      <w:pPr>
        <w:spacing w:line="580" w:lineRule="exact"/>
        <w:ind w:firstLine="640"/>
        <w:jc w:val="both"/>
      </w:pPr>
      <w:r>
        <w:rPr>
          <w:rFonts w:ascii="仿宋_GB2312" w:hAnsi="仿宋_GB2312" w:eastAsia="仿宋_GB2312"/>
          <w:b/>
          <w:sz w:val="32"/>
        </w:rPr>
        <w:t>2024年度支出总计63.81万元，</w:t>
      </w:r>
      <w:r>
        <w:rPr>
          <w:rFonts w:ascii="仿宋_GB2312" w:hAnsi="仿宋_GB2312" w:eastAsia="仿宋_GB2312"/>
          <w:b w:val="0"/>
          <w:sz w:val="32"/>
        </w:rPr>
        <w:t>其中：本年支出合计63.81万元，结余分配0.00万元，年末结转和结余0.00万元。</w:t>
      </w:r>
    </w:p>
    <w:p w14:paraId="66F35D4E">
      <w:pPr>
        <w:spacing w:line="580" w:lineRule="exact"/>
        <w:ind w:firstLine="640"/>
        <w:jc w:val="both"/>
      </w:pPr>
      <w:r>
        <w:rPr>
          <w:rFonts w:ascii="仿宋_GB2312" w:hAnsi="仿宋_GB2312" w:eastAsia="仿宋_GB2312"/>
          <w:b w:val="0"/>
          <w:sz w:val="32"/>
        </w:rPr>
        <w:t>收入支出总体与上年相比，增加63.81万元，增长100.00%，主要原因是：本年为新增单位，无上年对比数据。</w:t>
      </w:r>
    </w:p>
    <w:p w14:paraId="03F83D3E">
      <w:pPr>
        <w:spacing w:line="640" w:lineRule="exact"/>
        <w:ind w:firstLine="640"/>
        <w:jc w:val="both"/>
        <w:outlineLvl w:val="2"/>
      </w:pPr>
      <w:r>
        <w:rPr>
          <w:rFonts w:ascii="黑体" w:hAnsi="黑体" w:eastAsia="黑体"/>
          <w:sz w:val="32"/>
        </w:rPr>
        <w:t>二、收入决算情况说明</w:t>
      </w:r>
    </w:p>
    <w:p w14:paraId="512F1A69">
      <w:pPr>
        <w:spacing w:line="580" w:lineRule="exact"/>
        <w:ind w:firstLine="640"/>
        <w:jc w:val="both"/>
      </w:pPr>
      <w:r>
        <w:rPr>
          <w:rFonts w:ascii="仿宋_GB2312" w:hAnsi="仿宋_GB2312" w:eastAsia="仿宋_GB2312"/>
          <w:b/>
          <w:sz w:val="32"/>
        </w:rPr>
        <w:t>本年收入63.81万元，</w:t>
      </w:r>
      <w:r>
        <w:rPr>
          <w:rFonts w:ascii="仿宋_GB2312" w:hAnsi="仿宋_GB2312" w:eastAsia="仿宋_GB2312"/>
          <w:b w:val="0"/>
          <w:sz w:val="32"/>
        </w:rPr>
        <w:t>其中：财政拨款收入63.81万元，占100.00%；上级补助收入0.00万元，占0.00%；事业收入0.00万元，占0.00%；经营收入0.00万元，占0.00%；附属单位上缴收入0.00万元，占0.00%；其他收入0.00万元，占0.00%。</w:t>
      </w:r>
    </w:p>
    <w:p w14:paraId="7D005970">
      <w:pPr>
        <w:spacing w:line="640" w:lineRule="exact"/>
        <w:ind w:firstLine="640"/>
        <w:jc w:val="both"/>
        <w:outlineLvl w:val="2"/>
      </w:pPr>
      <w:r>
        <w:rPr>
          <w:rFonts w:ascii="黑体" w:hAnsi="黑体" w:eastAsia="黑体"/>
          <w:sz w:val="32"/>
        </w:rPr>
        <w:t>三、支出决算情况说明</w:t>
      </w:r>
    </w:p>
    <w:p w14:paraId="2B5FB1D1">
      <w:pPr>
        <w:spacing w:line="580" w:lineRule="exact"/>
        <w:ind w:firstLine="640"/>
        <w:jc w:val="both"/>
      </w:pPr>
      <w:r>
        <w:rPr>
          <w:rFonts w:ascii="仿宋_GB2312" w:hAnsi="仿宋_GB2312" w:eastAsia="仿宋_GB2312"/>
          <w:b/>
          <w:sz w:val="32"/>
        </w:rPr>
        <w:t>本年支出63.81万元，</w:t>
      </w:r>
      <w:r>
        <w:rPr>
          <w:rFonts w:ascii="仿宋_GB2312" w:hAnsi="仿宋_GB2312" w:eastAsia="仿宋_GB2312"/>
          <w:b w:val="0"/>
          <w:sz w:val="32"/>
        </w:rPr>
        <w:t>其中：基本支出3.57万元，占5.59%；项目支出60.24万元，占94.41%；上缴上级支出0.00万元，占0.00%；经营支出0.00万元，占0.00%；对附属单位补助支出0.00万元，占0.00%。</w:t>
      </w:r>
    </w:p>
    <w:p w14:paraId="20532F14">
      <w:pPr>
        <w:spacing w:line="640" w:lineRule="exact"/>
        <w:ind w:firstLine="640"/>
        <w:jc w:val="both"/>
        <w:outlineLvl w:val="2"/>
      </w:pPr>
      <w:r>
        <w:rPr>
          <w:rFonts w:ascii="黑体" w:hAnsi="黑体" w:eastAsia="黑体"/>
          <w:sz w:val="32"/>
        </w:rPr>
        <w:t>四、财政拨款收入支出决算总体情况说明</w:t>
      </w:r>
    </w:p>
    <w:p w14:paraId="5589380B">
      <w:pPr>
        <w:spacing w:line="580" w:lineRule="exact"/>
        <w:ind w:firstLine="640"/>
        <w:jc w:val="both"/>
      </w:pPr>
      <w:r>
        <w:rPr>
          <w:rFonts w:ascii="仿宋_GB2312" w:hAnsi="仿宋_GB2312" w:eastAsia="仿宋_GB2312"/>
          <w:b/>
          <w:sz w:val="32"/>
        </w:rPr>
        <w:t>2024年度财政拨款收入总计63.81万元，</w:t>
      </w:r>
      <w:r>
        <w:rPr>
          <w:rFonts w:ascii="仿宋_GB2312" w:hAnsi="仿宋_GB2312" w:eastAsia="仿宋_GB2312"/>
          <w:b w:val="0"/>
          <w:sz w:val="32"/>
        </w:rPr>
        <w:t>其中：年初财政拨款结转和结余0.00万元，本年财政拨款收入63.81万元。</w:t>
      </w:r>
      <w:r>
        <w:rPr>
          <w:rFonts w:ascii="仿宋_GB2312" w:hAnsi="仿宋_GB2312" w:eastAsia="仿宋_GB2312"/>
          <w:b/>
          <w:sz w:val="32"/>
        </w:rPr>
        <w:t>财政拨款支出总计63.81万元，</w:t>
      </w:r>
      <w:r>
        <w:rPr>
          <w:rFonts w:ascii="仿宋_GB2312" w:hAnsi="仿宋_GB2312" w:eastAsia="仿宋_GB2312"/>
          <w:b w:val="0"/>
          <w:sz w:val="32"/>
        </w:rPr>
        <w:t>其中：年末财政拨款结转和结余0.00万元，本年财政拨款支出63.81万元。</w:t>
      </w:r>
    </w:p>
    <w:p w14:paraId="6FF8169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增加63.81万元，增长100.00%，主要原因是：本年为新增单位，无上年对比数据。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年初预算数0.00万元，决算数63.81万元，预决算差异率100.00%，主要原因是：年中追加基本支出及电子政务外网项目经费。</w:t>
      </w:r>
    </w:p>
    <w:p w14:paraId="59029455">
      <w:pPr>
        <w:spacing w:line="640" w:lineRule="exact"/>
        <w:ind w:firstLine="640"/>
        <w:jc w:val="both"/>
        <w:outlineLvl w:val="2"/>
      </w:pPr>
      <w:r>
        <w:rPr>
          <w:rFonts w:ascii="黑体" w:hAnsi="黑体" w:eastAsia="黑体"/>
          <w:sz w:val="32"/>
        </w:rPr>
        <w:t>五、一般公共预算财政拨款支出决算情况说明</w:t>
      </w:r>
    </w:p>
    <w:p w14:paraId="7F3F2305">
      <w:pPr>
        <w:spacing w:line="640" w:lineRule="exact"/>
        <w:ind w:firstLine="640"/>
        <w:jc w:val="both"/>
        <w:outlineLvl w:val="3"/>
      </w:pPr>
      <w:r>
        <w:rPr>
          <w:rFonts w:ascii="楷体_GB2312" w:hAnsi="楷体_GB2312" w:eastAsia="楷体_GB2312"/>
          <w:b/>
          <w:sz w:val="32"/>
        </w:rPr>
        <w:t>（一）一般公共预算财政拨款支出决算总体情况</w:t>
      </w:r>
    </w:p>
    <w:p w14:paraId="6C0E1D52">
      <w:pPr>
        <w:spacing w:line="580" w:lineRule="exact"/>
        <w:ind w:firstLine="640"/>
        <w:jc w:val="both"/>
      </w:pPr>
      <w:r>
        <w:rPr>
          <w:rFonts w:ascii="仿宋_GB2312" w:hAnsi="仿宋_GB2312" w:eastAsia="仿宋_GB2312"/>
          <w:b/>
          <w:sz w:val="32"/>
        </w:rPr>
        <w:t>2024年度一般公共预算财政拨款支出63.81万元，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增加63.81万元，增长100.00%，主要原因是：本年为新增单位，无上年对比数据。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年初预算数0.00万元，决算数63.81万元，预决算差异率100.00%，主要原因是：年中追加基本支出及电子政务外网项目经费。</w:t>
      </w:r>
    </w:p>
    <w:p w14:paraId="6EABEAD6">
      <w:pPr>
        <w:spacing w:line="640" w:lineRule="exact"/>
        <w:ind w:firstLine="640"/>
        <w:jc w:val="both"/>
        <w:outlineLvl w:val="3"/>
      </w:pPr>
      <w:r>
        <w:rPr>
          <w:rFonts w:ascii="楷体_GB2312" w:hAnsi="楷体_GB2312" w:eastAsia="楷体_GB2312"/>
          <w:b/>
          <w:sz w:val="32"/>
        </w:rPr>
        <w:t>（二）一般公共预算财政拨款支出决算结构情况</w:t>
      </w:r>
    </w:p>
    <w:p w14:paraId="4BF5620D">
      <w:pPr>
        <w:spacing w:line="580" w:lineRule="exact"/>
        <w:ind w:firstLine="640"/>
        <w:jc w:val="both"/>
      </w:pPr>
      <w:r>
        <w:rPr>
          <w:rFonts w:ascii="仿宋_GB2312" w:hAnsi="仿宋_GB2312" w:eastAsia="仿宋_GB2312"/>
          <w:b w:val="0"/>
          <w:sz w:val="32"/>
        </w:rPr>
        <w:t>1.一般公共服务支出(类)63.81万元,占100.00%。</w:t>
      </w:r>
    </w:p>
    <w:p w14:paraId="4D57EB51">
      <w:pPr>
        <w:spacing w:line="640" w:lineRule="exact"/>
        <w:ind w:firstLine="640"/>
        <w:jc w:val="both"/>
        <w:outlineLvl w:val="3"/>
      </w:pPr>
      <w:r>
        <w:rPr>
          <w:rFonts w:ascii="楷体_GB2312" w:hAnsi="楷体_GB2312" w:eastAsia="楷体_GB2312"/>
          <w:b/>
          <w:sz w:val="32"/>
        </w:rPr>
        <w:t>（三）一般公共预算财政拨款支出决算具体情况</w:t>
      </w:r>
    </w:p>
    <w:p w14:paraId="25940E79">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1.一般公共服务支出(类)政府办公厅（室）及相关机构事务(款)事业运行(项):支出决算数为2.04万元，比上年决算增加2.04万元，增长100.00%,主要原因是：本年为新增单位，无上年对比数据。</w:t>
      </w:r>
    </w:p>
    <w:p w14:paraId="0C8F45F3">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60.24万元，比上年决算增加60.24万元，增长100.00%,主要原因是：本年为新增单位，无上年对比数据。</w:t>
      </w:r>
    </w:p>
    <w:p w14:paraId="424586C9">
      <w:pPr>
        <w:spacing w:line="580" w:lineRule="exact"/>
        <w:ind w:firstLine="640"/>
        <w:jc w:val="both"/>
      </w:pPr>
      <w:r>
        <w:rPr>
          <w:rFonts w:ascii="仿宋_GB2312" w:hAnsi="仿宋_GB2312" w:eastAsia="仿宋_GB2312"/>
          <w:b w:val="0"/>
          <w:sz w:val="32"/>
        </w:rPr>
        <w:t>3.一般公共服务支出(类)统计信息事务(款)信息事务(项):支出决算数为1.54万元，比上年决算增加1.54万元，增长100.00%,主要原因是：本年为新增单位，无上年对比数据。</w:t>
      </w:r>
    </w:p>
    <w:p w14:paraId="26C07700">
      <w:pPr>
        <w:spacing w:line="640" w:lineRule="exact"/>
        <w:ind w:firstLine="640"/>
        <w:jc w:val="both"/>
        <w:outlineLvl w:val="2"/>
      </w:pPr>
      <w:r>
        <w:rPr>
          <w:rFonts w:ascii="黑体" w:hAnsi="黑体" w:eastAsia="黑体"/>
          <w:sz w:val="32"/>
        </w:rPr>
        <w:t>六、一般公共预算财政拨款基本支出决算情况说明</w:t>
      </w:r>
    </w:p>
    <w:p w14:paraId="42FBE2FD">
      <w:pPr>
        <w:spacing w:line="580" w:lineRule="exact"/>
        <w:ind w:firstLine="640"/>
        <w:jc w:val="both"/>
      </w:pPr>
      <w:r>
        <w:rPr>
          <w:rFonts w:ascii="仿宋_GB2312" w:hAnsi="仿宋_GB2312" w:eastAsia="仿宋_GB2312"/>
          <w:b w:val="0"/>
          <w:sz w:val="32"/>
        </w:rPr>
        <w:t>2024年度一般公共预算财政拨款基本支出3.57万元，其中：</w:t>
      </w:r>
      <w:r>
        <w:rPr>
          <w:rFonts w:ascii="仿宋_GB2312" w:hAnsi="仿宋_GB2312" w:eastAsia="仿宋_GB2312"/>
          <w:b/>
          <w:sz w:val="32"/>
        </w:rPr>
        <w:t>人员经费3.57万元，</w:t>
      </w:r>
      <w:r>
        <w:rPr>
          <w:rFonts w:ascii="仿宋_GB2312" w:hAnsi="仿宋_GB2312" w:eastAsia="仿宋_GB2312"/>
          <w:b w:val="0"/>
          <w:sz w:val="32"/>
        </w:rPr>
        <w:t>包括：基本工资。</w:t>
      </w:r>
    </w:p>
    <w:p w14:paraId="7418F99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BDF28E8">
      <w:pPr>
        <w:spacing w:line="640" w:lineRule="exact"/>
        <w:ind w:firstLine="640"/>
        <w:jc w:val="both"/>
        <w:outlineLvl w:val="2"/>
      </w:pPr>
      <w:r>
        <w:rPr>
          <w:rFonts w:ascii="黑体" w:hAnsi="黑体" w:eastAsia="黑体"/>
          <w:sz w:val="32"/>
        </w:rPr>
        <w:t>七、政府性基金预算财政拨款收入支出决算情况说明</w:t>
      </w:r>
    </w:p>
    <w:p w14:paraId="2AFAF73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89C3A7">
      <w:pPr>
        <w:spacing w:line="640" w:lineRule="exact"/>
        <w:ind w:firstLine="640"/>
        <w:jc w:val="both"/>
        <w:outlineLvl w:val="2"/>
      </w:pPr>
      <w:r>
        <w:rPr>
          <w:rFonts w:ascii="黑体" w:hAnsi="黑体" w:eastAsia="黑体"/>
          <w:sz w:val="32"/>
        </w:rPr>
        <w:t>八、国有资本经营预算财政拨款收入支出决算情况说明</w:t>
      </w:r>
    </w:p>
    <w:p w14:paraId="1811ACE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A5721FA">
      <w:pPr>
        <w:spacing w:line="640" w:lineRule="exact"/>
        <w:ind w:firstLine="640"/>
        <w:jc w:val="both"/>
        <w:outlineLvl w:val="2"/>
      </w:pPr>
      <w:r>
        <w:rPr>
          <w:rFonts w:ascii="黑体" w:hAnsi="黑体" w:eastAsia="黑体"/>
          <w:sz w:val="32"/>
        </w:rPr>
        <w:t>九、财政拨款“三公”经费支出决算情况说明</w:t>
      </w:r>
    </w:p>
    <w:p w14:paraId="452BAA9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742D0EBE">
      <w:pPr>
        <w:spacing w:line="580" w:lineRule="exact"/>
        <w:ind w:firstLine="640"/>
        <w:jc w:val="both"/>
      </w:pPr>
      <w:r>
        <w:rPr>
          <w:rFonts w:ascii="仿宋_GB2312" w:hAnsi="仿宋_GB2312" w:eastAsia="仿宋_GB2312"/>
          <w:b/>
          <w:sz w:val="32"/>
        </w:rPr>
        <w:t>具体情况如下：</w:t>
      </w:r>
    </w:p>
    <w:p w14:paraId="518245E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06F177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D3B8D9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94884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0267C11">
      <w:pPr>
        <w:spacing w:line="640" w:lineRule="exact"/>
        <w:ind w:firstLine="640"/>
        <w:jc w:val="both"/>
        <w:outlineLvl w:val="2"/>
      </w:pPr>
      <w:r>
        <w:rPr>
          <w:rFonts w:ascii="黑体" w:hAnsi="黑体" w:eastAsia="黑体"/>
          <w:sz w:val="32"/>
        </w:rPr>
        <w:t>十、其他重要事项的情况说明</w:t>
      </w:r>
    </w:p>
    <w:p w14:paraId="7C930C4E">
      <w:pPr>
        <w:spacing w:line="640" w:lineRule="exact"/>
        <w:ind w:firstLine="640"/>
        <w:jc w:val="both"/>
        <w:outlineLvl w:val="3"/>
      </w:pPr>
      <w:r>
        <w:rPr>
          <w:rFonts w:ascii="楷体_GB2312" w:hAnsi="楷体_GB2312" w:eastAsia="楷体_GB2312"/>
          <w:b/>
          <w:sz w:val="32"/>
        </w:rPr>
        <w:t>（一）机关运行经费及公用经费支出情况</w:t>
      </w:r>
    </w:p>
    <w:p w14:paraId="42B876A6">
      <w:pPr>
        <w:spacing w:line="580" w:lineRule="exact"/>
        <w:ind w:firstLine="640"/>
        <w:jc w:val="both"/>
      </w:pPr>
      <w:r>
        <w:rPr>
          <w:rFonts w:ascii="仿宋_GB2312" w:hAnsi="仿宋_GB2312" w:eastAsia="仿宋_GB2312"/>
          <w:b w:val="0"/>
          <w:sz w:val="32"/>
        </w:rPr>
        <w:t>2024年度克孜勒苏柯尔克孜自治州数字化发展局（行政单位和参照公务员法管理事业单位）机关运行经费支出0.00万元，比上年增加0.00万元，增长0.00%，主要原因是：2024年未安排机关运行经费支出。</w:t>
      </w:r>
    </w:p>
    <w:p w14:paraId="2DAA8495">
      <w:pPr>
        <w:spacing w:line="640" w:lineRule="exact"/>
        <w:ind w:firstLine="640"/>
        <w:jc w:val="both"/>
        <w:outlineLvl w:val="3"/>
      </w:pPr>
      <w:r>
        <w:rPr>
          <w:rFonts w:ascii="楷体_GB2312" w:hAnsi="楷体_GB2312" w:eastAsia="楷体_GB2312"/>
          <w:b/>
          <w:sz w:val="32"/>
        </w:rPr>
        <w:t>（二）政府采购情况</w:t>
      </w:r>
    </w:p>
    <w:p w14:paraId="524107B8">
      <w:pPr>
        <w:spacing w:line="580" w:lineRule="exact"/>
        <w:ind w:firstLine="640"/>
        <w:jc w:val="both"/>
      </w:pPr>
      <w:r>
        <w:rPr>
          <w:rFonts w:ascii="仿宋_GB2312" w:hAnsi="仿宋_GB2312" w:eastAsia="仿宋_GB2312"/>
          <w:b w:val="0"/>
          <w:sz w:val="32"/>
        </w:rPr>
        <w:t>2024年度政府采购支出总额8.94万元，其中：政府采购货物支出8.78万元、政府采购工程支出0.00万元、政府采购服务支出0.17万元。</w:t>
      </w:r>
    </w:p>
    <w:p w14:paraId="0B5416B4">
      <w:pPr>
        <w:spacing w:line="580" w:lineRule="exact"/>
        <w:ind w:firstLine="640"/>
        <w:jc w:val="both"/>
      </w:pPr>
      <w:r>
        <w:rPr>
          <w:rFonts w:ascii="仿宋_GB2312" w:hAnsi="仿宋_GB2312" w:eastAsia="仿宋_GB2312"/>
          <w:b w:val="0"/>
          <w:sz w:val="32"/>
        </w:rPr>
        <w:t>授予中小企业合同金额8.94万元，占政府采购支出总额的100.00%，其中：授予小微企业合同金额8.94万元，占政府采购支出总额的100.00%。</w:t>
      </w:r>
    </w:p>
    <w:p w14:paraId="39B778DA">
      <w:pPr>
        <w:spacing w:line="640" w:lineRule="exact"/>
        <w:ind w:firstLine="640"/>
        <w:jc w:val="both"/>
        <w:outlineLvl w:val="3"/>
      </w:pPr>
      <w:r>
        <w:rPr>
          <w:rFonts w:ascii="楷体_GB2312" w:hAnsi="楷体_GB2312" w:eastAsia="楷体_GB2312"/>
          <w:b/>
          <w:sz w:val="32"/>
        </w:rPr>
        <w:t>（三）国有资产占用情况说明</w:t>
      </w:r>
    </w:p>
    <w:p w14:paraId="759AA15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186AE52">
      <w:pPr>
        <w:spacing w:line="640" w:lineRule="exact"/>
        <w:ind w:firstLine="640"/>
        <w:jc w:val="both"/>
        <w:outlineLvl w:val="2"/>
      </w:pPr>
      <w:r>
        <w:rPr>
          <w:rFonts w:ascii="黑体" w:hAnsi="黑体" w:eastAsia="黑体"/>
          <w:sz w:val="32"/>
        </w:rPr>
        <w:t>十一、预算绩效的情况说明</w:t>
      </w:r>
    </w:p>
    <w:p w14:paraId="3DBFF7C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63.81万元，实际执行总额63.81万元；预算绩效评价项目2个，全年预算数60.73万元，全年执行数60.24万元。预算绩效管理取得的成效：持续提升数字政府建设发展能力水平、提升电子政务外网保障能力水平、政务服务渠道建设得到持续拓展。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5BA37B0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8116DD3">
        <w:tblPrEx>
          <w:tblCellMar>
            <w:top w:w="0" w:type="dxa"/>
            <w:left w:w="108" w:type="dxa"/>
            <w:bottom w:w="0" w:type="dxa"/>
            <w:right w:w="108" w:type="dxa"/>
          </w:tblCellMar>
        </w:tblPrEx>
        <w:tc>
          <w:tcPr>
            <w:tcW w:w="8840" w:type="dxa"/>
            <w:gridSpan w:val="8"/>
            <w:vAlign w:val="center"/>
          </w:tcPr>
          <w:p w14:paraId="4384D208">
            <w:pPr>
              <w:jc w:val="center"/>
            </w:pPr>
            <w:r>
              <w:rPr>
                <w:rFonts w:ascii="宋体" w:hAnsi="宋体" w:eastAsia="宋体"/>
                <w:sz w:val="24"/>
              </w:rPr>
              <w:t>单位整体支出绩效自评表</w:t>
            </w:r>
          </w:p>
        </w:tc>
      </w:tr>
      <w:tr w14:paraId="771641E6">
        <w:tblPrEx>
          <w:tblCellMar>
            <w:top w:w="0" w:type="dxa"/>
            <w:left w:w="108" w:type="dxa"/>
            <w:bottom w:w="0" w:type="dxa"/>
            <w:right w:w="108" w:type="dxa"/>
          </w:tblCellMar>
        </w:tblPrEx>
        <w:tc>
          <w:tcPr>
            <w:tcW w:w="8840" w:type="dxa"/>
            <w:gridSpan w:val="8"/>
            <w:vAlign w:val="center"/>
          </w:tcPr>
          <w:p w14:paraId="5655C9B5">
            <w:pPr>
              <w:jc w:val="center"/>
            </w:pPr>
            <w:r>
              <w:rPr>
                <w:rFonts w:ascii="宋体" w:hAnsi="宋体" w:eastAsia="宋体"/>
                <w:sz w:val="24"/>
              </w:rPr>
              <w:t>（2024年度）</w:t>
            </w:r>
          </w:p>
        </w:tc>
      </w:tr>
      <w:tr w14:paraId="1BDCEF0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75A0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11810">
            <w:pPr>
              <w:jc w:val="center"/>
            </w:pPr>
            <w:r>
              <w:rPr>
                <w:rFonts w:ascii="宋体" w:hAnsi="宋体" w:eastAsia="宋体"/>
                <w:sz w:val="16"/>
              </w:rPr>
              <w:t>克孜勒苏柯尔克孜自治州数字化发展局</w:t>
            </w:r>
          </w:p>
        </w:tc>
      </w:tr>
      <w:tr w14:paraId="3DBD7AD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2010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C06D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A3A8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B7AC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42749">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9DB5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ADFF2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DA752">
            <w:pPr>
              <w:jc w:val="center"/>
            </w:pPr>
            <w:r>
              <w:rPr>
                <w:rFonts w:ascii="宋体" w:hAnsi="宋体" w:eastAsia="宋体"/>
                <w:sz w:val="16"/>
              </w:rPr>
              <w:t>得分</w:t>
            </w:r>
          </w:p>
        </w:tc>
      </w:tr>
      <w:tr w14:paraId="6D99BB9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D14D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7EAC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02D4F">
            <w:pPr>
              <w:jc w:val="center"/>
            </w:pPr>
            <w:r>
              <w:rPr>
                <w:rFonts w:ascii="宋体" w:hAnsi="宋体" w:eastAsia="宋体"/>
                <w:sz w:val="16"/>
              </w:rPr>
              <w:t>64.30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FE70B">
            <w:pPr>
              <w:jc w:val="center"/>
            </w:pPr>
            <w:r>
              <w:rPr>
                <w:rFonts w:ascii="宋体" w:hAnsi="宋体" w:eastAsia="宋体"/>
                <w:sz w:val="16"/>
              </w:rPr>
              <w:t>63.81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36EED">
            <w:pPr>
              <w:jc w:val="center"/>
            </w:pPr>
            <w:r>
              <w:rPr>
                <w:rFonts w:ascii="宋体" w:hAnsi="宋体" w:eastAsia="宋体"/>
                <w:sz w:val="16"/>
              </w:rPr>
              <w:t>63.81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8033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268BF2">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645E8E">
            <w:pPr>
              <w:jc w:val="center"/>
              <w:rPr>
                <w:rFonts w:hint="default" w:ascii="宋体" w:hAnsi="宋体" w:eastAsia="宋体"/>
                <w:sz w:val="16"/>
                <w:lang w:val="en-US" w:eastAsia="zh-CN"/>
              </w:rPr>
            </w:pPr>
            <w:r>
              <w:rPr>
                <w:rFonts w:hint="eastAsia" w:ascii="宋体" w:hAnsi="宋体" w:eastAsia="宋体"/>
                <w:sz w:val="16"/>
                <w:lang w:val="en-US" w:eastAsia="zh-CN"/>
              </w:rPr>
              <w:t>10.00</w:t>
            </w:r>
          </w:p>
        </w:tc>
      </w:tr>
      <w:tr w14:paraId="4361A56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92320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20055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1B61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71FD8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A6E0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FAAD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BDA4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D4822">
            <w:pPr>
              <w:jc w:val="center"/>
            </w:pPr>
            <w:r>
              <w:rPr>
                <w:rFonts w:ascii="宋体" w:hAnsi="宋体" w:eastAsia="宋体"/>
                <w:sz w:val="16"/>
              </w:rPr>
              <w:t>—</w:t>
            </w:r>
          </w:p>
        </w:tc>
      </w:tr>
      <w:tr w14:paraId="61FFA1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E72C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3EAE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6FA7A">
            <w:pPr>
              <w:jc w:val="center"/>
            </w:pPr>
            <w:r>
              <w:rPr>
                <w:rFonts w:ascii="宋体" w:hAnsi="宋体" w:eastAsia="宋体"/>
                <w:sz w:val="16"/>
              </w:rPr>
              <w:t>64.30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8BABA">
            <w:pPr>
              <w:jc w:val="center"/>
            </w:pPr>
            <w:r>
              <w:rPr>
                <w:rFonts w:ascii="宋体" w:hAnsi="宋体" w:eastAsia="宋体"/>
                <w:sz w:val="16"/>
              </w:rPr>
              <w:t>63.81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ADCE1E">
            <w:pPr>
              <w:jc w:val="center"/>
            </w:pPr>
            <w:r>
              <w:rPr>
                <w:rFonts w:ascii="宋体" w:hAnsi="宋体" w:eastAsia="宋体"/>
                <w:sz w:val="16"/>
              </w:rPr>
              <w:t>63.81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3D1E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72E7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48689">
            <w:pPr>
              <w:jc w:val="center"/>
            </w:pPr>
            <w:r>
              <w:rPr>
                <w:rFonts w:ascii="宋体" w:hAnsi="宋体" w:eastAsia="宋体"/>
                <w:sz w:val="16"/>
              </w:rPr>
              <w:t>—</w:t>
            </w:r>
          </w:p>
        </w:tc>
      </w:tr>
      <w:tr w14:paraId="574A8D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96AF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E34B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1CB1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952C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90C8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9142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E39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F10121">
            <w:pPr>
              <w:jc w:val="center"/>
            </w:pPr>
            <w:r>
              <w:rPr>
                <w:rFonts w:ascii="宋体" w:hAnsi="宋体" w:eastAsia="宋体"/>
                <w:sz w:val="16"/>
              </w:rPr>
              <w:t>—</w:t>
            </w:r>
          </w:p>
        </w:tc>
      </w:tr>
      <w:tr w14:paraId="6274186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0B87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D22A8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862DE1">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46A6F2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B1816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513483">
            <w:pPr>
              <w:jc w:val="both"/>
            </w:pPr>
            <w:r>
              <w:rPr>
                <w:rFonts w:ascii="宋体" w:hAnsi="宋体" w:eastAsia="宋体"/>
                <w:sz w:val="16"/>
              </w:rPr>
              <w:t>以提升政务服务能力、优化营商环境为主线，加快推进数字化发展机构改革，提升云网数基础设施保障能力，优化营商环境，推动数字政府建设，促进数字经济、数字社会发展。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2BF64C">
            <w:pPr>
              <w:jc w:val="both"/>
            </w:pPr>
            <w:r>
              <w:rPr>
                <w:rFonts w:ascii="宋体" w:hAnsi="宋体" w:eastAsia="宋体"/>
                <w:sz w:val="16"/>
              </w:rPr>
              <w:t>　　组织干部参加业务培训32人次、接入电子政务外网630家、组织企（事）业单位参加“数据要素×”大赛1次、提供延时预约服务13423次、热线平台工单办结率99.19%。通过以上工作的实施，保障了我单位13名职工的工资、福利正常发放，确保民生工作落实到位；保障单位各项工作的正常运转，确保机构运转正常；一是持续提升数字政府建设发展能力水平。组织干部参加国家、自治区举办的业务培训15场次，先后选派32人次到江西、乌鲁木齐、克拉玛依、喀什、昌吉等地参加培训交流、研修研讨、现场观摩、考察学习等活动，开展自治州政务服务和政务数据培训5场次，有效提升了干部职工的业务水平和工作能力；积极参加2024年“数据要素×”大赛新疆分赛，组织20家企（事）业单位的22个项目参加工业制造、现代农业、商贸流通、科技创新、文化旅游、医疗健康、城市治理7个赛道的比赛，同时，通过专题辅导提高“数据要素×”参赛项目质量，拍摄赛事图片视频营造大赛氛围，经过初赛、决赛等层层角逐，荣获一等奖1个、二等奖2个、最具应用价值奖1个；二是提升电子政务外网保障能力水平。克州电子政务外网纵向自治区到克州为主备双链路，电子政务外网互联网带宽实现移动10G+电信1G双互联网出口，县（市）移动1G+电信1G双互联网出口，州级核心节点到州直部门、县（市）部门、乡（镇）均达到千兆带宽，到村达百兆带宽，网络传输能力大幅提升，全州接入单位630余家。形成上联国家、自治区，下联县（市）、乡(镇）、村的六级网络覆盖架构，纵向贯通、横向覆盖的网络体系基本形成，服务体系不断完善，承载能力明显提升；三是政务服务渠道建设得到持续拓展。持续完善基础设施。新建24小时自助服务专区，设立“跨区域通办”“帮办代办”“办不成事”窗口，调整优化窗口6个，推行“5+X”预约、延时服务模式，整合社保、公安、银行、电力等部门8种类型自助办事终端，让群众享受到24小时“不打烊”的政务服务，提供延时服务预约13423件次、帮办代办590件次，极大地方便了群众，提升群众办事便捷度。</w:t>
            </w:r>
          </w:p>
        </w:tc>
      </w:tr>
      <w:tr w14:paraId="1F49D26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4B10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4546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95C3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A049D">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8AA4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99741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6978C">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97D81">
            <w:pPr>
              <w:jc w:val="center"/>
            </w:pPr>
            <w:r>
              <w:rPr>
                <w:rFonts w:ascii="宋体" w:hAnsi="宋体" w:eastAsia="宋体"/>
                <w:sz w:val="16"/>
              </w:rPr>
              <w:t>得分</w:t>
            </w:r>
          </w:p>
        </w:tc>
      </w:tr>
      <w:tr w14:paraId="2394B9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2BA9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929B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E4EFB">
            <w:pPr>
              <w:jc w:val="center"/>
            </w:pPr>
            <w:r>
              <w:rPr>
                <w:rFonts w:ascii="宋体" w:hAnsi="宋体" w:eastAsia="宋体"/>
                <w:sz w:val="16"/>
              </w:rPr>
              <w:t>组织干部参加各类业务培训（人次）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6EF25">
            <w:pPr>
              <w:jc w:val="center"/>
            </w:pPr>
            <w:r>
              <w:rPr>
                <w:rFonts w:ascii="宋体" w:hAnsi="宋体" w:eastAsia="宋体"/>
                <w:sz w:val="16"/>
              </w:rPr>
              <w:t>&gt;=32人次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5668D">
            <w:pPr>
              <w:jc w:val="center"/>
            </w:pPr>
            <w:r>
              <w:rPr>
                <w:rFonts w:ascii="宋体" w:hAnsi="宋体" w:eastAsia="宋体"/>
                <w:sz w:val="16"/>
              </w:rPr>
              <w:t>2024年度工作总结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8A10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F87A0">
            <w:pPr>
              <w:jc w:val="center"/>
            </w:pPr>
            <w:r>
              <w:rPr>
                <w:rFonts w:ascii="宋体" w:hAnsi="宋体" w:eastAsia="宋体"/>
                <w:sz w:val="16"/>
              </w:rPr>
              <w:t>32人次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3B038">
            <w:pPr>
              <w:jc w:val="center"/>
            </w:pPr>
            <w:r>
              <w:rPr>
                <w:rFonts w:ascii="宋体" w:hAnsi="宋体" w:eastAsia="宋体"/>
                <w:sz w:val="16"/>
              </w:rPr>
              <w:t>20</w:t>
            </w:r>
          </w:p>
        </w:tc>
      </w:tr>
      <w:tr w14:paraId="0E0CD29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0F954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DDCF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608EC">
            <w:pPr>
              <w:jc w:val="center"/>
            </w:pPr>
            <w:r>
              <w:rPr>
                <w:rFonts w:ascii="宋体" w:hAnsi="宋体" w:eastAsia="宋体"/>
                <w:sz w:val="16"/>
              </w:rPr>
              <w:t>接入电子政务外网（家）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57A72">
            <w:pPr>
              <w:jc w:val="center"/>
            </w:pPr>
            <w:r>
              <w:rPr>
                <w:rFonts w:ascii="宋体" w:hAnsi="宋体" w:eastAsia="宋体"/>
                <w:sz w:val="16"/>
              </w:rPr>
              <w:t>&gt;=630家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6A68D">
            <w:pPr>
              <w:jc w:val="center"/>
            </w:pPr>
            <w:r>
              <w:rPr>
                <w:rFonts w:ascii="宋体" w:hAnsi="宋体" w:eastAsia="宋体"/>
                <w:sz w:val="16"/>
              </w:rPr>
              <w:t>2024年度工作总结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5405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8B1A6">
            <w:pPr>
              <w:jc w:val="center"/>
            </w:pPr>
            <w:r>
              <w:rPr>
                <w:rFonts w:ascii="宋体" w:hAnsi="宋体" w:eastAsia="宋体"/>
                <w:sz w:val="16"/>
              </w:rPr>
              <w:t>630家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A34AB">
            <w:pPr>
              <w:jc w:val="center"/>
            </w:pPr>
            <w:r>
              <w:rPr>
                <w:rFonts w:ascii="宋体" w:hAnsi="宋体" w:eastAsia="宋体"/>
                <w:sz w:val="16"/>
              </w:rPr>
              <w:t>20</w:t>
            </w:r>
          </w:p>
        </w:tc>
      </w:tr>
      <w:tr w14:paraId="09E7A3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FD87E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9A71C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B31A0">
            <w:pPr>
              <w:jc w:val="center"/>
            </w:pPr>
            <w:r>
              <w:rPr>
                <w:rFonts w:ascii="宋体" w:hAnsi="宋体" w:eastAsia="宋体"/>
                <w:sz w:val="16"/>
              </w:rPr>
              <w:t>组织企（事）业单位参加“数据要素×”大赛（次））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CB4717">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EE8A6">
            <w:pPr>
              <w:jc w:val="center"/>
            </w:pPr>
            <w:r>
              <w:rPr>
                <w:rFonts w:ascii="宋体" w:hAnsi="宋体" w:eastAsia="宋体"/>
                <w:sz w:val="16"/>
              </w:rPr>
              <w:t>2024年度工作总结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FA2E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25E8E">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E0DA4">
            <w:pPr>
              <w:jc w:val="center"/>
            </w:pPr>
            <w:r>
              <w:rPr>
                <w:rFonts w:ascii="宋体" w:hAnsi="宋体" w:eastAsia="宋体"/>
                <w:sz w:val="16"/>
              </w:rPr>
              <w:t>20</w:t>
            </w:r>
          </w:p>
        </w:tc>
      </w:tr>
      <w:tr w14:paraId="3BB9E7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00FDB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8D399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3C0C4">
            <w:pPr>
              <w:jc w:val="center"/>
            </w:pPr>
            <w:r>
              <w:rPr>
                <w:rFonts w:ascii="宋体" w:hAnsi="宋体" w:eastAsia="宋体"/>
                <w:sz w:val="16"/>
              </w:rPr>
              <w:t>提供延时预约服务（次）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715D26">
            <w:pPr>
              <w:jc w:val="center"/>
            </w:pPr>
            <w:r>
              <w:rPr>
                <w:rFonts w:ascii="宋体" w:hAnsi="宋体" w:eastAsia="宋体"/>
                <w:sz w:val="16"/>
              </w:rPr>
              <w:t>&gt;=10000次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BFBF9">
            <w:pPr>
              <w:jc w:val="center"/>
            </w:pPr>
            <w:r>
              <w:rPr>
                <w:rFonts w:ascii="宋体" w:hAnsi="宋体" w:eastAsia="宋体"/>
                <w:sz w:val="16"/>
              </w:rPr>
              <w:t>2024年度工作总结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9492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66248">
            <w:pPr>
              <w:jc w:val="center"/>
            </w:pPr>
            <w:r>
              <w:rPr>
                <w:rFonts w:ascii="宋体" w:hAnsi="宋体" w:eastAsia="宋体"/>
                <w:sz w:val="16"/>
              </w:rPr>
              <w:t>13423次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07655">
            <w:pPr>
              <w:jc w:val="center"/>
            </w:pPr>
            <w:r>
              <w:rPr>
                <w:rFonts w:ascii="宋体" w:hAnsi="宋体" w:eastAsia="宋体"/>
                <w:sz w:val="16"/>
              </w:rPr>
              <w:t>15</w:t>
            </w:r>
          </w:p>
        </w:tc>
      </w:tr>
      <w:tr w14:paraId="7D0057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3824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1A40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DF65B">
            <w:pPr>
              <w:jc w:val="center"/>
            </w:pPr>
            <w:r>
              <w:rPr>
                <w:rFonts w:ascii="宋体" w:hAnsi="宋体" w:eastAsia="宋体"/>
                <w:sz w:val="16"/>
              </w:rPr>
              <w:t>热线平台工单办结率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02C5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E29572">
            <w:pPr>
              <w:jc w:val="center"/>
            </w:pPr>
            <w:r>
              <w:rPr>
                <w:rFonts w:ascii="宋体" w:hAnsi="宋体" w:eastAsia="宋体"/>
                <w:sz w:val="16"/>
              </w:rPr>
              <w:t>2024年度工作总结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2B5C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2A882">
            <w:pPr>
              <w:jc w:val="center"/>
            </w:pPr>
            <w:r>
              <w:rPr>
                <w:rFonts w:ascii="宋体" w:hAnsi="宋体" w:eastAsia="宋体"/>
                <w:sz w:val="16"/>
              </w:rPr>
              <w:t>99.19%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9BE81A">
            <w:pPr>
              <w:jc w:val="center"/>
            </w:pPr>
            <w:r>
              <w:rPr>
                <w:rFonts w:ascii="宋体" w:hAnsi="宋体" w:eastAsia="宋体"/>
                <w:sz w:val="16"/>
              </w:rPr>
              <w:t>15</w:t>
            </w:r>
          </w:p>
        </w:tc>
      </w:tr>
    </w:tbl>
    <w:p w14:paraId="4F2C6AC8">
      <w:r>
        <w:br w:type="page"/>
      </w:r>
    </w:p>
    <w:tbl>
      <w:tblPr>
        <w:tblStyle w:val="9"/>
        <w:tblW w:w="0" w:type="auto"/>
        <w:tblInd w:w="0" w:type="dxa"/>
        <w:tblLayout w:type="autofit"/>
        <w:tblCellMar>
          <w:top w:w="0" w:type="dxa"/>
          <w:left w:w="108" w:type="dxa"/>
          <w:bottom w:w="0" w:type="dxa"/>
          <w:right w:w="108" w:type="dxa"/>
        </w:tblCellMar>
      </w:tblPr>
      <w:tblGrid>
        <w:gridCol w:w="620"/>
        <w:gridCol w:w="603"/>
        <w:gridCol w:w="603"/>
        <w:gridCol w:w="696"/>
        <w:gridCol w:w="776"/>
        <w:gridCol w:w="603"/>
        <w:gridCol w:w="603"/>
        <w:gridCol w:w="603"/>
        <w:gridCol w:w="603"/>
        <w:gridCol w:w="603"/>
        <w:gridCol w:w="936"/>
        <w:gridCol w:w="628"/>
        <w:gridCol w:w="562"/>
        <w:gridCol w:w="621"/>
      </w:tblGrid>
      <w:tr w14:paraId="4862203D">
        <w:tblPrEx>
          <w:tblCellMar>
            <w:top w:w="0" w:type="dxa"/>
            <w:left w:w="108" w:type="dxa"/>
            <w:bottom w:w="0" w:type="dxa"/>
            <w:right w:w="108" w:type="dxa"/>
          </w:tblCellMar>
        </w:tblPrEx>
        <w:tc>
          <w:tcPr>
            <w:tcW w:w="8848" w:type="dxa"/>
            <w:gridSpan w:val="14"/>
            <w:vAlign w:val="center"/>
          </w:tcPr>
          <w:p w14:paraId="1E1FE604">
            <w:pPr>
              <w:jc w:val="center"/>
            </w:pPr>
            <w:r>
              <w:rPr>
                <w:rFonts w:ascii="宋体" w:hAnsi="宋体" w:eastAsia="宋体"/>
                <w:sz w:val="24"/>
              </w:rPr>
              <w:t>项目支出绩效自评表</w:t>
            </w:r>
          </w:p>
        </w:tc>
      </w:tr>
      <w:tr w14:paraId="0B6D24AB">
        <w:tblPrEx>
          <w:tblCellMar>
            <w:top w:w="0" w:type="dxa"/>
            <w:left w:w="108" w:type="dxa"/>
            <w:bottom w:w="0" w:type="dxa"/>
            <w:right w:w="108" w:type="dxa"/>
          </w:tblCellMar>
        </w:tblPrEx>
        <w:tc>
          <w:tcPr>
            <w:tcW w:w="8848" w:type="dxa"/>
            <w:gridSpan w:val="14"/>
            <w:vAlign w:val="center"/>
          </w:tcPr>
          <w:p w14:paraId="31F2BD53">
            <w:pPr>
              <w:jc w:val="center"/>
            </w:pPr>
            <w:r>
              <w:rPr>
                <w:rFonts w:ascii="宋体" w:hAnsi="宋体" w:eastAsia="宋体"/>
                <w:sz w:val="24"/>
              </w:rPr>
              <w:t>(2024年度)</w:t>
            </w:r>
          </w:p>
        </w:tc>
      </w:tr>
      <w:tr w14:paraId="2B74CA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7E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9B8C3C">
            <w:pPr>
              <w:jc w:val="center"/>
            </w:pPr>
            <w:r>
              <w:rPr>
                <w:rFonts w:ascii="宋体" w:hAnsi="宋体" w:eastAsia="宋体"/>
                <w:sz w:val="16"/>
              </w:rPr>
              <w:t>2024年度克州数字化发展局开办经费项目</w:t>
            </w:r>
          </w:p>
        </w:tc>
      </w:tr>
      <w:tr w14:paraId="48A751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92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0BFF68">
            <w:pPr>
              <w:jc w:val="center"/>
            </w:pPr>
            <w:r>
              <w:rPr>
                <w:rFonts w:ascii="宋体" w:hAnsi="宋体" w:eastAsia="宋体"/>
                <w:sz w:val="16"/>
              </w:rPr>
              <w:t>克孜勒苏柯尔克孜自治州数字化发展局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96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348A5">
            <w:pPr>
              <w:jc w:val="center"/>
            </w:pPr>
            <w:r>
              <w:rPr>
                <w:rFonts w:ascii="宋体" w:hAnsi="宋体" w:eastAsia="宋体"/>
                <w:sz w:val="16"/>
              </w:rPr>
              <w:t>克孜勒苏柯尔克孜自治州数字化发展局</w:t>
            </w:r>
          </w:p>
        </w:tc>
      </w:tr>
      <w:tr w14:paraId="02E7A3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DDF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60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E34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63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39D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8B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8FE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C195">
            <w:pPr>
              <w:jc w:val="center"/>
            </w:pPr>
            <w:r>
              <w:rPr>
                <w:rFonts w:ascii="宋体" w:hAnsi="宋体" w:eastAsia="宋体"/>
                <w:sz w:val="16"/>
              </w:rPr>
              <w:t>得分</w:t>
            </w:r>
          </w:p>
        </w:tc>
      </w:tr>
      <w:tr w14:paraId="3A2F3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6EF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2A0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811A">
            <w:pPr>
              <w:jc w:val="center"/>
            </w:pPr>
            <w:r>
              <w:rPr>
                <w:rFonts w:ascii="宋体" w:hAnsi="宋体" w:eastAsia="宋体"/>
                <w:sz w:val="16"/>
              </w:rPr>
              <w:t>31.21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51C7A">
            <w:pPr>
              <w:jc w:val="center"/>
            </w:pPr>
            <w:r>
              <w:rPr>
                <w:rFonts w:ascii="宋体" w:hAnsi="宋体" w:eastAsia="宋体"/>
                <w:sz w:val="16"/>
              </w:rPr>
              <w:t>31.21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29E0">
            <w:pPr>
              <w:jc w:val="center"/>
            </w:pPr>
            <w:r>
              <w:rPr>
                <w:rFonts w:ascii="宋体" w:hAnsi="宋体" w:eastAsia="宋体"/>
                <w:sz w:val="16"/>
              </w:rPr>
              <w:t>30.74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382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DD7DF">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C739">
            <w:pPr>
              <w:jc w:val="center"/>
            </w:pPr>
            <w:r>
              <w:rPr>
                <w:rFonts w:ascii="宋体" w:hAnsi="宋体" w:eastAsia="宋体"/>
                <w:sz w:val="16"/>
              </w:rPr>
              <w:t>9.62分</w:t>
            </w:r>
          </w:p>
        </w:tc>
      </w:tr>
      <w:tr w14:paraId="78D59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34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E68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6CAF">
            <w:pPr>
              <w:jc w:val="center"/>
            </w:pPr>
            <w:r>
              <w:rPr>
                <w:rFonts w:ascii="宋体" w:hAnsi="宋体" w:eastAsia="宋体"/>
                <w:sz w:val="16"/>
              </w:rPr>
              <w:t>31.21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5FA06">
            <w:pPr>
              <w:jc w:val="center"/>
            </w:pPr>
            <w:r>
              <w:rPr>
                <w:rFonts w:ascii="宋体" w:hAnsi="宋体" w:eastAsia="宋体"/>
                <w:sz w:val="16"/>
              </w:rPr>
              <w:t>31.21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FB311">
            <w:pPr>
              <w:jc w:val="center"/>
            </w:pPr>
            <w:r>
              <w:rPr>
                <w:rFonts w:ascii="宋体" w:hAnsi="宋体" w:eastAsia="宋体"/>
                <w:sz w:val="16"/>
              </w:rPr>
              <w:t>30.74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2E3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34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1878">
            <w:pPr>
              <w:jc w:val="center"/>
            </w:pPr>
            <w:r>
              <w:rPr>
                <w:rFonts w:ascii="宋体" w:hAnsi="宋体" w:eastAsia="宋体"/>
                <w:sz w:val="16"/>
              </w:rPr>
              <w:t>—</w:t>
            </w:r>
          </w:p>
        </w:tc>
      </w:tr>
      <w:tr w14:paraId="0A08C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524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4D5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24B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28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405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F35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35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DD14">
            <w:pPr>
              <w:jc w:val="center"/>
            </w:pPr>
            <w:r>
              <w:rPr>
                <w:rFonts w:ascii="宋体" w:hAnsi="宋体" w:eastAsia="宋体"/>
                <w:sz w:val="16"/>
              </w:rPr>
              <w:t>—</w:t>
            </w:r>
          </w:p>
        </w:tc>
      </w:tr>
      <w:tr w14:paraId="1292ED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C75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0B6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F77A1">
            <w:pPr>
              <w:jc w:val="center"/>
            </w:pPr>
            <w:r>
              <w:rPr>
                <w:rFonts w:ascii="宋体" w:hAnsi="宋体" w:eastAsia="宋体"/>
                <w:sz w:val="16"/>
              </w:rPr>
              <w:t>实际完成情况</w:t>
            </w:r>
          </w:p>
        </w:tc>
      </w:tr>
      <w:tr w14:paraId="71878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F3B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8619C">
            <w:pPr>
              <w:jc w:val="both"/>
            </w:pPr>
            <w:r>
              <w:rPr>
                <w:rFonts w:ascii="宋体" w:hAnsi="宋体" w:eastAsia="宋体"/>
                <w:sz w:val="16"/>
              </w:rPr>
              <w:t>自治州数字化发展局作为本轮机构改革中新组建成立的政府组成部门，急需解决必要的办公设备运转经费，经自治州人民政府同意，按照年度工作计划，由州财政拨付开办经费31.21万元。主要用于采购国产化电脑12台、国产化笔记本4台、正版统信UOS操作系统16套、多功能传真一体机3台、茶几3张、衣帽架12个、会议椅3张、折叠沙发床6张、录音笔1个、保密柜1个、复印机1台、会议室（音响、话筒、调音台、功放）等设备1套、碎纸机1台、扫描仪2台、A4纸15箱、保密套件1套、公积金UEK1个、工资软件1套、财务凭证装订机及耗材1批、打印机碳粉、硒鼓等耗材1批；更换灯具10个，窗帘15个，安装保密室监控1套、维修网络综合面板20个、保密室综合布线2条、会议室背景墙及文化宣传展板等1批；电费、网络通讯费、印刷费等物资；组织人员参加政务服务事项标准化目录编制工作，并参加各类培训和自治区会议，进一步提升克州数字化发展局干部专业素养，有效提升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129850">
            <w:pPr>
              <w:jc w:val="both"/>
            </w:pPr>
            <w:r>
              <w:rPr>
                <w:rFonts w:ascii="宋体" w:hAnsi="宋体" w:eastAsia="宋体"/>
                <w:sz w:val="16"/>
              </w:rPr>
              <w:t>截至2024年12月31日，已完成：新购置固定资产85件，派人参加培训、会议、调研等10次，派人参加自治区集中办公1次。通过该项目的实施进一步提升克州数字化发展局干部专业素养，有效提升工作效率。</w:t>
            </w:r>
          </w:p>
        </w:tc>
      </w:tr>
      <w:tr w14:paraId="2A46FF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DF5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D6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E1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04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DC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30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3E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03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9F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96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88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B8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9A4B2">
            <w:pPr>
              <w:jc w:val="center"/>
            </w:pPr>
            <w:r>
              <w:rPr>
                <w:rFonts w:ascii="宋体" w:hAnsi="宋体" w:eastAsia="宋体"/>
                <w:sz w:val="16"/>
              </w:rPr>
              <w:t>偏差原因分析及改进措施</w:t>
            </w:r>
          </w:p>
        </w:tc>
      </w:tr>
      <w:tr w14:paraId="12C337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B24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5EF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432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2083">
            <w:pPr>
              <w:jc w:val="center"/>
            </w:pPr>
            <w:r>
              <w:rPr>
                <w:rFonts w:ascii="宋体" w:hAnsi="宋体" w:eastAsia="宋体"/>
                <w:sz w:val="16"/>
              </w:rPr>
              <w:t>新购置固定资产数量（件）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C815">
            <w:pPr>
              <w:jc w:val="center"/>
            </w:pPr>
            <w:r>
              <w:rPr>
                <w:rFonts w:ascii="宋体" w:hAnsi="宋体" w:eastAsia="宋体"/>
                <w:sz w:val="16"/>
              </w:rPr>
              <w:t>&gt;=85件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6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43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0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2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3A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F281">
            <w:pPr>
              <w:jc w:val="center"/>
            </w:pPr>
            <w:r>
              <w:rPr>
                <w:rFonts w:ascii="宋体" w:hAnsi="宋体" w:eastAsia="宋体"/>
                <w:sz w:val="16"/>
              </w:rPr>
              <w:t>=85件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F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6D326">
            <w:pPr>
              <w:jc w:val="center"/>
            </w:pPr>
          </w:p>
        </w:tc>
      </w:tr>
      <w:tr w14:paraId="3C1DF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12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D4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70F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9D64">
            <w:pPr>
              <w:jc w:val="center"/>
            </w:pPr>
            <w:r>
              <w:rPr>
                <w:rFonts w:ascii="宋体" w:hAnsi="宋体" w:eastAsia="宋体"/>
                <w:sz w:val="16"/>
              </w:rPr>
              <w:t>派人参加培训、会议、调研等（人次）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ABD9">
            <w:pPr>
              <w:jc w:val="center"/>
            </w:pPr>
            <w:r>
              <w:rPr>
                <w:rFonts w:ascii="宋体" w:hAnsi="宋体" w:eastAsia="宋体"/>
                <w:sz w:val="16"/>
              </w:rPr>
              <w:t>&gt;=10人次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0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F3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61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B1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4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10C0">
            <w:pPr>
              <w:jc w:val="center"/>
            </w:pPr>
            <w:r>
              <w:rPr>
                <w:rFonts w:ascii="宋体" w:hAnsi="宋体" w:eastAsia="宋体"/>
                <w:sz w:val="16"/>
              </w:rPr>
              <w: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FB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B37FE">
            <w:pPr>
              <w:jc w:val="center"/>
            </w:pPr>
          </w:p>
        </w:tc>
      </w:tr>
      <w:tr w14:paraId="39786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84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A3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C2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83F4">
            <w:pPr>
              <w:jc w:val="center"/>
            </w:pPr>
            <w:r>
              <w:rPr>
                <w:rFonts w:ascii="宋体" w:hAnsi="宋体" w:eastAsia="宋体"/>
                <w:sz w:val="16"/>
              </w:rPr>
              <w:t>派人参加自治区集中办公（次）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0A0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2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E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1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C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4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393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72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DE04E">
            <w:pPr>
              <w:jc w:val="center"/>
            </w:pPr>
          </w:p>
        </w:tc>
      </w:tr>
      <w:tr w14:paraId="021B5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2F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8C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78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E41F">
            <w:pPr>
              <w:jc w:val="center"/>
            </w:pPr>
            <w:r>
              <w:rPr>
                <w:rFonts w:ascii="宋体" w:hAnsi="宋体" w:eastAsia="宋体"/>
                <w:sz w:val="16"/>
              </w:rPr>
              <w:t>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E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2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87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DA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EC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C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0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97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9D037">
            <w:pPr>
              <w:jc w:val="center"/>
            </w:pPr>
          </w:p>
        </w:tc>
      </w:tr>
      <w:tr w14:paraId="43F06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0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871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2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18E7">
            <w:pPr>
              <w:jc w:val="center"/>
            </w:pPr>
            <w:r>
              <w:rPr>
                <w:rFonts w:ascii="宋体" w:hAnsi="宋体" w:eastAsia="宋体"/>
                <w:sz w:val="16"/>
              </w:rPr>
              <w:t>设备及时投入使用率（%）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EB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8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8A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48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B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C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C5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40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6D244">
            <w:pPr>
              <w:jc w:val="center"/>
            </w:pPr>
          </w:p>
        </w:tc>
      </w:tr>
      <w:tr w14:paraId="0BDA8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594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86A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63C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348D">
            <w:pPr>
              <w:jc w:val="center"/>
            </w:pPr>
            <w:r>
              <w:rPr>
                <w:rFonts w:ascii="宋体" w:hAnsi="宋体" w:eastAsia="宋体"/>
                <w:sz w:val="16"/>
              </w:rPr>
              <w:t>保障日常办公运转（万元）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0D5F">
            <w:pPr>
              <w:jc w:val="center"/>
            </w:pPr>
            <w:r>
              <w:rPr>
                <w:rFonts w:ascii="宋体" w:hAnsi="宋体" w:eastAsia="宋体"/>
                <w:sz w:val="16"/>
              </w:rPr>
              <w:t>=11.44万元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BC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73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53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8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E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828A">
            <w:pPr>
              <w:jc w:val="center"/>
            </w:pPr>
            <w:r>
              <w:rPr>
                <w:rFonts w:ascii="宋体" w:hAnsi="宋体" w:eastAsia="宋体"/>
                <w:sz w:val="16"/>
              </w:rPr>
              <w:t>=10.98275万元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EDDB">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3FCFD">
            <w:pPr>
              <w:jc w:val="center"/>
            </w:pPr>
            <w:r>
              <w:rPr>
                <w:rFonts w:ascii="宋体" w:hAnsi="宋体" w:eastAsia="宋体"/>
                <w:sz w:val="16"/>
              </w:rPr>
              <w:t>偏差原因：资金使用计划变更；改进措施：优化资金预算管理</w:t>
            </w:r>
          </w:p>
        </w:tc>
      </w:tr>
      <w:tr w14:paraId="7DD48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C3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5A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8C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6525">
            <w:pPr>
              <w:jc w:val="center"/>
            </w:pPr>
            <w:r>
              <w:rPr>
                <w:rFonts w:ascii="宋体" w:hAnsi="宋体" w:eastAsia="宋体"/>
                <w:sz w:val="16"/>
              </w:rPr>
              <w:t>购置办公设备及会议室设备（万元）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AD33">
            <w:pPr>
              <w:jc w:val="center"/>
            </w:pPr>
            <w:r>
              <w:rPr>
                <w:rFonts w:ascii="宋体" w:hAnsi="宋体" w:eastAsia="宋体"/>
                <w:sz w:val="16"/>
              </w:rPr>
              <w:t>&lt;=16.37万元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A4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02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E8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9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8F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C5A4">
            <w:pPr>
              <w:jc w:val="center"/>
            </w:pPr>
            <w:r>
              <w:rPr>
                <w:rFonts w:ascii="宋体" w:hAnsi="宋体" w:eastAsia="宋体"/>
                <w:sz w:val="16"/>
              </w:rPr>
              <w:t>=16.3625万元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4780">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ECAE0">
            <w:pPr>
              <w:jc w:val="center"/>
            </w:pPr>
            <w:r>
              <w:rPr>
                <w:rFonts w:ascii="宋体" w:hAnsi="宋体" w:eastAsia="宋体"/>
                <w:sz w:val="16"/>
              </w:rPr>
              <w:t>偏差原因：资金使用计划变更；改进措施：优化资金预算管理</w:t>
            </w:r>
          </w:p>
        </w:tc>
      </w:tr>
      <w:tr w14:paraId="53107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97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4E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80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3D7C">
            <w:pPr>
              <w:jc w:val="center"/>
            </w:pPr>
            <w:r>
              <w:rPr>
                <w:rFonts w:ascii="宋体" w:hAnsi="宋体" w:eastAsia="宋体"/>
                <w:sz w:val="16"/>
              </w:rPr>
              <w:t>组织人员参加能力提升培训（万元）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FCC3">
            <w:pPr>
              <w:jc w:val="center"/>
            </w:pPr>
            <w:r>
              <w:rPr>
                <w:rFonts w:ascii="宋体" w:hAnsi="宋体" w:eastAsia="宋体"/>
                <w:sz w:val="16"/>
              </w:rPr>
              <w:t>&lt;=3.4万元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CD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3E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BE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9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BD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CF67">
            <w:pPr>
              <w:jc w:val="center"/>
            </w:pPr>
            <w:r>
              <w:rPr>
                <w:rFonts w:ascii="宋体" w:hAnsi="宋体" w:eastAsia="宋体"/>
                <w:sz w:val="16"/>
              </w:rPr>
              <w:t>=3.39495万元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2011">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BB697">
            <w:pPr>
              <w:jc w:val="center"/>
            </w:pPr>
            <w:r>
              <w:rPr>
                <w:rFonts w:ascii="宋体" w:hAnsi="宋体" w:eastAsia="宋体"/>
                <w:sz w:val="16"/>
              </w:rPr>
              <w:t>偏差原因：资金使用计划变更；改进措施：优化资金预算管理</w:t>
            </w:r>
          </w:p>
        </w:tc>
      </w:tr>
      <w:tr w14:paraId="0DED2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A8B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601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BB4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F4B1">
            <w:pPr>
              <w:jc w:val="center"/>
            </w:pPr>
            <w:r>
              <w:rPr>
                <w:rFonts w:ascii="宋体" w:hAnsi="宋体" w:eastAsia="宋体"/>
                <w:sz w:val="16"/>
              </w:rPr>
              <w:t>有效保障数字化发展局正常办公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33E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F64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D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9A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BB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1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A74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28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CA35">
            <w:pPr>
              <w:jc w:val="center"/>
            </w:pPr>
          </w:p>
        </w:tc>
      </w:tr>
      <w:tr w14:paraId="26FD9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EB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C4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18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FBD7">
            <w:pPr>
              <w:jc w:val="center"/>
            </w:pPr>
            <w:r>
              <w:rPr>
                <w:rFonts w:ascii="宋体" w:hAnsi="宋体" w:eastAsia="宋体"/>
                <w:sz w:val="16"/>
              </w:rPr>
              <w:t>有效提升数字化发展局干部数字素养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42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6B6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F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A5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DC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D2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D0C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9D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7BA7F">
            <w:pPr>
              <w:jc w:val="center"/>
            </w:pPr>
          </w:p>
        </w:tc>
      </w:tr>
      <w:tr w14:paraId="367D5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A1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AB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D5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1543">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B5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58F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0F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C9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B4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2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6C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5C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A253">
            <w:pPr>
              <w:jc w:val="center"/>
            </w:pPr>
          </w:p>
        </w:tc>
      </w:tr>
      <w:tr w14:paraId="26D9F3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522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2B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60D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1EBF4">
            <w:pPr>
              <w:jc w:val="center"/>
            </w:pPr>
            <w:r>
              <w:rPr>
                <w:rFonts w:ascii="宋体" w:hAnsi="宋体" w:eastAsia="宋体"/>
                <w:sz w:val="16"/>
              </w:rPr>
              <w:t>99.09分</w:t>
            </w:r>
          </w:p>
        </w:tc>
      </w:tr>
    </w:tbl>
    <w:p w14:paraId="3B53331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30"/>
        <w:gridCol w:w="626"/>
        <w:gridCol w:w="626"/>
        <w:gridCol w:w="626"/>
        <w:gridCol w:w="776"/>
        <w:gridCol w:w="631"/>
        <w:gridCol w:w="617"/>
        <w:gridCol w:w="630"/>
      </w:tblGrid>
      <w:tr w14:paraId="58DD4CB5">
        <w:tblPrEx>
          <w:tblCellMar>
            <w:top w:w="0" w:type="dxa"/>
            <w:left w:w="108" w:type="dxa"/>
            <w:bottom w:w="0" w:type="dxa"/>
            <w:right w:w="108" w:type="dxa"/>
          </w:tblCellMar>
        </w:tblPrEx>
        <w:tc>
          <w:tcPr>
            <w:tcW w:w="8848" w:type="dxa"/>
            <w:gridSpan w:val="14"/>
            <w:vAlign w:val="center"/>
          </w:tcPr>
          <w:p w14:paraId="64C211A2">
            <w:pPr>
              <w:jc w:val="center"/>
            </w:pPr>
            <w:r>
              <w:rPr>
                <w:rFonts w:ascii="宋体" w:hAnsi="宋体" w:eastAsia="宋体"/>
                <w:sz w:val="24"/>
              </w:rPr>
              <w:t>项目支出绩效自评表</w:t>
            </w:r>
          </w:p>
        </w:tc>
      </w:tr>
      <w:tr w14:paraId="733C5647">
        <w:tblPrEx>
          <w:tblCellMar>
            <w:top w:w="0" w:type="dxa"/>
            <w:left w:w="108" w:type="dxa"/>
            <w:bottom w:w="0" w:type="dxa"/>
            <w:right w:w="108" w:type="dxa"/>
          </w:tblCellMar>
        </w:tblPrEx>
        <w:tc>
          <w:tcPr>
            <w:tcW w:w="8848" w:type="dxa"/>
            <w:gridSpan w:val="14"/>
            <w:vAlign w:val="center"/>
          </w:tcPr>
          <w:p w14:paraId="576FADC2">
            <w:pPr>
              <w:jc w:val="center"/>
            </w:pPr>
            <w:r>
              <w:rPr>
                <w:rFonts w:ascii="宋体" w:hAnsi="宋体" w:eastAsia="宋体"/>
                <w:sz w:val="24"/>
              </w:rPr>
              <w:t>(2024年度)</w:t>
            </w:r>
          </w:p>
        </w:tc>
      </w:tr>
      <w:tr w14:paraId="0C3047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10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98DB9">
            <w:pPr>
              <w:jc w:val="center"/>
            </w:pPr>
            <w:r>
              <w:rPr>
                <w:rFonts w:ascii="宋体" w:hAnsi="宋体" w:eastAsia="宋体"/>
                <w:sz w:val="16"/>
              </w:rPr>
              <w:t>克州电子政务外网专项运行维护费项目</w:t>
            </w:r>
          </w:p>
        </w:tc>
      </w:tr>
      <w:tr w14:paraId="7E5F5C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FC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B51DA">
            <w:pPr>
              <w:jc w:val="center"/>
            </w:pPr>
            <w:r>
              <w:rPr>
                <w:rFonts w:ascii="宋体" w:hAnsi="宋体" w:eastAsia="宋体"/>
                <w:sz w:val="16"/>
              </w:rPr>
              <w:t>克孜勒苏柯尔克孜自治州数字化发展局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D3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C4AFE1">
            <w:pPr>
              <w:jc w:val="center"/>
            </w:pPr>
            <w:r>
              <w:rPr>
                <w:rFonts w:ascii="宋体" w:hAnsi="宋体" w:eastAsia="宋体"/>
                <w:sz w:val="16"/>
              </w:rPr>
              <w:t>克孜勒苏柯尔克孜自治州数字化发展局</w:t>
            </w:r>
          </w:p>
        </w:tc>
      </w:tr>
      <w:tr w14:paraId="3D0D94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636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DCD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1C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70D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75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BE9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D9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8EF9">
            <w:pPr>
              <w:jc w:val="center"/>
            </w:pPr>
            <w:r>
              <w:rPr>
                <w:rFonts w:ascii="宋体" w:hAnsi="宋体" w:eastAsia="宋体"/>
                <w:sz w:val="16"/>
              </w:rPr>
              <w:t>得分</w:t>
            </w:r>
          </w:p>
        </w:tc>
      </w:tr>
      <w:tr w14:paraId="56FC9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B2A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18C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874E">
            <w:pPr>
              <w:jc w:val="center"/>
            </w:pPr>
            <w:r>
              <w:rPr>
                <w:rFonts w:ascii="宋体" w:hAnsi="宋体" w:eastAsia="宋体"/>
                <w:sz w:val="16"/>
              </w:rPr>
              <w:t>29.52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40647">
            <w:pPr>
              <w:jc w:val="center"/>
            </w:pPr>
            <w:r>
              <w:rPr>
                <w:rFonts w:ascii="宋体" w:hAnsi="宋体" w:eastAsia="宋体"/>
                <w:sz w:val="16"/>
              </w:rPr>
              <w:t>29.52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97280">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654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EFCCE">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A6F3">
            <w:pPr>
              <w:jc w:val="center"/>
            </w:pPr>
            <w:r>
              <w:rPr>
                <w:rFonts w:ascii="宋体" w:hAnsi="宋体" w:eastAsia="宋体"/>
                <w:sz w:val="16"/>
              </w:rPr>
              <w:t>9.98分</w:t>
            </w:r>
          </w:p>
        </w:tc>
      </w:tr>
      <w:tr w14:paraId="7BD09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414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5F8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24A9">
            <w:pPr>
              <w:jc w:val="center"/>
            </w:pPr>
            <w:r>
              <w:rPr>
                <w:rFonts w:ascii="宋体" w:hAnsi="宋体" w:eastAsia="宋体"/>
                <w:sz w:val="16"/>
              </w:rPr>
              <w:t>29.52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E3E66">
            <w:pPr>
              <w:jc w:val="center"/>
            </w:pPr>
            <w:r>
              <w:rPr>
                <w:rFonts w:ascii="宋体" w:hAnsi="宋体" w:eastAsia="宋体"/>
                <w:sz w:val="16"/>
              </w:rPr>
              <w:t>29.52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B7B45">
            <w:pPr>
              <w:jc w:val="center"/>
            </w:pPr>
            <w:r>
              <w:rPr>
                <w:rFonts w:ascii="宋体" w:hAnsi="宋体" w:eastAsia="宋体"/>
                <w:sz w:val="16"/>
              </w:rPr>
              <w:t>29.50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79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A8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1E46">
            <w:pPr>
              <w:jc w:val="center"/>
            </w:pPr>
            <w:r>
              <w:rPr>
                <w:rFonts w:ascii="宋体" w:hAnsi="宋体" w:eastAsia="宋体"/>
                <w:sz w:val="16"/>
              </w:rPr>
              <w:t>—</w:t>
            </w:r>
          </w:p>
        </w:tc>
      </w:tr>
      <w:tr w14:paraId="5D977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DEB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AB9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F5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FA3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A3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F3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A0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927F">
            <w:pPr>
              <w:jc w:val="center"/>
            </w:pPr>
            <w:r>
              <w:rPr>
                <w:rFonts w:ascii="宋体" w:hAnsi="宋体" w:eastAsia="宋体"/>
                <w:sz w:val="16"/>
              </w:rPr>
              <w:t>—</w:t>
            </w:r>
          </w:p>
        </w:tc>
      </w:tr>
      <w:tr w14:paraId="35B7D3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AE0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088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FCD3A">
            <w:pPr>
              <w:jc w:val="center"/>
            </w:pPr>
            <w:r>
              <w:rPr>
                <w:rFonts w:ascii="宋体" w:hAnsi="宋体" w:eastAsia="宋体"/>
                <w:sz w:val="16"/>
              </w:rPr>
              <w:t>实际完成情况</w:t>
            </w:r>
          </w:p>
        </w:tc>
      </w:tr>
      <w:tr w14:paraId="5C0C1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0E8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DE5904">
            <w:pPr>
              <w:jc w:val="both"/>
            </w:pPr>
            <w:r>
              <w:rPr>
                <w:rFonts w:ascii="宋体" w:hAnsi="宋体" w:eastAsia="宋体"/>
                <w:sz w:val="16"/>
              </w:rPr>
              <w:t>该项目总投资29.52万元，其中：财政资金29.52万元，其他资金0万元，主要</w:t>
            </w:r>
            <w:r>
              <w:rPr>
                <w:rFonts w:hint="eastAsia" w:ascii="宋体" w:hAnsi="宋体"/>
                <w:sz w:val="16"/>
                <w:lang w:eastAsia="zh-CN"/>
              </w:rPr>
              <w:t>用于</w:t>
            </w:r>
            <w:r>
              <w:rPr>
                <w:rFonts w:ascii="宋体" w:hAnsi="宋体" w:eastAsia="宋体"/>
                <w:sz w:val="16"/>
              </w:rPr>
              <w:t>电子政务外网设备购置，有利于强化自治州电子政务外网</w:t>
            </w:r>
            <w:r>
              <w:rPr>
                <w:rFonts w:hint="eastAsia" w:ascii="宋体" w:hAnsi="宋体"/>
                <w:sz w:val="16"/>
                <w:lang w:eastAsia="zh-CN"/>
              </w:rPr>
              <w:t>运行</w:t>
            </w:r>
            <w:bookmarkStart w:id="0" w:name="_GoBack"/>
            <w:r>
              <w:rPr>
                <w:rFonts w:hint="eastAsia" w:ascii="宋体" w:hAnsi="宋体"/>
                <w:sz w:val="16"/>
                <w:lang w:eastAsia="zh-CN"/>
              </w:rPr>
              <w:t>维护和网络安全</w:t>
            </w:r>
            <w:bookmarkEnd w:id="0"/>
            <w:r>
              <w:rPr>
                <w:rFonts w:ascii="宋体" w:hAnsi="宋体" w:eastAsia="宋体"/>
                <w:sz w:val="16"/>
              </w:rPr>
              <w:t>防护工作，全面推进克州电子政务发展，依托电子政务外网为政务部门在信息化条件下提供社会管理和政务服务，密切群众联系，加强与公众互动交流的重要桥梁。通过该项目实施达到为跨部门、跨地区的网络互联互通、信息共享和业务协同提供网络支撑服务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F6D56">
            <w:pPr>
              <w:jc w:val="both"/>
            </w:pPr>
            <w:r>
              <w:rPr>
                <w:rFonts w:ascii="宋体" w:hAnsi="宋体" w:eastAsia="宋体"/>
                <w:sz w:val="16"/>
              </w:rPr>
              <w:t>截至2024年12月31日，已完成：交换机设备购置4台，负载均衡设备购置1台，新购置设备5台。通过该项目实施达到为跨部门、跨地区的网络互联互通、信息共享和业务协同提供网络支撑服务的效果。</w:t>
            </w:r>
          </w:p>
        </w:tc>
      </w:tr>
      <w:tr w14:paraId="6C8C22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0B11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42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31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D5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AC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52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96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D9A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66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B6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5D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83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5A5DD">
            <w:pPr>
              <w:jc w:val="center"/>
            </w:pPr>
            <w:r>
              <w:rPr>
                <w:rFonts w:ascii="宋体" w:hAnsi="宋体" w:eastAsia="宋体"/>
                <w:sz w:val="16"/>
              </w:rPr>
              <w:t>偏差原因分析及改进措施</w:t>
            </w:r>
          </w:p>
        </w:tc>
      </w:tr>
      <w:tr w14:paraId="64478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0EF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102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A82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3EEE">
            <w:pPr>
              <w:jc w:val="center"/>
            </w:pPr>
            <w:r>
              <w:rPr>
                <w:rFonts w:ascii="宋体" w:hAnsi="宋体" w:eastAsia="宋体"/>
                <w:sz w:val="16"/>
              </w:rPr>
              <w:t>交换机设备购置数量（台）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8C18">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B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1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8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E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77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D204">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EC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77573">
            <w:pPr>
              <w:jc w:val="center"/>
            </w:pPr>
          </w:p>
        </w:tc>
      </w:tr>
      <w:tr w14:paraId="28E37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ED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36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3F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BCA8">
            <w:pPr>
              <w:jc w:val="center"/>
            </w:pPr>
            <w:r>
              <w:rPr>
                <w:rFonts w:ascii="宋体" w:hAnsi="宋体" w:eastAsia="宋体"/>
                <w:sz w:val="16"/>
              </w:rPr>
              <w:t>负载均衡设备购置数量（台）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0B2F">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5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1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80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1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44D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953F">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34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48D03">
            <w:pPr>
              <w:jc w:val="center"/>
            </w:pPr>
          </w:p>
        </w:tc>
      </w:tr>
      <w:tr w14:paraId="70A43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2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A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68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627E">
            <w:pPr>
              <w:jc w:val="center"/>
            </w:pPr>
            <w:r>
              <w:rPr>
                <w:rFonts w:ascii="宋体" w:hAnsi="宋体" w:eastAsia="宋体"/>
                <w:sz w:val="16"/>
              </w:rPr>
              <w:t>新购置设备（台）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251E">
            <w:pPr>
              <w:jc w:val="center"/>
            </w:pPr>
            <w:r>
              <w:rPr>
                <w:rFonts w:ascii="宋体" w:hAnsi="宋体" w:eastAsia="宋体"/>
                <w:sz w:val="16"/>
              </w:rPr>
              <w:t>&gt;=5台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0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3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86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A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28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E648">
            <w:pPr>
              <w:jc w:val="center"/>
            </w:pPr>
            <w:r>
              <w:rPr>
                <w:rFonts w:ascii="宋体" w:hAnsi="宋体" w:eastAsia="宋体"/>
                <w:sz w:val="16"/>
              </w:rPr>
              <w:t>=5台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F7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D918">
            <w:pPr>
              <w:jc w:val="center"/>
            </w:pPr>
          </w:p>
        </w:tc>
      </w:tr>
      <w:tr w14:paraId="79733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18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25B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5EC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2A44">
            <w:pPr>
              <w:jc w:val="center"/>
            </w:pPr>
            <w:r>
              <w:rPr>
                <w:rFonts w:ascii="宋体" w:hAnsi="宋体" w:eastAsia="宋体"/>
                <w:sz w:val="16"/>
              </w:rPr>
              <w:t>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F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D33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B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A1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F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DF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C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12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CE9F2">
            <w:pPr>
              <w:jc w:val="center"/>
            </w:pPr>
          </w:p>
        </w:tc>
      </w:tr>
      <w:tr w14:paraId="17AFB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C4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D5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CF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8340">
            <w:pPr>
              <w:jc w:val="center"/>
            </w:pPr>
            <w:r>
              <w:rPr>
                <w:rFonts w:ascii="宋体" w:hAnsi="宋体" w:eastAsia="宋体"/>
                <w:sz w:val="16"/>
              </w:rPr>
              <w:t>专网运行故障率（%）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523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53E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9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2F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C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0D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4B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B2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A34E6">
            <w:pPr>
              <w:jc w:val="center"/>
            </w:pPr>
          </w:p>
        </w:tc>
      </w:tr>
      <w:tr w14:paraId="5F879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36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77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AD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7C68">
            <w:pPr>
              <w:jc w:val="center"/>
            </w:pPr>
            <w:r>
              <w:rPr>
                <w:rFonts w:ascii="宋体" w:hAnsi="宋体" w:eastAsia="宋体"/>
                <w:sz w:val="16"/>
              </w:rPr>
              <w:t>原厂服务应急响应时效（天）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59BB">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F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1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45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A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CA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57F7">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9F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BA30C">
            <w:pPr>
              <w:jc w:val="center"/>
            </w:pPr>
          </w:p>
        </w:tc>
      </w:tr>
      <w:tr w14:paraId="69651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219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EFB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868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9B00">
            <w:pPr>
              <w:jc w:val="center"/>
            </w:pPr>
            <w:r>
              <w:rPr>
                <w:rFonts w:ascii="宋体" w:hAnsi="宋体" w:eastAsia="宋体"/>
                <w:sz w:val="16"/>
              </w:rPr>
              <w:t>负载均衡设备购置费用（万元）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71DA">
            <w:pPr>
              <w:jc w:val="center"/>
            </w:pPr>
            <w:r>
              <w:rPr>
                <w:rFonts w:ascii="宋体" w:hAnsi="宋体" w:eastAsia="宋体"/>
                <w:sz w:val="16"/>
              </w:rPr>
              <w:t>&lt;=17.6万元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97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E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6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3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E5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D035">
            <w:pPr>
              <w:jc w:val="center"/>
            </w:pPr>
            <w:r>
              <w:rPr>
                <w:rFonts w:ascii="宋体" w:hAnsi="宋体" w:eastAsia="宋体"/>
                <w:sz w:val="16"/>
              </w:rPr>
              <w:t>=17.6万元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13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81DDD">
            <w:pPr>
              <w:jc w:val="center"/>
            </w:pPr>
          </w:p>
        </w:tc>
      </w:tr>
      <w:tr w14:paraId="5A071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5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17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30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850A">
            <w:pPr>
              <w:jc w:val="center"/>
            </w:pPr>
            <w:r>
              <w:rPr>
                <w:rFonts w:ascii="宋体" w:hAnsi="宋体" w:eastAsia="宋体"/>
                <w:sz w:val="16"/>
              </w:rPr>
              <w:t>交换机设备费用（万元）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FDC4">
            <w:pPr>
              <w:jc w:val="center"/>
            </w:pPr>
            <w:r>
              <w:rPr>
                <w:rFonts w:ascii="宋体" w:hAnsi="宋体" w:eastAsia="宋体"/>
                <w:sz w:val="16"/>
              </w:rPr>
              <w:t>&lt;=10.4万元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38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2D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65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05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CA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76BD">
            <w:pPr>
              <w:jc w:val="center"/>
            </w:pPr>
            <w:r>
              <w:rPr>
                <w:rFonts w:ascii="宋体" w:hAnsi="宋体" w:eastAsia="宋体"/>
                <w:sz w:val="16"/>
              </w:rPr>
              <w:t>=10.4万元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B24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34BC9">
            <w:pPr>
              <w:jc w:val="center"/>
            </w:pPr>
          </w:p>
        </w:tc>
      </w:tr>
      <w:tr w14:paraId="07B5A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0B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31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275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EAFD">
            <w:pPr>
              <w:jc w:val="center"/>
            </w:pPr>
            <w:r>
              <w:rPr>
                <w:rFonts w:ascii="宋体" w:hAnsi="宋体" w:eastAsia="宋体"/>
                <w:sz w:val="16"/>
              </w:rPr>
              <w:t>网络维护工具（万元）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FA8F">
            <w:pPr>
              <w:jc w:val="center"/>
            </w:pPr>
            <w:r>
              <w:rPr>
                <w:rFonts w:ascii="宋体" w:hAnsi="宋体" w:eastAsia="宋体"/>
                <w:sz w:val="16"/>
              </w:rPr>
              <w:t>&lt;=1.52万元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7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46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00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5A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93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1073">
            <w:pPr>
              <w:jc w:val="center"/>
            </w:pPr>
            <w:r>
              <w:rPr>
                <w:rFonts w:ascii="宋体" w:hAnsi="宋体" w:eastAsia="宋体"/>
                <w:sz w:val="16"/>
              </w:rPr>
              <w:t>=1.4995万元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AA4D">
            <w:pPr>
              <w:jc w:val="center"/>
            </w:pPr>
            <w:r>
              <w:rPr>
                <w:rFonts w:ascii="宋体" w:hAnsi="宋体" w:eastAsia="宋体"/>
                <w:sz w:val="16"/>
              </w:rPr>
              <w:t>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8F20">
            <w:pPr>
              <w:jc w:val="center"/>
            </w:pPr>
            <w:r>
              <w:rPr>
                <w:rFonts w:ascii="宋体" w:hAnsi="宋体" w:eastAsia="宋体"/>
                <w:sz w:val="16"/>
              </w:rPr>
              <w:t>偏差原因：资金使用计划变更；改进措施：优化资金预算管理</w:t>
            </w:r>
          </w:p>
        </w:tc>
      </w:tr>
      <w:tr w14:paraId="19963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29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EF6E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DFE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45BB">
            <w:pPr>
              <w:jc w:val="center"/>
            </w:pPr>
            <w:r>
              <w:rPr>
                <w:rFonts w:ascii="宋体" w:hAnsi="宋体" w:eastAsia="宋体"/>
                <w:sz w:val="16"/>
              </w:rPr>
              <w:t>提升电子政务外网系统安全和网络防护能力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4FE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1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1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39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A4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AC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09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7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9D80F">
            <w:pPr>
              <w:jc w:val="center"/>
            </w:pPr>
          </w:p>
        </w:tc>
      </w:tr>
      <w:tr w14:paraId="60301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6B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42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DF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1333">
            <w:pPr>
              <w:jc w:val="center"/>
            </w:pPr>
            <w:r>
              <w:rPr>
                <w:rFonts w:ascii="宋体" w:hAnsi="宋体" w:eastAsia="宋体"/>
                <w:sz w:val="16"/>
              </w:rPr>
              <w:t>保障平台平稳运转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205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5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E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50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50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68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0AF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0E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19C7">
            <w:pPr>
              <w:jc w:val="center"/>
            </w:pPr>
          </w:p>
        </w:tc>
      </w:tr>
      <w:tr w14:paraId="321D9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34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01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DF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AA85">
            <w:pPr>
              <w:jc w:val="center"/>
            </w:pPr>
            <w:r>
              <w:rPr>
                <w:rFonts w:ascii="宋体" w:hAnsi="宋体" w:eastAsia="宋体"/>
                <w:sz w:val="16"/>
              </w:rPr>
              <w:t>使用部门满意度（%）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8F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3A9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C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02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74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50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84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D4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21CA">
            <w:pPr>
              <w:jc w:val="center"/>
            </w:pPr>
          </w:p>
        </w:tc>
      </w:tr>
      <w:tr w14:paraId="680433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BD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A5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75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7654F">
            <w:pPr>
              <w:jc w:val="center"/>
            </w:pPr>
            <w:r>
              <w:rPr>
                <w:rFonts w:ascii="宋体" w:hAnsi="宋体" w:eastAsia="宋体"/>
                <w:sz w:val="16"/>
              </w:rPr>
              <w:t>99.81分</w:t>
            </w:r>
          </w:p>
        </w:tc>
      </w:tr>
    </w:tbl>
    <w:p w14:paraId="4177C60D">
      <w:r>
        <w:br w:type="page"/>
      </w:r>
    </w:p>
    <w:p w14:paraId="1083E577">
      <w:pPr>
        <w:spacing w:line="640" w:lineRule="exact"/>
        <w:ind w:firstLine="640"/>
        <w:jc w:val="both"/>
        <w:outlineLvl w:val="2"/>
      </w:pPr>
      <w:r>
        <w:rPr>
          <w:rFonts w:ascii="黑体" w:hAnsi="黑体" w:eastAsia="黑体"/>
          <w:sz w:val="32"/>
        </w:rPr>
        <w:t>十二、其他需说明的事项</w:t>
      </w:r>
    </w:p>
    <w:p w14:paraId="479B55F6">
      <w:pPr>
        <w:spacing w:line="580" w:lineRule="exact"/>
        <w:ind w:firstLine="640"/>
        <w:jc w:val="both"/>
      </w:pPr>
      <w:r>
        <w:rPr>
          <w:rFonts w:ascii="仿宋_GB2312" w:hAnsi="仿宋_GB2312" w:eastAsia="仿宋_GB2312"/>
          <w:b w:val="0"/>
          <w:sz w:val="32"/>
        </w:rPr>
        <w:t>本单位无其他需说明的事项。</w:t>
      </w:r>
    </w:p>
    <w:p w14:paraId="4EB69A64">
      <w:r>
        <w:br w:type="page"/>
      </w:r>
    </w:p>
    <w:p w14:paraId="08274192">
      <w:pPr>
        <w:spacing w:line="240" w:lineRule="auto"/>
        <w:jc w:val="center"/>
        <w:outlineLvl w:val="1"/>
      </w:pPr>
      <w:r>
        <w:rPr>
          <w:rFonts w:ascii="黑体" w:hAnsi="黑体" w:eastAsia="黑体"/>
          <w:sz w:val="32"/>
        </w:rPr>
        <w:t>第三部分 专业名词解释</w:t>
      </w:r>
    </w:p>
    <w:p w14:paraId="31DD7A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D063F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8C18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33226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857AE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EF00E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037BF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B91AF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1E072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E7A2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B6403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211D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4E794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E8A0F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2357158">
      <w:r>
        <w:br w:type="page"/>
      </w:r>
    </w:p>
    <w:p w14:paraId="2C0B2B46">
      <w:pPr>
        <w:spacing w:line="240" w:lineRule="auto"/>
        <w:jc w:val="center"/>
        <w:outlineLvl w:val="1"/>
      </w:pPr>
      <w:r>
        <w:rPr>
          <w:rFonts w:ascii="黑体" w:hAnsi="黑体" w:eastAsia="黑体"/>
          <w:sz w:val="32"/>
        </w:rPr>
        <w:t>第四部分 部门决算报表（见附表）</w:t>
      </w:r>
    </w:p>
    <w:p w14:paraId="3E868A47">
      <w:pPr>
        <w:spacing w:line="240" w:lineRule="auto"/>
        <w:ind w:firstLine="640"/>
        <w:jc w:val="both"/>
      </w:pPr>
      <w:r>
        <w:rPr>
          <w:rFonts w:ascii="仿宋_GB2312" w:hAnsi="仿宋_GB2312" w:eastAsia="仿宋_GB2312"/>
          <w:b w:val="0"/>
          <w:sz w:val="32"/>
        </w:rPr>
        <w:t>一、《收入支出决算总表》</w:t>
      </w:r>
    </w:p>
    <w:p w14:paraId="7885BDBE">
      <w:pPr>
        <w:spacing w:line="240" w:lineRule="auto"/>
        <w:ind w:firstLine="640"/>
        <w:jc w:val="both"/>
      </w:pPr>
      <w:r>
        <w:rPr>
          <w:rFonts w:ascii="仿宋_GB2312" w:hAnsi="仿宋_GB2312" w:eastAsia="仿宋_GB2312"/>
          <w:b w:val="0"/>
          <w:sz w:val="32"/>
        </w:rPr>
        <w:t>二、《收入决算表》</w:t>
      </w:r>
    </w:p>
    <w:p w14:paraId="58FED2A3">
      <w:pPr>
        <w:spacing w:line="240" w:lineRule="auto"/>
        <w:ind w:firstLine="640"/>
        <w:jc w:val="both"/>
      </w:pPr>
      <w:r>
        <w:rPr>
          <w:rFonts w:ascii="仿宋_GB2312" w:hAnsi="仿宋_GB2312" w:eastAsia="仿宋_GB2312"/>
          <w:b w:val="0"/>
          <w:sz w:val="32"/>
        </w:rPr>
        <w:t>三、《支出决算表》</w:t>
      </w:r>
    </w:p>
    <w:p w14:paraId="3F9679D7">
      <w:pPr>
        <w:spacing w:line="240" w:lineRule="auto"/>
        <w:ind w:firstLine="640"/>
        <w:jc w:val="both"/>
      </w:pPr>
      <w:r>
        <w:rPr>
          <w:rFonts w:ascii="仿宋_GB2312" w:hAnsi="仿宋_GB2312" w:eastAsia="仿宋_GB2312"/>
          <w:b w:val="0"/>
          <w:sz w:val="32"/>
        </w:rPr>
        <w:t>四、《财政拨款收入支出决算总表》</w:t>
      </w:r>
    </w:p>
    <w:p w14:paraId="221E9BA7">
      <w:pPr>
        <w:spacing w:line="240" w:lineRule="auto"/>
        <w:ind w:firstLine="640"/>
        <w:jc w:val="both"/>
      </w:pPr>
      <w:r>
        <w:rPr>
          <w:rFonts w:ascii="仿宋_GB2312" w:hAnsi="仿宋_GB2312" w:eastAsia="仿宋_GB2312"/>
          <w:b w:val="0"/>
          <w:sz w:val="32"/>
        </w:rPr>
        <w:t>五、《一般公共预算财政拨款支出决算表》</w:t>
      </w:r>
    </w:p>
    <w:p w14:paraId="78A24A13">
      <w:pPr>
        <w:spacing w:line="240" w:lineRule="auto"/>
        <w:ind w:firstLine="640"/>
        <w:jc w:val="both"/>
      </w:pPr>
      <w:r>
        <w:rPr>
          <w:rFonts w:ascii="仿宋_GB2312" w:hAnsi="仿宋_GB2312" w:eastAsia="仿宋_GB2312"/>
          <w:b w:val="0"/>
          <w:sz w:val="32"/>
        </w:rPr>
        <w:t>六、《一般公共预算财政拨款基本支出决算表》</w:t>
      </w:r>
    </w:p>
    <w:p w14:paraId="40914F9A">
      <w:pPr>
        <w:spacing w:line="240" w:lineRule="auto"/>
        <w:ind w:firstLine="640"/>
        <w:jc w:val="both"/>
      </w:pPr>
      <w:r>
        <w:rPr>
          <w:rFonts w:ascii="仿宋_GB2312" w:hAnsi="仿宋_GB2312" w:eastAsia="仿宋_GB2312"/>
          <w:b w:val="0"/>
          <w:sz w:val="32"/>
        </w:rPr>
        <w:t>七、《政府性基金预算财政拨款收入支出决算表》</w:t>
      </w:r>
    </w:p>
    <w:p w14:paraId="24B28C71">
      <w:pPr>
        <w:spacing w:line="240" w:lineRule="auto"/>
        <w:ind w:firstLine="640"/>
        <w:jc w:val="both"/>
      </w:pPr>
      <w:r>
        <w:rPr>
          <w:rFonts w:ascii="仿宋_GB2312" w:hAnsi="仿宋_GB2312" w:eastAsia="仿宋_GB2312"/>
          <w:b w:val="0"/>
          <w:sz w:val="32"/>
        </w:rPr>
        <w:t>八、《国有资本经营预算财政拨款收入支出决算表》</w:t>
      </w:r>
    </w:p>
    <w:p w14:paraId="5A4FB00E">
      <w:pPr>
        <w:spacing w:line="240" w:lineRule="auto"/>
        <w:ind w:firstLine="640"/>
        <w:jc w:val="both"/>
      </w:pPr>
      <w:r>
        <w:rPr>
          <w:rFonts w:ascii="仿宋_GB2312" w:hAnsi="仿宋_GB2312" w:eastAsia="仿宋_GB2312"/>
          <w:b w:val="0"/>
          <w:sz w:val="32"/>
        </w:rPr>
        <w:t>九、《财政拨款“三公”经费支出决算表》</w:t>
      </w:r>
    </w:p>
    <w:p w14:paraId="73861825">
      <w:pPr>
        <w:spacing w:line="240" w:lineRule="auto"/>
        <w:ind w:firstLine="640"/>
        <w:jc w:val="both"/>
      </w:pPr>
    </w:p>
    <w:p w14:paraId="1D4392CD">
      <w:pPr>
        <w:spacing w:line="240" w:lineRule="auto"/>
        <w:ind w:firstLine="640"/>
        <w:jc w:val="both"/>
      </w:pPr>
    </w:p>
    <w:p w14:paraId="20729CA3">
      <w:pPr>
        <w:spacing w:line="240" w:lineRule="auto"/>
        <w:ind w:firstLine="640"/>
        <w:jc w:val="both"/>
      </w:pPr>
    </w:p>
    <w:p w14:paraId="6AC5B1E0">
      <w:pPr>
        <w:spacing w:line="240" w:lineRule="auto"/>
        <w:ind w:firstLine="640"/>
        <w:jc w:val="both"/>
      </w:pPr>
    </w:p>
    <w:p w14:paraId="334E4CB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D8C6B8-E019-4B69-84BE-CD88598AAF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B98CDFB-FE25-4FB8-AC35-5D09F1C3BF96}"/>
  </w:font>
  <w:font w:name="仿宋_GB2312">
    <w:panose1 w:val="02010609030101010101"/>
    <w:charset w:val="86"/>
    <w:family w:val="modern"/>
    <w:pitch w:val="default"/>
    <w:sig w:usb0="00000001" w:usb1="080E0000" w:usb2="00000000" w:usb3="00000000" w:csb0="00040000" w:csb1="00000000"/>
    <w:embedRegular r:id="rId3" w:fontKey="{4232CA90-F4A1-4AC1-A859-3773B20F21BD}"/>
  </w:font>
  <w:font w:name="楷体_GB2312">
    <w:altName w:val="楷体"/>
    <w:panose1 w:val="00000000000000000000"/>
    <w:charset w:val="00"/>
    <w:family w:val="auto"/>
    <w:pitch w:val="default"/>
    <w:sig w:usb0="00000000" w:usb1="00000000" w:usb2="00000000" w:usb3="00000000" w:csb0="00000000" w:csb1="00000000"/>
    <w:embedRegular r:id="rId4" w:fontKey="{A9D39285-86D5-4FE8-A73D-AD6B45D5C6D8}"/>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BF3493"/>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87104"/>
    <w:rsid w:val="4F3F074E"/>
    <w:rsid w:val="50DB5F45"/>
    <w:rsid w:val="52F92565"/>
    <w:rsid w:val="543D17CB"/>
    <w:rsid w:val="55DA564E"/>
    <w:rsid w:val="56E07045"/>
    <w:rsid w:val="572B4BD6"/>
    <w:rsid w:val="583059FA"/>
    <w:rsid w:val="587E6212"/>
    <w:rsid w:val="5AFC6609"/>
    <w:rsid w:val="5D5269D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5478</Words>
  <Characters>6149</Characters>
  <Lines>0</Lines>
  <Paragraphs>0</Paragraphs>
  <TotalTime>10</TotalTime>
  <ScaleCrop>false</ScaleCrop>
  <LinksUpToDate>false</LinksUpToDate>
  <CharactersWithSpaces>6159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