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克孜勒苏柯尔克孜自治州人民政府驻乌鲁木齐办事处2024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8118101">
      <w:r>
        <w:br w:type="page"/>
      </w:r>
    </w:p>
    <w:p w14:paraId="3EBF7A0F">
      <w:pPr>
        <w:spacing w:line="640" w:lineRule="exact"/>
        <w:jc w:val="center"/>
        <w:outlineLvl w:val="1"/>
      </w:pPr>
      <w:r>
        <w:rPr>
          <w:rFonts w:ascii="黑体" w:hAnsi="黑体" w:eastAsia="黑体"/>
          <w:sz w:val="32"/>
        </w:rPr>
        <w:t>第一部分 单位概况</w:t>
      </w:r>
    </w:p>
    <w:p w14:paraId="3D4312D4">
      <w:pPr>
        <w:spacing w:line="640" w:lineRule="exact"/>
        <w:ind w:firstLine="640"/>
        <w:jc w:val="both"/>
        <w:outlineLvl w:val="2"/>
      </w:pPr>
      <w:r>
        <w:rPr>
          <w:rFonts w:ascii="黑体" w:hAnsi="黑体" w:eastAsia="黑体"/>
          <w:sz w:val="32"/>
        </w:rPr>
        <w:t>一、主要职能</w:t>
      </w:r>
    </w:p>
    <w:p w14:paraId="34FC5A07">
      <w:pPr>
        <w:spacing w:line="580" w:lineRule="exact"/>
        <w:ind w:firstLine="640"/>
        <w:jc w:val="both"/>
      </w:pPr>
      <w:r>
        <w:rPr>
          <w:rFonts w:ascii="仿宋_GB2312" w:hAnsi="仿宋_GB2312" w:eastAsia="仿宋_GB2312"/>
          <w:sz w:val="32"/>
        </w:rPr>
        <w:t>1.认真贯彻和落实自治州党委、人民政府重大决策和决定，积极做好对外联络工作。</w:t>
      </w:r>
    </w:p>
    <w:p w14:paraId="61457A48">
      <w:pPr>
        <w:spacing w:line="580" w:lineRule="exact"/>
        <w:ind w:firstLine="640"/>
        <w:jc w:val="both"/>
      </w:pPr>
      <w:r>
        <w:rPr>
          <w:rFonts w:ascii="仿宋_GB2312" w:hAnsi="仿宋_GB2312" w:eastAsia="仿宋_GB2312"/>
          <w:sz w:val="32"/>
        </w:rPr>
        <w:t>2.积极做好协调工作。负责克州党委、政府及自治州各部门与自治区党委、政府及各委、办、厅、局的工作联络，拓宽联络渠道，认真做好沟通工作。</w:t>
      </w:r>
    </w:p>
    <w:p w14:paraId="1DF7AD84">
      <w:pPr>
        <w:spacing w:line="580" w:lineRule="exact"/>
        <w:ind w:firstLine="640"/>
        <w:jc w:val="both"/>
      </w:pPr>
      <w:r>
        <w:rPr>
          <w:rFonts w:ascii="仿宋_GB2312" w:hAnsi="仿宋_GB2312" w:eastAsia="仿宋_GB2312"/>
          <w:sz w:val="32"/>
        </w:rPr>
        <w:t>3.广泛收集整理和反馈政治、经济等各类信息，为自治州领导的科学决策提供参考。</w:t>
      </w:r>
    </w:p>
    <w:p w14:paraId="180686ED">
      <w:pPr>
        <w:spacing w:line="580" w:lineRule="exact"/>
        <w:ind w:firstLine="640"/>
        <w:jc w:val="both"/>
      </w:pPr>
      <w:r>
        <w:rPr>
          <w:rFonts w:ascii="仿宋_GB2312" w:hAnsi="仿宋_GB2312" w:eastAsia="仿宋_GB2312"/>
          <w:sz w:val="32"/>
        </w:rPr>
        <w:t>4.充分发挥办事处的“窗口”桥梁作用，积极为克州经济建设牵线搭桥。</w:t>
      </w:r>
    </w:p>
    <w:p w14:paraId="642F8817">
      <w:pPr>
        <w:spacing w:line="580" w:lineRule="exact"/>
        <w:ind w:firstLine="640"/>
        <w:jc w:val="both"/>
      </w:pPr>
      <w:r>
        <w:rPr>
          <w:rFonts w:ascii="仿宋_GB2312" w:hAnsi="仿宋_GB2312" w:eastAsia="仿宋_GB2312"/>
          <w:sz w:val="32"/>
        </w:rPr>
        <w:t>5.认真做好区内外客人和自治州来乌的领导及出差人员的接待服务工作。</w:t>
      </w:r>
    </w:p>
    <w:p w14:paraId="092F15D8">
      <w:pPr>
        <w:spacing w:line="580" w:lineRule="exact"/>
        <w:ind w:firstLine="640"/>
        <w:jc w:val="both"/>
      </w:pPr>
      <w:r>
        <w:rPr>
          <w:rFonts w:ascii="仿宋_GB2312" w:hAnsi="仿宋_GB2312" w:eastAsia="仿宋_GB2312"/>
          <w:sz w:val="32"/>
        </w:rPr>
        <w:t>6.负责办事处宾馆的宏观管理工作，指导宾馆按现代企业制度运营，并使其</w:t>
      </w:r>
      <w:r>
        <w:rPr>
          <w:rFonts w:hint="eastAsia" w:ascii="仿宋_GB2312" w:hAnsi="仿宋_GB2312" w:eastAsia="仿宋_GB2312"/>
          <w:sz w:val="32"/>
          <w:lang w:eastAsia="zh-CN"/>
        </w:rPr>
        <w:t>制度化、规范化、程序化</w:t>
      </w:r>
      <w:r>
        <w:rPr>
          <w:rFonts w:ascii="仿宋_GB2312" w:hAnsi="仿宋_GB2312" w:eastAsia="仿宋_GB2312"/>
          <w:sz w:val="32"/>
        </w:rPr>
        <w:t>，更好</w:t>
      </w:r>
      <w:r>
        <w:rPr>
          <w:rFonts w:hint="eastAsia" w:ascii="仿宋_GB2312" w:hAnsi="仿宋_GB2312" w:eastAsia="仿宋_GB2312"/>
          <w:sz w:val="32"/>
          <w:lang w:eastAsia="zh-CN"/>
        </w:rPr>
        <w:t>地</w:t>
      </w:r>
      <w:r>
        <w:rPr>
          <w:rFonts w:ascii="仿宋_GB2312" w:hAnsi="仿宋_GB2312" w:eastAsia="仿宋_GB2312"/>
          <w:sz w:val="32"/>
        </w:rPr>
        <w:t>服务于克州各族人民。</w:t>
      </w:r>
    </w:p>
    <w:p w14:paraId="4D7C982B">
      <w:pPr>
        <w:spacing w:line="580" w:lineRule="exact"/>
        <w:ind w:firstLine="640"/>
        <w:jc w:val="both"/>
      </w:pPr>
      <w:r>
        <w:rPr>
          <w:rFonts w:ascii="仿宋_GB2312" w:hAnsi="仿宋_GB2312" w:eastAsia="仿宋_GB2312"/>
          <w:sz w:val="32"/>
        </w:rPr>
        <w:t>7.负责驻乌流动人口工作站及驻京联络处流动人口的管理，协调工作，上访人员的处理协调工作。</w:t>
      </w:r>
    </w:p>
    <w:p w14:paraId="1250A9F7">
      <w:pPr>
        <w:spacing w:line="580" w:lineRule="exact"/>
        <w:ind w:firstLine="640"/>
        <w:jc w:val="both"/>
      </w:pPr>
      <w:r>
        <w:rPr>
          <w:rFonts w:ascii="仿宋_GB2312" w:hAnsi="仿宋_GB2312" w:eastAsia="仿宋_GB2312"/>
          <w:sz w:val="32"/>
        </w:rPr>
        <w:t>8.承办自治州党委、人民政府交办的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5F73FCE1">
      <w:pPr>
        <w:spacing w:line="640" w:lineRule="exact"/>
        <w:ind w:firstLine="640"/>
        <w:jc w:val="both"/>
        <w:outlineLvl w:val="2"/>
      </w:pPr>
      <w:r>
        <w:rPr>
          <w:rFonts w:ascii="黑体" w:hAnsi="黑体" w:eastAsia="黑体"/>
          <w:sz w:val="32"/>
        </w:rPr>
        <w:t>二、机构设置及人员情况</w:t>
      </w:r>
    </w:p>
    <w:p w14:paraId="7ABB9C72">
      <w:pPr>
        <w:spacing w:line="580" w:lineRule="exact"/>
        <w:ind w:firstLine="640"/>
        <w:jc w:val="both"/>
      </w:pPr>
      <w:r>
        <w:rPr>
          <w:rFonts w:ascii="仿宋_GB2312" w:hAnsi="仿宋_GB2312" w:eastAsia="仿宋_GB2312"/>
          <w:sz w:val="32"/>
        </w:rPr>
        <w:t>克孜勒苏柯尔克孜自治州人民政府驻乌鲁木齐办事处2024年度，实有人数18人，其中：在职人员12人，增加0人；离休人员0人，增加0人；退休人员6人,增加0人。</w:t>
      </w:r>
    </w:p>
    <w:p w14:paraId="175A6F9C">
      <w:pPr>
        <w:spacing w:line="580" w:lineRule="exact"/>
        <w:ind w:firstLine="640"/>
        <w:jc w:val="both"/>
      </w:pPr>
      <w:r>
        <w:rPr>
          <w:rFonts w:ascii="仿宋_GB2312" w:hAnsi="仿宋_GB2312" w:eastAsia="仿宋_GB2312"/>
          <w:sz w:val="32"/>
        </w:rPr>
        <w:t>克孜勒苏柯尔克孜自治州人民政府驻乌鲁木齐办事处无下属预算单位，下设4个科室，分别是：办公室、财务科、接待科、保卫物业科。</w:t>
      </w:r>
    </w:p>
    <w:p w14:paraId="01783C3B">
      <w:r>
        <w:br w:type="page"/>
      </w:r>
    </w:p>
    <w:p w14:paraId="5BD71072">
      <w:pPr>
        <w:spacing w:line="240" w:lineRule="auto"/>
        <w:jc w:val="center"/>
        <w:outlineLvl w:val="1"/>
      </w:pPr>
      <w:r>
        <w:rPr>
          <w:rFonts w:ascii="黑体" w:hAnsi="黑体" w:eastAsia="黑体"/>
          <w:sz w:val="32"/>
        </w:rPr>
        <w:t>第二部分 部门决算情况说明</w:t>
      </w:r>
    </w:p>
    <w:p w14:paraId="5E6B5ED5">
      <w:pPr>
        <w:spacing w:line="640" w:lineRule="exact"/>
        <w:ind w:firstLine="640"/>
        <w:jc w:val="both"/>
        <w:outlineLvl w:val="2"/>
      </w:pPr>
      <w:r>
        <w:rPr>
          <w:rFonts w:ascii="黑体" w:hAnsi="黑体" w:eastAsia="黑体"/>
          <w:sz w:val="32"/>
        </w:rPr>
        <w:t>一、收入支出决算总体情况说明</w:t>
      </w:r>
    </w:p>
    <w:p w14:paraId="557C4C21">
      <w:pPr>
        <w:spacing w:line="580" w:lineRule="exact"/>
        <w:ind w:firstLine="640"/>
        <w:jc w:val="both"/>
      </w:pPr>
      <w:r>
        <w:rPr>
          <w:rFonts w:ascii="仿宋_GB2312" w:hAnsi="仿宋_GB2312" w:eastAsia="仿宋_GB2312"/>
          <w:b/>
          <w:sz w:val="32"/>
        </w:rPr>
        <w:t>2024年度收入总计467.92万元，</w:t>
      </w:r>
      <w:r>
        <w:rPr>
          <w:rFonts w:ascii="仿宋_GB2312" w:hAnsi="仿宋_GB2312" w:eastAsia="仿宋_GB2312"/>
          <w:b w:val="0"/>
          <w:sz w:val="32"/>
        </w:rPr>
        <w:t>其中：本年收入合计451.33万元，使用非财政拨款结余（含专用结余）0.00万元，年初结转和结余16.58万元。</w:t>
      </w:r>
    </w:p>
    <w:p w14:paraId="5DDE959B">
      <w:pPr>
        <w:spacing w:line="580" w:lineRule="exact"/>
        <w:ind w:firstLine="640"/>
        <w:jc w:val="both"/>
      </w:pPr>
      <w:r>
        <w:rPr>
          <w:rFonts w:ascii="仿宋_GB2312" w:hAnsi="仿宋_GB2312" w:eastAsia="仿宋_GB2312"/>
          <w:b/>
          <w:sz w:val="32"/>
        </w:rPr>
        <w:t>2024年度支出总计467.92万元，</w:t>
      </w:r>
      <w:r>
        <w:rPr>
          <w:rFonts w:ascii="仿宋_GB2312" w:hAnsi="仿宋_GB2312" w:eastAsia="仿宋_GB2312"/>
          <w:b w:val="0"/>
          <w:sz w:val="32"/>
        </w:rPr>
        <w:t>其中：本年支出合计452.97万元，结余分配0.00万元，年末结转和结余14.94万元。</w:t>
      </w:r>
    </w:p>
    <w:p w14:paraId="29098CFD">
      <w:pPr>
        <w:spacing w:line="580" w:lineRule="exact"/>
        <w:ind w:firstLine="640"/>
        <w:jc w:val="both"/>
      </w:pPr>
      <w:r>
        <w:rPr>
          <w:rFonts w:ascii="仿宋_GB2312" w:hAnsi="仿宋_GB2312" w:eastAsia="仿宋_GB2312"/>
          <w:b w:val="0"/>
          <w:sz w:val="32"/>
        </w:rPr>
        <w:t>收入支出总体与上年相比，增加44.80万元，增长10.59%，主要原因是：本年在职人员工资调增，社保、公积金基数调增，人员经费增加；本年新增流动人口工作站工作经费。</w:t>
      </w:r>
    </w:p>
    <w:p w14:paraId="5DD988D7">
      <w:pPr>
        <w:spacing w:line="640" w:lineRule="exact"/>
        <w:ind w:firstLine="640"/>
        <w:jc w:val="both"/>
        <w:outlineLvl w:val="2"/>
      </w:pPr>
      <w:r>
        <w:rPr>
          <w:rFonts w:ascii="黑体" w:hAnsi="黑体" w:eastAsia="黑体"/>
          <w:sz w:val="32"/>
        </w:rPr>
        <w:t>二、收入决算情况说明</w:t>
      </w:r>
    </w:p>
    <w:p w14:paraId="3A25B6A5">
      <w:pPr>
        <w:spacing w:line="580" w:lineRule="exact"/>
        <w:ind w:firstLine="640"/>
        <w:jc w:val="both"/>
      </w:pPr>
      <w:r>
        <w:rPr>
          <w:rFonts w:ascii="仿宋_GB2312" w:hAnsi="仿宋_GB2312" w:eastAsia="仿宋_GB2312"/>
          <w:b/>
          <w:sz w:val="32"/>
        </w:rPr>
        <w:t>本年收入451.33万元，</w:t>
      </w:r>
      <w:r>
        <w:rPr>
          <w:rFonts w:ascii="仿宋_GB2312" w:hAnsi="仿宋_GB2312" w:eastAsia="仿宋_GB2312"/>
          <w:b w:val="0"/>
          <w:sz w:val="32"/>
        </w:rPr>
        <w:t>其中：财政拨款收入377.69万元，占83.68%；上级补助收入0.00万元，占0.00%；事业收入0.00万元，占0.00%；经营收入64.31万元，占14.25%；附属单位上缴收入0.00万元，占0.00%；其他收入9.33万元，占2.07%。</w:t>
      </w:r>
    </w:p>
    <w:p w14:paraId="0CA50877">
      <w:pPr>
        <w:spacing w:line="640" w:lineRule="exact"/>
        <w:ind w:firstLine="640"/>
        <w:jc w:val="both"/>
        <w:outlineLvl w:val="2"/>
      </w:pPr>
      <w:r>
        <w:rPr>
          <w:rFonts w:ascii="黑体" w:hAnsi="黑体" w:eastAsia="黑体"/>
          <w:sz w:val="32"/>
        </w:rPr>
        <w:t>三、支出决算情况说明</w:t>
      </w:r>
    </w:p>
    <w:p w14:paraId="51112658">
      <w:pPr>
        <w:spacing w:line="580" w:lineRule="exact"/>
        <w:ind w:firstLine="640"/>
        <w:jc w:val="both"/>
      </w:pPr>
      <w:r>
        <w:rPr>
          <w:rFonts w:ascii="仿宋_GB2312" w:hAnsi="仿宋_GB2312" w:eastAsia="仿宋_GB2312"/>
          <w:b/>
          <w:sz w:val="32"/>
        </w:rPr>
        <w:t>本年支出452.97万元，</w:t>
      </w:r>
      <w:r>
        <w:rPr>
          <w:rFonts w:ascii="仿宋_GB2312" w:hAnsi="仿宋_GB2312" w:eastAsia="仿宋_GB2312"/>
          <w:b w:val="0"/>
          <w:sz w:val="32"/>
        </w:rPr>
        <w:t>其中：基本支出270.33万元，占59.68%；项目支出118.33万元，占26.12%；上缴上级支出0.00万元，占0.00%；经营支出64.31万元，占14.20%；对附属单位补助支出0.00万元，占0.00%。</w:t>
      </w:r>
    </w:p>
    <w:p w14:paraId="07985931">
      <w:pPr>
        <w:spacing w:line="640" w:lineRule="exact"/>
        <w:ind w:firstLine="640"/>
        <w:jc w:val="both"/>
        <w:outlineLvl w:val="2"/>
      </w:pPr>
      <w:r>
        <w:rPr>
          <w:rFonts w:ascii="黑体" w:hAnsi="黑体" w:eastAsia="黑体"/>
          <w:sz w:val="32"/>
        </w:rPr>
        <w:t>四、财政拨款收入支出决算总体情况说明</w:t>
      </w:r>
    </w:p>
    <w:p w14:paraId="3B19F564">
      <w:pPr>
        <w:spacing w:line="580" w:lineRule="exact"/>
        <w:ind w:firstLine="640"/>
        <w:jc w:val="both"/>
      </w:pPr>
      <w:r>
        <w:rPr>
          <w:rFonts w:ascii="仿宋_GB2312" w:hAnsi="仿宋_GB2312" w:eastAsia="仿宋_GB2312"/>
          <w:b/>
          <w:sz w:val="32"/>
        </w:rPr>
        <w:t>2024年度财政拨款收入总计377.69万元，</w:t>
      </w:r>
      <w:r>
        <w:rPr>
          <w:rFonts w:ascii="仿宋_GB2312" w:hAnsi="仿宋_GB2312" w:eastAsia="仿宋_GB2312"/>
          <w:b w:val="0"/>
          <w:sz w:val="32"/>
        </w:rPr>
        <w:t>其中：年初财政拨款结转和结余0.00万元，本年财政拨款收入377.69万元。</w:t>
      </w:r>
      <w:r>
        <w:rPr>
          <w:rFonts w:ascii="仿宋_GB2312" w:hAnsi="仿宋_GB2312" w:eastAsia="仿宋_GB2312"/>
          <w:b/>
          <w:sz w:val="32"/>
        </w:rPr>
        <w:t>财政拨款支出总计377.69万元，</w:t>
      </w:r>
      <w:r>
        <w:rPr>
          <w:rFonts w:ascii="仿宋_GB2312" w:hAnsi="仿宋_GB2312" w:eastAsia="仿宋_GB2312"/>
          <w:b w:val="0"/>
          <w:sz w:val="32"/>
        </w:rPr>
        <w:t>其中：年末财政拨款结转和结余0.00万元，本年财政拨款支出377.69万元。</w:t>
      </w:r>
    </w:p>
    <w:p w14:paraId="09632F0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减少6.28万元，下降1.64%，主要原因是：本年办事处工作经费项目较上年减少。</w:t>
      </w:r>
      <w:r>
        <w:rPr>
          <w:rFonts w:ascii="仿宋_GB2312" w:hAnsi="仿宋_GB2312" w:eastAsia="仿宋_GB2312"/>
          <w:b/>
          <w:sz w:val="32"/>
        </w:rPr>
        <w:t>与年初预算相比，</w:t>
      </w:r>
      <w:r>
        <w:rPr>
          <w:rFonts w:ascii="仿宋_GB2312" w:hAnsi="仿宋_GB2312" w:eastAsia="仿宋_GB2312"/>
          <w:b w:val="0"/>
          <w:sz w:val="32"/>
        </w:rPr>
        <w:t>年初预算数371.99万元，决算数377.69万元，预决算差异率1.53%，主要原因是：年中追加人员工资、社保、公积金基数调增部分资金，导致预决算存在差异。</w:t>
      </w:r>
    </w:p>
    <w:p w14:paraId="320E0A22">
      <w:pPr>
        <w:spacing w:line="640" w:lineRule="exact"/>
        <w:ind w:firstLine="640"/>
        <w:jc w:val="both"/>
        <w:outlineLvl w:val="2"/>
      </w:pPr>
      <w:r>
        <w:rPr>
          <w:rFonts w:ascii="黑体" w:hAnsi="黑体" w:eastAsia="黑体"/>
          <w:sz w:val="32"/>
        </w:rPr>
        <w:t>五、一般公共预算财政拨款支出决算情况说明</w:t>
      </w:r>
    </w:p>
    <w:p w14:paraId="1F5D8DDB">
      <w:pPr>
        <w:spacing w:line="640" w:lineRule="exact"/>
        <w:ind w:firstLine="640"/>
        <w:jc w:val="both"/>
        <w:outlineLvl w:val="3"/>
      </w:pPr>
      <w:r>
        <w:rPr>
          <w:rFonts w:ascii="楷体_GB2312" w:hAnsi="楷体_GB2312" w:eastAsia="楷体_GB2312"/>
          <w:b/>
          <w:sz w:val="32"/>
        </w:rPr>
        <w:t>（一）一般公共预算财政拨款支出决算总体情况</w:t>
      </w:r>
    </w:p>
    <w:p w14:paraId="1F24DE9F">
      <w:pPr>
        <w:spacing w:line="580" w:lineRule="exact"/>
        <w:ind w:firstLine="640"/>
        <w:jc w:val="both"/>
      </w:pPr>
      <w:r>
        <w:rPr>
          <w:rFonts w:ascii="仿宋_GB2312" w:hAnsi="仿宋_GB2312" w:eastAsia="仿宋_GB2312"/>
          <w:b/>
          <w:sz w:val="32"/>
        </w:rPr>
        <w:t>2024年度一般公共预算财政拨款支出377.69万元，</w:t>
      </w:r>
      <w:r>
        <w:rPr>
          <w:rFonts w:ascii="仿宋_GB2312" w:hAnsi="仿宋_GB2312" w:eastAsia="仿宋_GB2312"/>
          <w:b w:val="0"/>
          <w:sz w:val="32"/>
        </w:rPr>
        <w:t>占本年支出合计的83.38%。</w:t>
      </w:r>
      <w:r>
        <w:rPr>
          <w:rFonts w:ascii="仿宋_GB2312" w:hAnsi="仿宋_GB2312" w:eastAsia="仿宋_GB2312"/>
          <w:b/>
          <w:sz w:val="32"/>
        </w:rPr>
        <w:t>与上年相比，</w:t>
      </w:r>
      <w:r>
        <w:rPr>
          <w:rFonts w:ascii="仿宋_GB2312" w:hAnsi="仿宋_GB2312" w:eastAsia="仿宋_GB2312"/>
          <w:b w:val="0"/>
          <w:sz w:val="32"/>
        </w:rPr>
        <w:t>减少6.28万元，下降1.64%，主要原因是：本年办事处工作经费项目较上年减少。</w:t>
      </w:r>
      <w:r>
        <w:rPr>
          <w:rFonts w:ascii="仿宋_GB2312" w:hAnsi="仿宋_GB2312" w:eastAsia="仿宋_GB2312"/>
          <w:b/>
          <w:sz w:val="32"/>
        </w:rPr>
        <w:t>与年初预算相比,</w:t>
      </w:r>
      <w:r>
        <w:rPr>
          <w:rFonts w:ascii="仿宋_GB2312" w:hAnsi="仿宋_GB2312" w:eastAsia="仿宋_GB2312"/>
          <w:b w:val="0"/>
          <w:sz w:val="32"/>
        </w:rPr>
        <w:t>年初预算数371.99万元，决算数377.69万元，预决算差异率1.53%，主要原因是：年中追加人员工资、社保、公积金基数调增部分资金，导致预决算存在差异。</w:t>
      </w:r>
    </w:p>
    <w:p w14:paraId="50C9CC19">
      <w:pPr>
        <w:spacing w:line="640" w:lineRule="exact"/>
        <w:ind w:firstLine="640"/>
        <w:jc w:val="both"/>
        <w:outlineLvl w:val="3"/>
      </w:pPr>
      <w:r>
        <w:rPr>
          <w:rFonts w:ascii="楷体_GB2312" w:hAnsi="楷体_GB2312" w:eastAsia="楷体_GB2312"/>
          <w:b/>
          <w:sz w:val="32"/>
        </w:rPr>
        <w:t>（二）一般公共预算财政拨款支出决算结构情况</w:t>
      </w:r>
    </w:p>
    <w:p w14:paraId="1CB84696">
      <w:pPr>
        <w:spacing w:line="580" w:lineRule="exact"/>
        <w:ind w:firstLine="640"/>
        <w:jc w:val="both"/>
      </w:pPr>
      <w:r>
        <w:rPr>
          <w:rFonts w:ascii="仿宋_GB2312" w:hAnsi="仿宋_GB2312" w:eastAsia="仿宋_GB2312"/>
          <w:b w:val="0"/>
          <w:sz w:val="32"/>
        </w:rPr>
        <w:t>1.一般公共服务支出(类)341.26万元,占90.35%。</w:t>
      </w:r>
    </w:p>
    <w:p w14:paraId="5604D034">
      <w:pPr>
        <w:spacing w:line="580" w:lineRule="exact"/>
        <w:ind w:firstLine="640"/>
        <w:jc w:val="both"/>
      </w:pPr>
      <w:r>
        <w:rPr>
          <w:rFonts w:ascii="仿宋_GB2312" w:hAnsi="仿宋_GB2312" w:eastAsia="仿宋_GB2312"/>
          <w:b w:val="0"/>
          <w:sz w:val="32"/>
        </w:rPr>
        <w:t>2.社会保障和就业支出(类)36.43万元,占9.65%。</w:t>
      </w:r>
    </w:p>
    <w:p w14:paraId="29A2B178">
      <w:pPr>
        <w:spacing w:line="640" w:lineRule="exact"/>
        <w:ind w:firstLine="640"/>
        <w:jc w:val="both"/>
        <w:outlineLvl w:val="3"/>
      </w:pPr>
      <w:r>
        <w:rPr>
          <w:rFonts w:ascii="楷体_GB2312" w:hAnsi="楷体_GB2312" w:eastAsia="楷体_GB2312"/>
          <w:b/>
          <w:sz w:val="32"/>
        </w:rPr>
        <w:t>（三）一般公共预算财政拨款支出决算具体情况</w:t>
      </w:r>
    </w:p>
    <w:p w14:paraId="1CDD421B">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1.一般公共服务支出(类)政府办公厅（室）及相关机构事务(款)行政运行(项):支出决算数为226.28万元，比上年决算减少4.20万元，下降1.82%,主要原因是：本年减少办事处办公经费、维修费。</w:t>
      </w:r>
    </w:p>
    <w:p w14:paraId="7F86E3FA">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114.98万元，比上年决算减少5.02万元，下降4.18%,主要原因是：本年办事处工作经费项目较上年减少。</w:t>
      </w:r>
    </w:p>
    <w:p w14:paraId="588CC4F0">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3.社会保障和就业支出(类)行政事业单位养老支出(款)行政单位离退休(项):支出决算数为10.71万元，比上年决算增加2.14万元，增长24.97%,主要原因是：本年退休人员绩效增加，故支出增加。</w:t>
      </w:r>
    </w:p>
    <w:p w14:paraId="4DC146C7">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25.71万元，比上年决算增加0.79万元，增长3.17%,主要原因是：本年在职人员工资基数调增，养老缴费基数上涨，相应支出增加。</w:t>
      </w:r>
    </w:p>
    <w:p w14:paraId="105E1CBC">
      <w:pPr>
        <w:spacing w:line="640" w:lineRule="exact"/>
        <w:ind w:firstLine="640"/>
        <w:jc w:val="both"/>
        <w:outlineLvl w:val="2"/>
      </w:pPr>
      <w:r>
        <w:rPr>
          <w:rFonts w:ascii="黑体" w:hAnsi="黑体" w:eastAsia="黑体"/>
          <w:sz w:val="32"/>
        </w:rPr>
        <w:t>六、一般公共预算财政拨款基本支出决算情况说明</w:t>
      </w:r>
    </w:p>
    <w:p w14:paraId="6C7304CD">
      <w:pPr>
        <w:spacing w:line="580" w:lineRule="exact"/>
        <w:ind w:firstLine="640"/>
        <w:jc w:val="both"/>
      </w:pPr>
      <w:r>
        <w:rPr>
          <w:rFonts w:ascii="仿宋_GB2312" w:hAnsi="仿宋_GB2312" w:eastAsia="仿宋_GB2312"/>
          <w:b w:val="0"/>
          <w:sz w:val="32"/>
        </w:rPr>
        <w:t>2024年度一般公共预算财政拨款基本支出262.71万元，其中：</w:t>
      </w:r>
      <w:r>
        <w:rPr>
          <w:rFonts w:ascii="仿宋_GB2312" w:hAnsi="仿宋_GB2312" w:eastAsia="仿宋_GB2312"/>
          <w:b/>
          <w:sz w:val="32"/>
        </w:rPr>
        <w:t>人员经费258.71万元，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包括：基本工资、津贴补贴、奖金、机关事业单位基本养老保险缴费、职工基本医疗保险缴费、其他社会保障缴费、住房公积金、其他工资福利支出、退休费、奖励金。</w:t>
      </w:r>
    </w:p>
    <w:p w14:paraId="3A557FD3">
      <w:pPr>
        <w:spacing w:line="580" w:lineRule="exact"/>
        <w:ind w:firstLine="640"/>
        <w:jc w:val="both"/>
      </w:pPr>
      <w:r>
        <w:rPr>
          <w:rFonts w:ascii="仿宋_GB2312" w:hAnsi="仿宋_GB2312" w:eastAsia="仿宋_GB2312"/>
          <w:b/>
          <w:sz w:val="32"/>
        </w:rPr>
        <w:t>公用经费3.99万元，</w:t>
      </w:r>
      <w:r>
        <w:rPr>
          <w:rFonts w:ascii="仿宋_GB2312" w:hAnsi="仿宋_GB2312" w:eastAsia="仿宋_GB2312"/>
          <w:b w:val="0"/>
          <w:sz w:val="32"/>
        </w:rPr>
        <w:t>包括：工会经费、福利费、税金及附加费用。</w:t>
      </w:r>
    </w:p>
    <w:p w14:paraId="75A44842">
      <w:pPr>
        <w:spacing w:line="640" w:lineRule="exact"/>
        <w:ind w:firstLine="640"/>
        <w:jc w:val="both"/>
        <w:outlineLvl w:val="2"/>
      </w:pPr>
      <w:r>
        <w:rPr>
          <w:rFonts w:ascii="黑体" w:hAnsi="黑体" w:eastAsia="黑体"/>
          <w:sz w:val="32"/>
        </w:rPr>
        <w:t>七、政府性基金预算财政拨款收入支出决算情况说明</w:t>
      </w:r>
    </w:p>
    <w:p w14:paraId="329E33C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80F3962">
      <w:pPr>
        <w:spacing w:line="640" w:lineRule="exact"/>
        <w:ind w:firstLine="640"/>
        <w:jc w:val="both"/>
        <w:outlineLvl w:val="2"/>
      </w:pPr>
      <w:r>
        <w:rPr>
          <w:rFonts w:ascii="黑体" w:hAnsi="黑体" w:eastAsia="黑体"/>
          <w:sz w:val="32"/>
        </w:rPr>
        <w:t>八、国有资本经营预算财政拨款收入支出决算情况说明</w:t>
      </w:r>
    </w:p>
    <w:p w14:paraId="0B94241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194F530">
      <w:pPr>
        <w:spacing w:line="640" w:lineRule="exact"/>
        <w:ind w:firstLine="640"/>
        <w:jc w:val="both"/>
        <w:outlineLvl w:val="2"/>
      </w:pPr>
      <w:r>
        <w:rPr>
          <w:rFonts w:ascii="黑体" w:hAnsi="黑体" w:eastAsia="黑体"/>
          <w:sz w:val="32"/>
        </w:rPr>
        <w:t>九、财政拨款“三公”经费支出决算情况说明</w:t>
      </w:r>
    </w:p>
    <w:p w14:paraId="0EAF8AB9">
      <w:pPr>
        <w:spacing w:line="580" w:lineRule="exact"/>
        <w:ind w:firstLine="640"/>
        <w:jc w:val="both"/>
      </w:pPr>
      <w:r>
        <w:rPr>
          <w:rFonts w:ascii="仿宋_GB2312" w:hAnsi="仿宋_GB2312" w:eastAsia="仿宋_GB2312"/>
          <w:b/>
          <w:sz w:val="32"/>
        </w:rPr>
        <w:t>2024年度财政拨款“三公”经费支出20.00万元，</w:t>
      </w:r>
      <w:r>
        <w:rPr>
          <w:rFonts w:ascii="仿宋_GB2312" w:hAnsi="仿宋_GB2312" w:eastAsia="仿宋_GB2312"/>
          <w:b w:val="0"/>
          <w:sz w:val="32"/>
        </w:rPr>
        <w:t>比上年减少0.41万元，下降2.01%，主要原因是：严格落实中央八项规定精神，厉行节约，减少公务接待费。其中：因公出国（境）费支出0.00万元，占0.00%，比上年增加0.00万元，增长0.00%，主要原因是：2023年与2024年均未安排因公出国（境）费支出。公务用车购置及运行维护费支出20.00万元，占100.00%，比上年增加1.63万元，增长8.87%，主要原因是：接待来乌人员用车次数及业务量增加，车辆燃油费增加。公务接待费支出0.00万元，占0.00%，比上年减少2.04万元，下降100.00%，主要原因是：严格落实中央八项规定精神，厉行节约，减少公务接待费。</w:t>
      </w:r>
    </w:p>
    <w:p w14:paraId="1640BB0B">
      <w:pPr>
        <w:spacing w:line="580" w:lineRule="exact"/>
        <w:ind w:firstLine="640"/>
        <w:jc w:val="both"/>
      </w:pPr>
      <w:r>
        <w:rPr>
          <w:rFonts w:ascii="仿宋_GB2312" w:hAnsi="仿宋_GB2312" w:eastAsia="仿宋_GB2312"/>
          <w:b/>
          <w:sz w:val="32"/>
        </w:rPr>
        <w:t>具体情况如下：</w:t>
      </w:r>
    </w:p>
    <w:p w14:paraId="7011AF8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1FAD53F">
      <w:pPr>
        <w:spacing w:line="580" w:lineRule="exact"/>
        <w:ind w:firstLine="640"/>
        <w:jc w:val="both"/>
      </w:pPr>
      <w:r>
        <w:rPr>
          <w:rFonts w:ascii="仿宋_GB2312" w:hAnsi="仿宋_GB2312" w:eastAsia="仿宋_GB2312"/>
          <w:b w:val="0"/>
          <w:sz w:val="32"/>
        </w:rPr>
        <w:t>公务用车购置及运行维护费20.00万元，其中：公务用车购置费0.00万元，公务用车运行维护费20.00万元。公务用车运行维护费开支内容包括车辆燃油费、车辆维修保养费、车辆保险费。公务用车购置数0辆，公务用车保有量6辆。国有资产占用情况中固定资产车辆6辆，与公务用车保有量差异原因是：本单位固定资产车辆与公务用车保有量一致无差异。</w:t>
      </w:r>
    </w:p>
    <w:p w14:paraId="47AF23C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E99425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20.00万元，决算数20.00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20.00万元，决算数20.00万元，预决算差异率0.00%，主要原因是：严格按照预算执行，预决算无差异。公务接待费全年预算数0.00万元，决算数0.00万元，预决算差异率0.00%，主要原因是：本单位无公务接待费。</w:t>
      </w:r>
    </w:p>
    <w:p w14:paraId="7C3805B0">
      <w:pPr>
        <w:spacing w:line="640" w:lineRule="exact"/>
        <w:ind w:firstLine="640"/>
        <w:jc w:val="both"/>
        <w:outlineLvl w:val="2"/>
      </w:pPr>
      <w:r>
        <w:rPr>
          <w:rFonts w:ascii="黑体" w:hAnsi="黑体" w:eastAsia="黑体"/>
          <w:sz w:val="32"/>
        </w:rPr>
        <w:t>十、其他重要事项的情况说明</w:t>
      </w:r>
    </w:p>
    <w:p w14:paraId="13C8CCB0">
      <w:pPr>
        <w:spacing w:line="640" w:lineRule="exact"/>
        <w:ind w:firstLine="640"/>
        <w:jc w:val="both"/>
        <w:outlineLvl w:val="3"/>
      </w:pPr>
      <w:r>
        <w:rPr>
          <w:rFonts w:ascii="楷体_GB2312" w:hAnsi="楷体_GB2312" w:eastAsia="楷体_GB2312"/>
          <w:b/>
          <w:sz w:val="32"/>
        </w:rPr>
        <w:t>（一）机关运行经费及公用经费支出情况</w:t>
      </w:r>
    </w:p>
    <w:p w14:paraId="7A43FE5D">
      <w:pPr>
        <w:spacing w:line="580" w:lineRule="exact"/>
        <w:ind w:firstLine="640"/>
        <w:jc w:val="both"/>
      </w:pPr>
      <w:r>
        <w:rPr>
          <w:rFonts w:ascii="仿宋_GB2312" w:hAnsi="仿宋_GB2312" w:eastAsia="仿宋_GB2312"/>
          <w:b w:val="0"/>
          <w:sz w:val="32"/>
        </w:rPr>
        <w:t>2024年度克孜勒苏柯尔克孜自治州人民政府驻乌鲁木齐办事处（行政单位和参照公务员法管理事业单位）机关运行经费支出3.99万元，比上年减少8.49万元，下降68.03%，主要原因是：严格控制公用经费，合理节约办公用品，杜绝浪费一切办公用品。</w:t>
      </w:r>
    </w:p>
    <w:p w14:paraId="03E65EC6">
      <w:pPr>
        <w:spacing w:line="640" w:lineRule="exact"/>
        <w:ind w:firstLine="640"/>
        <w:jc w:val="both"/>
        <w:outlineLvl w:val="3"/>
      </w:pPr>
      <w:r>
        <w:rPr>
          <w:rFonts w:ascii="楷体_GB2312" w:hAnsi="楷体_GB2312" w:eastAsia="楷体_GB2312"/>
          <w:b/>
          <w:sz w:val="32"/>
        </w:rPr>
        <w:t>（二）政府采购情况</w:t>
      </w:r>
    </w:p>
    <w:p w14:paraId="18213259">
      <w:pPr>
        <w:spacing w:line="580" w:lineRule="exact"/>
        <w:ind w:firstLine="640"/>
        <w:jc w:val="both"/>
      </w:pPr>
      <w:r>
        <w:rPr>
          <w:rFonts w:ascii="仿宋_GB2312" w:hAnsi="仿宋_GB2312" w:eastAsia="仿宋_GB2312"/>
          <w:b w:val="0"/>
          <w:sz w:val="32"/>
        </w:rPr>
        <w:t>2024年度政府采购支出总额23.41万元，其中：政府采购货物支出1.42万元、政府采购工程支出13.93万元、政府采购服务支出8.06万元。</w:t>
      </w:r>
    </w:p>
    <w:p w14:paraId="4F752CE5">
      <w:pPr>
        <w:spacing w:line="580" w:lineRule="exact"/>
        <w:ind w:firstLine="640"/>
        <w:jc w:val="both"/>
      </w:pPr>
      <w:r>
        <w:rPr>
          <w:rFonts w:ascii="仿宋_GB2312" w:hAnsi="仿宋_GB2312" w:eastAsia="仿宋_GB2312"/>
          <w:b w:val="0"/>
          <w:sz w:val="32"/>
        </w:rPr>
        <w:t>授予中小企业合同金额21.52万元，占政府采购支出总额的91.93%，其中：授予小微企业合同金额21.26万元，占政府采购支出总额的90.82%。</w:t>
      </w:r>
    </w:p>
    <w:p w14:paraId="7CF96FF7">
      <w:pPr>
        <w:spacing w:line="640" w:lineRule="exact"/>
        <w:ind w:firstLine="640"/>
        <w:jc w:val="both"/>
        <w:outlineLvl w:val="3"/>
      </w:pPr>
      <w:r>
        <w:rPr>
          <w:rFonts w:ascii="楷体_GB2312" w:hAnsi="楷体_GB2312" w:eastAsia="楷体_GB2312"/>
          <w:b/>
          <w:sz w:val="32"/>
        </w:rPr>
        <w:t>（三）国有资产占用情况说明</w:t>
      </w:r>
    </w:p>
    <w:p w14:paraId="24957921">
      <w:pPr>
        <w:spacing w:line="580" w:lineRule="exact"/>
        <w:ind w:firstLine="640"/>
        <w:jc w:val="both"/>
      </w:pPr>
      <w:r>
        <w:rPr>
          <w:rFonts w:ascii="仿宋_GB2312" w:hAnsi="仿宋_GB2312" w:eastAsia="仿宋_GB2312"/>
          <w:b w:val="0"/>
          <w:sz w:val="32"/>
        </w:rPr>
        <w:t>截至2024年12月31日，房屋59,523.19平方米，价值2,883.96万元。车辆6辆，价值191.46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2台（套）。</w:t>
      </w:r>
    </w:p>
    <w:p w14:paraId="1B176416">
      <w:pPr>
        <w:spacing w:line="640" w:lineRule="exact"/>
        <w:ind w:firstLine="640"/>
        <w:jc w:val="both"/>
        <w:outlineLvl w:val="2"/>
      </w:pPr>
      <w:r>
        <w:rPr>
          <w:rFonts w:ascii="黑体" w:hAnsi="黑体" w:eastAsia="黑体"/>
          <w:sz w:val="32"/>
        </w:rPr>
        <w:t>十一、预算绩效的情况说明</w:t>
      </w:r>
    </w:p>
    <w:p w14:paraId="6DE4D7A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468.18万元，实际执行总额452.97万元；预算绩效评价项目2个，全年预算数235.40万元，全年执行数190.26万元。预算绩效管理取得的成效：一是提高财政资金使用效益，通过加强绩效管理制度建设、实施预算项目绩效目标管理、推进项目绩效评价等措施，有效提高了</w:t>
      </w:r>
      <w:bookmarkStart w:id="0" w:name="_GoBack"/>
      <w:r>
        <w:rPr>
          <w:rFonts w:hint="eastAsia" w:ascii="仿宋_GB2312" w:hAnsi="仿宋_GB2312" w:eastAsia="仿宋_GB2312"/>
          <w:b w:val="0"/>
          <w:sz w:val="32"/>
          <w:lang w:eastAsia="zh-CN"/>
        </w:rPr>
        <w:t>财政资金使用</w:t>
      </w:r>
      <w:bookmarkEnd w:id="0"/>
      <w:r>
        <w:rPr>
          <w:rFonts w:ascii="仿宋_GB2312" w:hAnsi="仿宋_GB2312" w:eastAsia="仿宋_GB2312"/>
          <w:b w:val="0"/>
          <w:sz w:val="32"/>
        </w:rPr>
        <w:t>效益，优化了资源配置，减少了浪费。二是通过事前绩效评估、绩效目标管理、运行监控等措施，提高了部门整体绩效，促进了部门履职效能、管理效率和社会效应的提升。三是通过建立预算绩效管理制度、部门整体绩效报告制度等，夯实了部门在财政资金统筹使用中的基础地位，提高了部门主体责任意识。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62EDBD7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BAB6E3F">
        <w:tblPrEx>
          <w:tblCellMar>
            <w:top w:w="0" w:type="dxa"/>
            <w:left w:w="108" w:type="dxa"/>
            <w:bottom w:w="0" w:type="dxa"/>
            <w:right w:w="108" w:type="dxa"/>
          </w:tblCellMar>
        </w:tblPrEx>
        <w:tc>
          <w:tcPr>
            <w:tcW w:w="8840" w:type="dxa"/>
            <w:gridSpan w:val="8"/>
            <w:vAlign w:val="center"/>
          </w:tcPr>
          <w:p w14:paraId="155E0E94">
            <w:pPr>
              <w:jc w:val="center"/>
            </w:pPr>
            <w:r>
              <w:rPr>
                <w:rFonts w:ascii="宋体" w:hAnsi="宋体" w:eastAsia="宋体"/>
                <w:sz w:val="24"/>
              </w:rPr>
              <w:t>单位整体支出绩效自评表</w:t>
            </w:r>
          </w:p>
        </w:tc>
      </w:tr>
      <w:tr w14:paraId="63F65A67">
        <w:tblPrEx>
          <w:tblCellMar>
            <w:top w:w="0" w:type="dxa"/>
            <w:left w:w="108" w:type="dxa"/>
            <w:bottom w:w="0" w:type="dxa"/>
            <w:right w:w="108" w:type="dxa"/>
          </w:tblCellMar>
        </w:tblPrEx>
        <w:tc>
          <w:tcPr>
            <w:tcW w:w="8840" w:type="dxa"/>
            <w:gridSpan w:val="8"/>
            <w:vAlign w:val="center"/>
          </w:tcPr>
          <w:p w14:paraId="252C4D62">
            <w:pPr>
              <w:jc w:val="center"/>
            </w:pPr>
            <w:r>
              <w:rPr>
                <w:rFonts w:ascii="宋体" w:hAnsi="宋体" w:eastAsia="宋体"/>
                <w:sz w:val="24"/>
              </w:rPr>
              <w:t>（2024年度）</w:t>
            </w:r>
          </w:p>
        </w:tc>
      </w:tr>
      <w:tr w14:paraId="28ABFC6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AD327C">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A3E00C">
            <w:pPr>
              <w:jc w:val="center"/>
            </w:pPr>
            <w:r>
              <w:rPr>
                <w:rFonts w:ascii="宋体" w:hAnsi="宋体" w:eastAsia="宋体"/>
                <w:sz w:val="16"/>
              </w:rPr>
              <w:t>克孜勒苏柯尔克孜自治州人民政府驻乌鲁木齐办事处</w:t>
            </w:r>
          </w:p>
        </w:tc>
      </w:tr>
      <w:tr w14:paraId="40612D1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C7897">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FC33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D4B7A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7C1D0">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B05E20">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38F9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8CE5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70BFD7">
            <w:pPr>
              <w:jc w:val="center"/>
            </w:pPr>
            <w:r>
              <w:rPr>
                <w:rFonts w:ascii="宋体" w:hAnsi="宋体" w:eastAsia="宋体"/>
                <w:sz w:val="16"/>
              </w:rPr>
              <w:t>得分</w:t>
            </w:r>
          </w:p>
        </w:tc>
      </w:tr>
      <w:tr w14:paraId="60168A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ADCD1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829F5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FFDB4">
            <w:pPr>
              <w:jc w:val="center"/>
            </w:pPr>
            <w:r>
              <w:rPr>
                <w:rFonts w:ascii="宋体" w:hAnsi="宋体" w:eastAsia="宋体"/>
                <w:sz w:val="16"/>
              </w:rPr>
              <w:t>492.39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5F78D3">
            <w:pPr>
              <w:jc w:val="center"/>
            </w:pPr>
            <w:r>
              <w:rPr>
                <w:rFonts w:ascii="宋体" w:hAnsi="宋体" w:eastAsia="宋体"/>
                <w:sz w:val="16"/>
              </w:rPr>
              <w:t>468.18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52E54E">
            <w:pPr>
              <w:jc w:val="center"/>
            </w:pPr>
            <w:r>
              <w:rPr>
                <w:rFonts w:ascii="宋体" w:hAnsi="宋体" w:eastAsia="宋体"/>
                <w:sz w:val="16"/>
              </w:rPr>
              <w:t>452.97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3C5D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6E99E6">
            <w:pPr>
              <w:jc w:val="center"/>
            </w:pPr>
            <w:r>
              <w:rPr>
                <w:rFonts w:ascii="宋体" w:hAnsi="宋体" w:eastAsia="宋体"/>
                <w:sz w:val="16"/>
              </w:rPr>
              <w:t>96.75%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8D907">
            <w:pPr>
              <w:jc w:val="center"/>
              <w:rPr>
                <w:rFonts w:hint="default" w:eastAsia="宋体"/>
                <w:lang w:val="en-US" w:eastAsia="zh-CN"/>
              </w:rPr>
            </w:pPr>
            <w:r>
              <w:rPr>
                <w:rFonts w:ascii="宋体" w:hAnsi="宋体" w:eastAsia="宋体"/>
                <w:sz w:val="16"/>
              </w:rPr>
              <w:t>9</w:t>
            </w:r>
            <w:r>
              <w:rPr>
                <w:rFonts w:hint="eastAsia" w:ascii="宋体" w:hAnsi="宋体"/>
                <w:sz w:val="16"/>
                <w:lang w:eastAsia="zh-CN"/>
              </w:rPr>
              <w:t>.</w:t>
            </w:r>
            <w:r>
              <w:rPr>
                <w:rFonts w:hint="eastAsia" w:ascii="宋体" w:hAnsi="宋体"/>
                <w:sz w:val="16"/>
                <w:lang w:val="en-US" w:eastAsia="zh-CN"/>
              </w:rPr>
              <w:t>68</w:t>
            </w:r>
          </w:p>
        </w:tc>
      </w:tr>
      <w:tr w14:paraId="0322D76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032B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4A17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F570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C16B8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B448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4AC8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E7F3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D9056">
            <w:pPr>
              <w:jc w:val="center"/>
            </w:pPr>
            <w:r>
              <w:rPr>
                <w:rFonts w:ascii="宋体" w:hAnsi="宋体" w:eastAsia="宋体"/>
                <w:sz w:val="16"/>
              </w:rPr>
              <w:t>—</w:t>
            </w:r>
          </w:p>
        </w:tc>
      </w:tr>
      <w:tr w14:paraId="2196B9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C59FB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2392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AAF4C">
            <w:pPr>
              <w:jc w:val="center"/>
            </w:pPr>
            <w:r>
              <w:rPr>
                <w:rFonts w:ascii="宋体" w:hAnsi="宋体" w:eastAsia="宋体"/>
                <w:sz w:val="16"/>
              </w:rPr>
              <w:t>371.99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0B621">
            <w:pPr>
              <w:jc w:val="center"/>
            </w:pPr>
            <w:r>
              <w:rPr>
                <w:rFonts w:ascii="宋体" w:hAnsi="宋体" w:eastAsia="宋体"/>
                <w:sz w:val="16"/>
              </w:rPr>
              <w:t>385.31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5B028">
            <w:pPr>
              <w:jc w:val="center"/>
            </w:pPr>
            <w:r>
              <w:rPr>
                <w:rFonts w:ascii="宋体" w:hAnsi="宋体" w:eastAsia="宋体"/>
                <w:sz w:val="16"/>
              </w:rPr>
              <w:t>385.31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02CF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1A93A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0E0C6">
            <w:pPr>
              <w:jc w:val="center"/>
            </w:pPr>
            <w:r>
              <w:rPr>
                <w:rFonts w:ascii="宋体" w:hAnsi="宋体" w:eastAsia="宋体"/>
                <w:sz w:val="16"/>
              </w:rPr>
              <w:t>—</w:t>
            </w:r>
          </w:p>
        </w:tc>
      </w:tr>
      <w:tr w14:paraId="227A62B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F2244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6B85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D1184E">
            <w:pPr>
              <w:jc w:val="center"/>
            </w:pPr>
            <w:r>
              <w:rPr>
                <w:rFonts w:ascii="宋体" w:hAnsi="宋体" w:eastAsia="宋体"/>
                <w:sz w:val="16"/>
              </w:rPr>
              <w:t>120.40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653BF9">
            <w:pPr>
              <w:jc w:val="center"/>
            </w:pPr>
            <w:r>
              <w:rPr>
                <w:rFonts w:ascii="宋体" w:hAnsi="宋体" w:eastAsia="宋体"/>
                <w:sz w:val="16"/>
              </w:rPr>
              <w:t>82.87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9F169">
            <w:pPr>
              <w:jc w:val="center"/>
            </w:pPr>
            <w:r>
              <w:rPr>
                <w:rFonts w:ascii="宋体" w:hAnsi="宋体" w:eastAsia="宋体"/>
                <w:sz w:val="16"/>
              </w:rPr>
              <w:t>67.66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3BBDE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C52E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F0C61">
            <w:pPr>
              <w:jc w:val="center"/>
            </w:pPr>
            <w:r>
              <w:rPr>
                <w:rFonts w:ascii="宋体" w:hAnsi="宋体" w:eastAsia="宋体"/>
                <w:sz w:val="16"/>
              </w:rPr>
              <w:t>—</w:t>
            </w:r>
          </w:p>
        </w:tc>
      </w:tr>
      <w:tr w14:paraId="22972BD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41D5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55DB2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A82B40">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4798B09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E8D1A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FAB3C3">
            <w:pPr>
              <w:jc w:val="both"/>
            </w:pPr>
            <w:r>
              <w:rPr>
                <w:rFonts w:ascii="宋体" w:hAnsi="宋体" w:eastAsia="宋体"/>
                <w:sz w:val="16"/>
              </w:rPr>
              <w:t>坚持以习近平新时代中国特色社会主义思想为指导，全面贯彻落实自治区、自治州党委政府会议精神，</w:t>
            </w:r>
            <w:r>
              <w:rPr>
                <w:rFonts w:hint="eastAsia" w:ascii="宋体" w:hAnsi="宋体"/>
                <w:sz w:val="16"/>
                <w:lang w:eastAsia="zh-CN"/>
              </w:rPr>
              <w:t>聚焦</w:t>
            </w:r>
            <w:r>
              <w:rPr>
                <w:rFonts w:ascii="宋体" w:hAnsi="宋体" w:eastAsia="宋体"/>
                <w:sz w:val="16"/>
              </w:rPr>
              <w:t>主责主业，主动担当作为。一是贯彻和落实自治州党委、人民政府重大决策和决定，积极做好对外联络及协调工作；二是负责克州党委、政府及自治州各部门与自治区党委、政府及各委、办、厅、局的工作联络，拓宽联络渠道，认真做好沟通工作；三是广泛收集整理和反馈政治、经济等各类信息，为自治州领导的科学决策提供参考。充分发挥办事处的“窗口”桥梁作用，积极为克州经济建设牵线搭桥；四是做好办事处宾馆的宏观管理工作，指导宾馆按现代企业制度运营，并使其</w:t>
            </w:r>
            <w:r>
              <w:rPr>
                <w:rFonts w:hint="eastAsia" w:ascii="宋体" w:hAnsi="宋体"/>
                <w:sz w:val="16"/>
                <w:lang w:eastAsia="zh-CN"/>
              </w:rPr>
              <w:t>制度化、规范化、程序化</w:t>
            </w:r>
            <w:r>
              <w:rPr>
                <w:rFonts w:ascii="宋体" w:hAnsi="宋体" w:eastAsia="宋体"/>
                <w:sz w:val="16"/>
              </w:rPr>
              <w:t>，</w:t>
            </w:r>
            <w:r>
              <w:rPr>
                <w:rFonts w:hint="eastAsia" w:ascii="宋体" w:hAnsi="宋体"/>
                <w:sz w:val="16"/>
                <w:lang w:eastAsia="zh-CN"/>
              </w:rPr>
              <w:t>更好地</w:t>
            </w:r>
            <w:r>
              <w:rPr>
                <w:rFonts w:ascii="宋体" w:hAnsi="宋体" w:eastAsia="宋体"/>
                <w:sz w:val="16"/>
              </w:rPr>
              <w:t>服务于克州各族人民。五是做好驻乌流动人口工作站及驻京联络处流动人口的管理，协调工作，上访人员的处理协调工作。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938ECB">
            <w:pPr>
              <w:jc w:val="both"/>
            </w:pPr>
            <w:r>
              <w:rPr>
                <w:rFonts w:ascii="宋体" w:hAnsi="宋体" w:eastAsia="宋体"/>
                <w:sz w:val="16"/>
              </w:rPr>
              <w:t>截至2024年12月31日，积极为克州各级干部和各类企业来乌参展参会提供服务保障，2024年公务接待服务保障3154人次，出车1712辆次，住宿3033人次。其中：落实州、县两级领导干部来乌出差协调服务保障平均每月153次，联络对接自治区、乌鲁木齐市各单位工作平均每月90 次。通过以上工作的实施，着力将办事处打造成克州各级干部群众的家，为各级干部群众来乌出差住宿创造温暖舒心的良好环境。克州驻乌办事处紧紧围绕克州经济社会发展所需，积极发挥驻疆机构联系广泛的优势作用，持续加强与自治区各部门和企业、驻疆商会组织的沟通联络与合作交流，深化沟通联络内涵，搭建交流合作平台，助力克州高质量发展。加强与州商务、文旅、农业农村等部门联系，探索在乌鲁木齐、北京等城市设立宣传展示窗口，重点宣传推介克州矿产、农</w:t>
            </w:r>
            <w:r>
              <w:rPr>
                <w:rFonts w:hint="eastAsia" w:ascii="宋体" w:hAnsi="宋体"/>
                <w:sz w:val="16"/>
                <w:lang w:eastAsia="zh-CN"/>
              </w:rPr>
              <w:t>产品</w:t>
            </w:r>
            <w:r>
              <w:rPr>
                <w:rFonts w:ascii="宋体" w:hAnsi="宋体" w:eastAsia="宋体"/>
                <w:sz w:val="16"/>
              </w:rPr>
              <w:t>、旅游、文化等各类优势资源，拓展对外交流合作渠道，持续提升克州知名度，为克州经济社会发展发挥办事处作用。</w:t>
            </w:r>
          </w:p>
        </w:tc>
      </w:tr>
      <w:tr w14:paraId="10D2C0D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F4172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11E1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A883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F2B6C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D5516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0E8A1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1916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595651">
            <w:pPr>
              <w:jc w:val="center"/>
            </w:pPr>
            <w:r>
              <w:rPr>
                <w:rFonts w:ascii="宋体" w:hAnsi="宋体" w:eastAsia="宋体"/>
                <w:sz w:val="16"/>
              </w:rPr>
              <w:t>得分</w:t>
            </w:r>
          </w:p>
        </w:tc>
      </w:tr>
      <w:tr w14:paraId="54E78F0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65E5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90D0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C17A0">
            <w:pPr>
              <w:jc w:val="center"/>
            </w:pPr>
            <w:r>
              <w:rPr>
                <w:rFonts w:ascii="宋体" w:hAnsi="宋体" w:eastAsia="宋体"/>
                <w:sz w:val="16"/>
              </w:rPr>
              <w:t>落实州、县两级领导干部来乌出差协调服务保障次数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555DC">
            <w:pPr>
              <w:jc w:val="center"/>
            </w:pPr>
            <w:r>
              <w:rPr>
                <w:rFonts w:ascii="宋体" w:hAnsi="宋体" w:eastAsia="宋体"/>
                <w:sz w:val="16"/>
              </w:rPr>
              <w:t>&gt;=120次/月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13D99">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3182E">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DA3B8">
            <w:pPr>
              <w:jc w:val="center"/>
            </w:pPr>
            <w:r>
              <w:rPr>
                <w:rFonts w:ascii="宋体" w:hAnsi="宋体" w:eastAsia="宋体"/>
                <w:sz w:val="16"/>
              </w:rPr>
              <w:t>123次/月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47E750">
            <w:pPr>
              <w:jc w:val="center"/>
            </w:pPr>
            <w:r>
              <w:rPr>
                <w:rFonts w:ascii="宋体" w:hAnsi="宋体" w:eastAsia="宋体"/>
                <w:sz w:val="16"/>
              </w:rPr>
              <w:t>30</w:t>
            </w:r>
          </w:p>
        </w:tc>
      </w:tr>
      <w:tr w14:paraId="78EE23D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749B8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5E646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16904">
            <w:pPr>
              <w:jc w:val="center"/>
            </w:pPr>
            <w:r>
              <w:rPr>
                <w:rFonts w:ascii="宋体" w:hAnsi="宋体" w:eastAsia="宋体"/>
                <w:sz w:val="16"/>
              </w:rPr>
              <w:t>联络对接自治区、乌鲁木齐市各单位工作次数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C7B5FA">
            <w:pPr>
              <w:jc w:val="center"/>
            </w:pPr>
            <w:r>
              <w:rPr>
                <w:rFonts w:ascii="宋体" w:hAnsi="宋体" w:eastAsia="宋体"/>
                <w:sz w:val="16"/>
              </w:rPr>
              <w:t>&gt;=90次/月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143D7E">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D600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85A7C6">
            <w:pPr>
              <w:jc w:val="center"/>
            </w:pPr>
            <w:r>
              <w:rPr>
                <w:rFonts w:ascii="宋体" w:hAnsi="宋体" w:eastAsia="宋体"/>
                <w:sz w:val="16"/>
              </w:rPr>
              <w:t>90次/月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CA4E48">
            <w:pPr>
              <w:jc w:val="center"/>
            </w:pPr>
            <w:r>
              <w:rPr>
                <w:rFonts w:ascii="宋体" w:hAnsi="宋体" w:eastAsia="宋体"/>
                <w:sz w:val="16"/>
              </w:rPr>
              <w:t>30</w:t>
            </w:r>
          </w:p>
        </w:tc>
      </w:tr>
      <w:tr w14:paraId="3600ADC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02E7A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05A9F">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55D99">
            <w:pPr>
              <w:jc w:val="center"/>
            </w:pPr>
            <w:r>
              <w:rPr>
                <w:rFonts w:ascii="宋体" w:hAnsi="宋体" w:eastAsia="宋体"/>
                <w:sz w:val="16"/>
              </w:rPr>
              <w:t>为促进全州经济社会发展提供联络保障、信息沟通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F643F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FA1559">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BAB2C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2E36D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DC31D">
            <w:pPr>
              <w:jc w:val="center"/>
            </w:pPr>
            <w:r>
              <w:rPr>
                <w:rFonts w:ascii="宋体" w:hAnsi="宋体" w:eastAsia="宋体"/>
                <w:sz w:val="16"/>
              </w:rPr>
              <w:t>30</w:t>
            </w:r>
          </w:p>
        </w:tc>
      </w:tr>
    </w:tbl>
    <w:p w14:paraId="38ACF120">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32"/>
        <w:gridCol w:w="776"/>
        <w:gridCol w:w="625"/>
        <w:gridCol w:w="625"/>
        <w:gridCol w:w="625"/>
        <w:gridCol w:w="625"/>
        <w:gridCol w:w="625"/>
        <w:gridCol w:w="776"/>
        <w:gridCol w:w="631"/>
        <w:gridCol w:w="614"/>
        <w:gridCol w:w="629"/>
      </w:tblGrid>
      <w:tr w14:paraId="2E550BA3">
        <w:tblPrEx>
          <w:tblCellMar>
            <w:top w:w="0" w:type="dxa"/>
            <w:left w:w="108" w:type="dxa"/>
            <w:bottom w:w="0" w:type="dxa"/>
            <w:right w:w="108" w:type="dxa"/>
          </w:tblCellMar>
        </w:tblPrEx>
        <w:tc>
          <w:tcPr>
            <w:tcW w:w="8848" w:type="dxa"/>
            <w:gridSpan w:val="14"/>
            <w:vAlign w:val="center"/>
          </w:tcPr>
          <w:p w14:paraId="4C0E4A08">
            <w:pPr>
              <w:jc w:val="center"/>
            </w:pPr>
            <w:r>
              <w:rPr>
                <w:rFonts w:ascii="宋体" w:hAnsi="宋体" w:eastAsia="宋体"/>
                <w:sz w:val="24"/>
              </w:rPr>
              <w:t>项目支出绩效自评表</w:t>
            </w:r>
          </w:p>
        </w:tc>
      </w:tr>
      <w:tr w14:paraId="74A41DB1">
        <w:tblPrEx>
          <w:tblCellMar>
            <w:top w:w="0" w:type="dxa"/>
            <w:left w:w="108" w:type="dxa"/>
            <w:bottom w:w="0" w:type="dxa"/>
            <w:right w:w="108" w:type="dxa"/>
          </w:tblCellMar>
        </w:tblPrEx>
        <w:tc>
          <w:tcPr>
            <w:tcW w:w="8848" w:type="dxa"/>
            <w:gridSpan w:val="14"/>
            <w:vAlign w:val="center"/>
          </w:tcPr>
          <w:p w14:paraId="2C6BC2DE">
            <w:pPr>
              <w:jc w:val="center"/>
            </w:pPr>
            <w:r>
              <w:rPr>
                <w:rFonts w:ascii="宋体" w:hAnsi="宋体" w:eastAsia="宋体"/>
                <w:sz w:val="24"/>
              </w:rPr>
              <w:t>(2024年度)</w:t>
            </w:r>
          </w:p>
        </w:tc>
      </w:tr>
      <w:tr w14:paraId="4CA42A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43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86D26B">
            <w:pPr>
              <w:jc w:val="center"/>
            </w:pPr>
            <w:r>
              <w:rPr>
                <w:rFonts w:ascii="宋体" w:hAnsi="宋体" w:eastAsia="宋体"/>
                <w:sz w:val="16"/>
              </w:rPr>
              <w:t>事业单位经营收入</w:t>
            </w:r>
          </w:p>
        </w:tc>
      </w:tr>
      <w:tr w14:paraId="205366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B1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DA676">
            <w:pPr>
              <w:jc w:val="center"/>
            </w:pPr>
            <w:r>
              <w:rPr>
                <w:rFonts w:ascii="宋体" w:hAnsi="宋体" w:eastAsia="宋体"/>
                <w:sz w:val="16"/>
              </w:rPr>
              <w:t>克孜勒苏柯尔克孜自治州人民政府驻乌鲁木齐办事处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3D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370D08">
            <w:pPr>
              <w:jc w:val="center"/>
            </w:pPr>
            <w:r>
              <w:rPr>
                <w:rFonts w:ascii="宋体" w:hAnsi="宋体" w:eastAsia="宋体"/>
                <w:sz w:val="16"/>
              </w:rPr>
              <w:t>克孜勒苏柯尔克孜自治州人民政府驻乌鲁木齐办事处</w:t>
            </w:r>
          </w:p>
        </w:tc>
      </w:tr>
      <w:tr w14:paraId="468270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5A8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B97F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C82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1D4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218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862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4977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6D81">
            <w:pPr>
              <w:jc w:val="center"/>
            </w:pPr>
            <w:r>
              <w:rPr>
                <w:rFonts w:ascii="宋体" w:hAnsi="宋体" w:eastAsia="宋体"/>
                <w:sz w:val="16"/>
              </w:rPr>
              <w:t>得分</w:t>
            </w:r>
          </w:p>
        </w:tc>
      </w:tr>
      <w:tr w14:paraId="2D9F8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928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5F4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87857">
            <w:pPr>
              <w:jc w:val="center"/>
            </w:pPr>
            <w:r>
              <w:rPr>
                <w:rFonts w:ascii="宋体" w:hAnsi="宋体" w:eastAsia="宋体"/>
                <w:sz w:val="16"/>
              </w:rPr>
              <w:t>120.40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5D9C6">
            <w:pPr>
              <w:jc w:val="center"/>
            </w:pPr>
            <w:r>
              <w:rPr>
                <w:rFonts w:ascii="宋体" w:hAnsi="宋体" w:eastAsia="宋体"/>
                <w:sz w:val="16"/>
              </w:rPr>
              <w:t>120.40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D00B9">
            <w:pPr>
              <w:jc w:val="center"/>
            </w:pPr>
            <w:r>
              <w:rPr>
                <w:rFonts w:ascii="宋体" w:hAnsi="宋体" w:eastAsia="宋体"/>
                <w:sz w:val="16"/>
              </w:rPr>
              <w:t>75.28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636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27157">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F301">
            <w:pPr>
              <w:jc w:val="center"/>
            </w:pPr>
            <w:r>
              <w:rPr>
                <w:rFonts w:ascii="宋体" w:hAnsi="宋体" w:eastAsia="宋体"/>
                <w:sz w:val="16"/>
              </w:rPr>
              <w:t>0.63分</w:t>
            </w:r>
          </w:p>
        </w:tc>
      </w:tr>
      <w:tr w14:paraId="67739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C9E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3DB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128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005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D74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EC5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B3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57F6">
            <w:pPr>
              <w:jc w:val="center"/>
            </w:pPr>
            <w:r>
              <w:rPr>
                <w:rFonts w:ascii="宋体" w:hAnsi="宋体" w:eastAsia="宋体"/>
                <w:sz w:val="16"/>
              </w:rPr>
              <w:t>—</w:t>
            </w:r>
          </w:p>
        </w:tc>
      </w:tr>
      <w:tr w14:paraId="5D183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079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077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606E6">
            <w:pPr>
              <w:jc w:val="center"/>
            </w:pPr>
            <w:r>
              <w:rPr>
                <w:rFonts w:ascii="宋体" w:hAnsi="宋体" w:eastAsia="宋体"/>
                <w:sz w:val="16"/>
              </w:rPr>
              <w:t>120.40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C013C">
            <w:pPr>
              <w:jc w:val="center"/>
            </w:pPr>
            <w:r>
              <w:rPr>
                <w:rFonts w:ascii="宋体" w:hAnsi="宋体" w:eastAsia="宋体"/>
                <w:sz w:val="16"/>
              </w:rPr>
              <w:t>120.40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32892">
            <w:pPr>
              <w:jc w:val="center"/>
            </w:pPr>
            <w:r>
              <w:rPr>
                <w:rFonts w:ascii="宋体" w:hAnsi="宋体" w:eastAsia="宋体"/>
                <w:sz w:val="16"/>
              </w:rPr>
              <w:t>75.28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570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7D9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3381">
            <w:pPr>
              <w:jc w:val="center"/>
            </w:pPr>
            <w:r>
              <w:rPr>
                <w:rFonts w:ascii="宋体" w:hAnsi="宋体" w:eastAsia="宋体"/>
                <w:sz w:val="16"/>
              </w:rPr>
              <w:t>—</w:t>
            </w:r>
          </w:p>
        </w:tc>
      </w:tr>
      <w:tr w14:paraId="2FC4AA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C07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A8B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6B94B3">
            <w:pPr>
              <w:jc w:val="center"/>
            </w:pPr>
            <w:r>
              <w:rPr>
                <w:rFonts w:ascii="宋体" w:hAnsi="宋体" w:eastAsia="宋体"/>
                <w:sz w:val="16"/>
              </w:rPr>
              <w:t>实际完成情况</w:t>
            </w:r>
          </w:p>
        </w:tc>
      </w:tr>
      <w:tr w14:paraId="751EA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51C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AE4A5">
            <w:pPr>
              <w:jc w:val="both"/>
            </w:pPr>
            <w:r>
              <w:rPr>
                <w:rFonts w:ascii="宋体" w:hAnsi="宋体" w:eastAsia="宋体"/>
                <w:sz w:val="16"/>
              </w:rPr>
              <w:t>该项目总投资120.4万元，主要用于单位水电、暖气费、日常办公、聘用人员工资及社保费缴纳等，有利于提升服务保障工作质量，优化服务水平，通过该项目实施达到提高服务对象满意度的效果。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7D59EA">
            <w:pPr>
              <w:jc w:val="both"/>
            </w:pPr>
            <w:r>
              <w:rPr>
                <w:rFonts w:ascii="宋体" w:hAnsi="宋体" w:eastAsia="宋体"/>
                <w:sz w:val="16"/>
              </w:rPr>
              <w:t>截至2024年12月31日，每月缴纳水电费1次，接待人数253人次/月，聘用人员人数16人，通过该项目实施达到提高服务对象满意度的效果。</w:t>
            </w:r>
            <w:r>
              <w:rPr>
                <w:rFonts w:ascii="宋体" w:hAnsi="宋体" w:eastAsia="宋体"/>
                <w:sz w:val="16"/>
              </w:rPr>
              <w:tab/>
            </w:r>
            <w:r>
              <w:rPr>
                <w:rFonts w:ascii="宋体" w:hAnsi="宋体" w:eastAsia="宋体"/>
                <w:sz w:val="16"/>
              </w:rPr>
              <w:tab/>
            </w:r>
          </w:p>
        </w:tc>
      </w:tr>
      <w:tr w14:paraId="12C78C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DF7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D1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51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B6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9B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3E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AC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6A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42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E0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D7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00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31A30">
            <w:pPr>
              <w:jc w:val="center"/>
            </w:pPr>
            <w:r>
              <w:rPr>
                <w:rFonts w:ascii="宋体" w:hAnsi="宋体" w:eastAsia="宋体"/>
                <w:sz w:val="16"/>
              </w:rPr>
              <w:t>偏差原因分析及改进措施</w:t>
            </w:r>
          </w:p>
        </w:tc>
      </w:tr>
      <w:tr w14:paraId="5DFE66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110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05C6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0BF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A6B4">
            <w:pPr>
              <w:jc w:val="center"/>
            </w:pPr>
            <w:r>
              <w:rPr>
                <w:rFonts w:ascii="宋体" w:hAnsi="宋体" w:eastAsia="宋体"/>
                <w:sz w:val="16"/>
              </w:rPr>
              <w:t>缴纳水电费次数(次/月)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6820">
            <w:pPr>
              <w:jc w:val="center"/>
            </w:pPr>
            <w:r>
              <w:rPr>
                <w:rFonts w:ascii="宋体" w:hAnsi="宋体" w:eastAsia="宋体"/>
                <w:sz w:val="16"/>
              </w:rPr>
              <w:t>&gt;=1次/月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B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F6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77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11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A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4BA4">
            <w:pPr>
              <w:jc w:val="center"/>
            </w:pPr>
            <w:r>
              <w:rPr>
                <w:rFonts w:ascii="宋体" w:hAnsi="宋体" w:eastAsia="宋体"/>
                <w:sz w:val="16"/>
              </w:rPr>
              <w:t>=1次/月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526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0CB31">
            <w:pPr>
              <w:jc w:val="center"/>
            </w:pPr>
          </w:p>
        </w:tc>
      </w:tr>
      <w:tr w14:paraId="5A766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45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3D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F84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1EF0">
            <w:pPr>
              <w:jc w:val="center"/>
            </w:pPr>
            <w:r>
              <w:rPr>
                <w:rFonts w:ascii="宋体" w:hAnsi="宋体" w:eastAsia="宋体"/>
                <w:sz w:val="16"/>
              </w:rPr>
              <w:t>住宿旅客人数（人次/月）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D4F0">
            <w:pPr>
              <w:jc w:val="center"/>
            </w:pPr>
            <w:r>
              <w:rPr>
                <w:rFonts w:ascii="宋体" w:hAnsi="宋体" w:eastAsia="宋体"/>
                <w:sz w:val="16"/>
              </w:rPr>
              <w:t>&gt;=320人次/月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A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2D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C02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A3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10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4046">
            <w:pPr>
              <w:jc w:val="center"/>
            </w:pPr>
            <w:r>
              <w:rPr>
                <w:rFonts w:ascii="宋体" w:hAnsi="宋体" w:eastAsia="宋体"/>
                <w:sz w:val="16"/>
              </w:rPr>
              <w:t>=253人次/月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E2C7">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D5555">
            <w:pPr>
              <w:jc w:val="center"/>
            </w:pPr>
            <w:r>
              <w:rPr>
                <w:rFonts w:ascii="宋体" w:hAnsi="宋体" w:eastAsia="宋体"/>
                <w:sz w:val="16"/>
              </w:rPr>
              <w:t>偏差原因：年初绩效目标</w:t>
            </w:r>
            <w:r>
              <w:rPr>
                <w:rFonts w:hint="eastAsia" w:ascii="宋体" w:hAnsi="宋体"/>
                <w:sz w:val="16"/>
                <w:lang w:eastAsia="zh-CN"/>
              </w:rPr>
              <w:t>制定</w:t>
            </w:r>
            <w:r>
              <w:rPr>
                <w:rFonts w:ascii="宋体" w:hAnsi="宋体" w:eastAsia="宋体"/>
                <w:sz w:val="16"/>
              </w:rPr>
              <w:t>有偏差。改进措施：充分考虑单位实际情况，合理设置绩效目标，严格目标</w:t>
            </w:r>
            <w:r>
              <w:rPr>
                <w:rFonts w:hint="eastAsia" w:ascii="宋体" w:hAnsi="宋体"/>
                <w:sz w:val="16"/>
                <w:lang w:eastAsia="zh-CN"/>
              </w:rPr>
              <w:t>制定</w:t>
            </w:r>
            <w:r>
              <w:rPr>
                <w:rFonts w:ascii="宋体" w:hAnsi="宋体" w:eastAsia="宋体"/>
                <w:sz w:val="16"/>
              </w:rPr>
              <w:t>方案。</w:t>
            </w:r>
          </w:p>
        </w:tc>
      </w:tr>
      <w:tr w14:paraId="0320B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94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AE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B77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AE21">
            <w:pPr>
              <w:jc w:val="center"/>
            </w:pPr>
            <w:r>
              <w:rPr>
                <w:rFonts w:ascii="宋体" w:hAnsi="宋体" w:eastAsia="宋体"/>
                <w:sz w:val="16"/>
              </w:rPr>
              <w:t>聘用人员人数(人）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86B7">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2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F9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923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A6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3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DDC4">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36A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A3D21">
            <w:pPr>
              <w:jc w:val="center"/>
            </w:pPr>
          </w:p>
        </w:tc>
      </w:tr>
      <w:tr w14:paraId="26615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FE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AD4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B3E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A737">
            <w:pPr>
              <w:jc w:val="center"/>
            </w:pPr>
            <w:r>
              <w:rPr>
                <w:rFonts w:ascii="宋体" w:hAnsi="宋体" w:eastAsia="宋体"/>
                <w:sz w:val="16"/>
              </w:rPr>
              <w:t>客房卫生达标率（%）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6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2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77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E2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AF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3B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C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822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DA6A1">
            <w:pPr>
              <w:jc w:val="center"/>
            </w:pPr>
          </w:p>
        </w:tc>
      </w:tr>
      <w:tr w14:paraId="55DD0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B8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B6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32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125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7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9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F7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FE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49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6A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03FE">
            <w:pPr>
              <w:jc w:val="center"/>
            </w:pPr>
            <w:r>
              <w:rPr>
                <w:rFonts w:ascii="宋体" w:hAnsi="宋体" w:eastAsia="宋体"/>
                <w:sz w:val="16"/>
              </w:rPr>
              <w:t>=62.52%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F08C">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090F2">
            <w:pPr>
              <w:jc w:val="center"/>
            </w:pPr>
            <w:r>
              <w:rPr>
                <w:rFonts w:ascii="宋体" w:hAnsi="宋体" w:eastAsia="宋体"/>
                <w:sz w:val="16"/>
              </w:rPr>
              <w:t>偏差原因：部分资金</w:t>
            </w:r>
            <w:r>
              <w:rPr>
                <w:rFonts w:hint="eastAsia" w:ascii="宋体" w:hAnsi="宋体"/>
                <w:sz w:val="16"/>
                <w:lang w:eastAsia="zh-CN"/>
              </w:rPr>
              <w:t>计入</w:t>
            </w:r>
            <w:r>
              <w:rPr>
                <w:rFonts w:ascii="宋体" w:hAnsi="宋体" w:eastAsia="宋体"/>
                <w:sz w:val="16"/>
              </w:rPr>
              <w:t>往来款项，未计预算会计。改进措施：单位严格按照专项资金管理和使用，资金管理、会计核算、财务审批制度健全，资金支出程序规范。</w:t>
            </w:r>
          </w:p>
        </w:tc>
      </w:tr>
      <w:tr w14:paraId="4A304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A2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4A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CB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B09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B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6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94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7F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D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3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8D0C">
            <w:pPr>
              <w:jc w:val="center"/>
            </w:pPr>
            <w:r>
              <w:rPr>
                <w:rFonts w:ascii="宋体" w:hAnsi="宋体" w:eastAsia="宋体"/>
                <w:sz w:val="16"/>
              </w:rPr>
              <w:t>=62.52%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D96D">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9FEA6">
            <w:pPr>
              <w:jc w:val="center"/>
            </w:pPr>
            <w:r>
              <w:rPr>
                <w:rFonts w:ascii="宋体" w:hAnsi="宋体" w:eastAsia="宋体"/>
                <w:sz w:val="16"/>
              </w:rPr>
              <w:t>偏差原因：部分费用未及时支付。改进措施：督促工作人员积极报账，加快预算资金支出。做好资金支付计划，积极与财政对接，核实项目具体情况，加快资金拨付进度严格按照标准实施，确保项目资金发挥效益。</w:t>
            </w:r>
          </w:p>
        </w:tc>
      </w:tr>
      <w:tr w14:paraId="36AAB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5C1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D6BD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976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9F72">
            <w:pPr>
              <w:jc w:val="center"/>
            </w:pPr>
            <w:r>
              <w:rPr>
                <w:rFonts w:ascii="宋体" w:hAnsi="宋体" w:eastAsia="宋体"/>
                <w:sz w:val="16"/>
              </w:rPr>
              <w:t>宾馆客房日用品支出（万元）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6F9E">
            <w:pPr>
              <w:jc w:val="center"/>
            </w:pPr>
            <w:r>
              <w:rPr>
                <w:rFonts w:ascii="宋体" w:hAnsi="宋体" w:eastAsia="宋体"/>
                <w:sz w:val="16"/>
              </w:rPr>
              <w:t>&lt;=57.40万元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94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74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09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E3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9A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7429">
            <w:pPr>
              <w:jc w:val="center"/>
            </w:pPr>
            <w:r>
              <w:rPr>
                <w:rFonts w:ascii="宋体" w:hAnsi="宋体" w:eastAsia="宋体"/>
                <w:sz w:val="16"/>
              </w:rPr>
              <w:t>=17.58万元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417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A94E3">
            <w:pPr>
              <w:jc w:val="center"/>
            </w:pPr>
            <w:r>
              <w:rPr>
                <w:rFonts w:ascii="宋体" w:hAnsi="宋体" w:eastAsia="宋体"/>
                <w:sz w:val="16"/>
              </w:rPr>
              <w:t>偏差原因：部分费用因手续不完善未及时支付。改进措施：督促工作人员积极报账，加快预算资金支出。做好资金支付计划，积极与财政对接，核实项目具体情况，加快资金拨付进度严格按照标准实施，确保项目资金发挥效益。</w:t>
            </w:r>
          </w:p>
        </w:tc>
      </w:tr>
      <w:tr w14:paraId="0BD5DB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519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CA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1EE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8AD3">
            <w:pPr>
              <w:jc w:val="center"/>
            </w:pPr>
            <w:r>
              <w:rPr>
                <w:rFonts w:ascii="宋体" w:hAnsi="宋体" w:eastAsia="宋体"/>
                <w:sz w:val="16"/>
              </w:rPr>
              <w:t>水电费用（万元）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4D67">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52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6F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A3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3B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26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3C83">
            <w:pPr>
              <w:jc w:val="center"/>
            </w:pPr>
            <w:r>
              <w:rPr>
                <w:rFonts w:ascii="宋体" w:hAnsi="宋体" w:eastAsia="宋体"/>
                <w:sz w:val="16"/>
              </w:rPr>
              <w:t>=17.39万元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F99B">
            <w:pPr>
              <w:jc w:val="center"/>
            </w:pPr>
            <w:r>
              <w:rPr>
                <w:rFonts w:ascii="宋体" w:hAnsi="宋体" w:eastAsia="宋体"/>
                <w:sz w:val="16"/>
              </w:rPr>
              <w:t>4.58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B1D86">
            <w:pPr>
              <w:jc w:val="center"/>
            </w:pPr>
            <w:r>
              <w:rPr>
                <w:rFonts w:ascii="宋体" w:hAnsi="宋体" w:eastAsia="宋体"/>
                <w:sz w:val="16"/>
              </w:rPr>
              <w:t>偏差原因：12月份水电费未及时列支。改进措施：完善财务支付报账体系，保证及时性，着力完善制度体系，切实提升工作质量。</w:t>
            </w:r>
          </w:p>
        </w:tc>
      </w:tr>
      <w:tr w14:paraId="4AE64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FE8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D9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FD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1123">
            <w:pPr>
              <w:jc w:val="center"/>
            </w:pPr>
            <w:r>
              <w:rPr>
                <w:rFonts w:ascii="宋体" w:hAnsi="宋体" w:eastAsia="宋体"/>
                <w:sz w:val="16"/>
              </w:rPr>
              <w:t>聘用人员工资（万元）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6DD5">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76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8A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14D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3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AD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CFF6">
            <w:pPr>
              <w:jc w:val="center"/>
            </w:pPr>
            <w:r>
              <w:rPr>
                <w:rFonts w:ascii="宋体" w:hAnsi="宋体" w:eastAsia="宋体"/>
                <w:sz w:val="16"/>
              </w:rPr>
              <w:t>=40.31万元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9BEF">
            <w:pPr>
              <w:jc w:val="center"/>
            </w:pPr>
            <w:r>
              <w:rPr>
                <w:rFonts w:ascii="宋体" w:hAnsi="宋体" w:eastAsia="宋体"/>
                <w:sz w:val="16"/>
              </w:rPr>
              <w:t>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07A32">
            <w:pPr>
              <w:jc w:val="center"/>
            </w:pPr>
            <w:r>
              <w:rPr>
                <w:rFonts w:ascii="宋体" w:hAnsi="宋体" w:eastAsia="宋体"/>
                <w:sz w:val="16"/>
              </w:rPr>
              <w:t>偏差原因：部分聘用人员工资从工作经费项目列支。改进措施：单位严格按照专项资金管理和使用，加强财务规范化管理，做好绩效监督。</w:t>
            </w:r>
          </w:p>
        </w:tc>
      </w:tr>
      <w:tr w14:paraId="3F361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EB1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5B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7D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A2D3">
            <w:pPr>
              <w:jc w:val="center"/>
            </w:pPr>
            <w:r>
              <w:rPr>
                <w:rFonts w:ascii="宋体" w:hAnsi="宋体" w:eastAsia="宋体"/>
                <w:sz w:val="16"/>
              </w:rPr>
              <w:t>保障业务工作需要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FB6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3E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13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AE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3A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7CE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0D98">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8447">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68651">
            <w:pPr>
              <w:jc w:val="center"/>
            </w:pPr>
            <w:r>
              <w:rPr>
                <w:rFonts w:ascii="宋体" w:hAnsi="宋体" w:eastAsia="宋体"/>
                <w:sz w:val="16"/>
              </w:rPr>
              <w:t>偏差原因：部分费用未及时支付。改进措施：督促工作人员积极报账，加快预算资金支出。做好资金支付计划，积极与财政对接，核实项目具体情况，加快资金拨付进度严格按照标准实施，确保项目资金发挥效益。</w:t>
            </w:r>
          </w:p>
        </w:tc>
      </w:tr>
      <w:tr w14:paraId="65CEB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0B9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B7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AE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EDE5">
            <w:pPr>
              <w:jc w:val="center"/>
            </w:pPr>
            <w:r>
              <w:rPr>
                <w:rFonts w:ascii="宋体" w:hAnsi="宋体" w:eastAsia="宋体"/>
                <w:sz w:val="16"/>
              </w:rPr>
              <w:t>受益服务对象满意度(%)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D0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39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3A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4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1D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B14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31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6C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DA798">
            <w:pPr>
              <w:jc w:val="center"/>
            </w:pPr>
          </w:p>
        </w:tc>
      </w:tr>
      <w:tr w14:paraId="1307C4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C58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961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F6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B4BD8C">
            <w:pPr>
              <w:jc w:val="center"/>
            </w:pPr>
            <w:r>
              <w:rPr>
                <w:rFonts w:ascii="宋体" w:hAnsi="宋体" w:eastAsia="宋体"/>
                <w:sz w:val="16"/>
              </w:rPr>
              <w:t>57.49分</w:t>
            </w:r>
          </w:p>
        </w:tc>
      </w:tr>
    </w:tbl>
    <w:p w14:paraId="488B5D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0A8B58D9">
        <w:tblPrEx>
          <w:tblCellMar>
            <w:top w:w="0" w:type="dxa"/>
            <w:left w:w="108" w:type="dxa"/>
            <w:bottom w:w="0" w:type="dxa"/>
            <w:right w:w="108" w:type="dxa"/>
          </w:tblCellMar>
        </w:tblPrEx>
        <w:tc>
          <w:tcPr>
            <w:tcW w:w="8848" w:type="dxa"/>
            <w:gridSpan w:val="14"/>
            <w:vAlign w:val="center"/>
          </w:tcPr>
          <w:p w14:paraId="2859CC70">
            <w:pPr>
              <w:jc w:val="center"/>
            </w:pPr>
            <w:r>
              <w:rPr>
                <w:rFonts w:ascii="宋体" w:hAnsi="宋体" w:eastAsia="宋体"/>
                <w:sz w:val="24"/>
              </w:rPr>
              <w:t>项目支出绩效自评表</w:t>
            </w:r>
          </w:p>
        </w:tc>
      </w:tr>
      <w:tr w14:paraId="5747D5FB">
        <w:tblPrEx>
          <w:tblCellMar>
            <w:top w:w="0" w:type="dxa"/>
            <w:left w:w="108" w:type="dxa"/>
            <w:bottom w:w="0" w:type="dxa"/>
            <w:right w:w="108" w:type="dxa"/>
          </w:tblCellMar>
        </w:tblPrEx>
        <w:tc>
          <w:tcPr>
            <w:tcW w:w="8848" w:type="dxa"/>
            <w:gridSpan w:val="14"/>
            <w:vAlign w:val="center"/>
          </w:tcPr>
          <w:p w14:paraId="36ACBC86">
            <w:pPr>
              <w:jc w:val="center"/>
            </w:pPr>
            <w:r>
              <w:rPr>
                <w:rFonts w:ascii="宋体" w:hAnsi="宋体" w:eastAsia="宋体"/>
                <w:sz w:val="24"/>
              </w:rPr>
              <w:t>(2024年度)</w:t>
            </w:r>
          </w:p>
        </w:tc>
      </w:tr>
      <w:tr w14:paraId="166747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01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6AD9E5">
            <w:pPr>
              <w:jc w:val="center"/>
            </w:pPr>
            <w:r>
              <w:rPr>
                <w:rFonts w:ascii="宋体" w:hAnsi="宋体" w:eastAsia="宋体"/>
                <w:sz w:val="16"/>
              </w:rPr>
              <w:t>工作经费</w:t>
            </w:r>
          </w:p>
        </w:tc>
      </w:tr>
      <w:tr w14:paraId="6B656A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1D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173A8">
            <w:pPr>
              <w:jc w:val="center"/>
            </w:pPr>
            <w:r>
              <w:rPr>
                <w:rFonts w:ascii="宋体" w:hAnsi="宋体" w:eastAsia="宋体"/>
                <w:sz w:val="16"/>
              </w:rPr>
              <w:t>克孜勒苏柯尔克孜自治州人民政府驻乌鲁木齐办事处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47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3DEDA8">
            <w:pPr>
              <w:jc w:val="center"/>
            </w:pPr>
            <w:r>
              <w:rPr>
                <w:rFonts w:ascii="宋体" w:hAnsi="宋体" w:eastAsia="宋体"/>
                <w:sz w:val="16"/>
              </w:rPr>
              <w:t>克孜勒苏柯尔克孜自治州人民政府驻乌鲁木齐办事处</w:t>
            </w:r>
          </w:p>
        </w:tc>
      </w:tr>
      <w:tr w14:paraId="42D6D7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E6B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8B4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8E4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706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CD0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80F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208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91B7">
            <w:pPr>
              <w:jc w:val="center"/>
            </w:pPr>
            <w:r>
              <w:rPr>
                <w:rFonts w:ascii="宋体" w:hAnsi="宋体" w:eastAsia="宋体"/>
                <w:sz w:val="16"/>
              </w:rPr>
              <w:t>得分</w:t>
            </w:r>
          </w:p>
        </w:tc>
      </w:tr>
      <w:tr w14:paraId="2EBE8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B69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7FC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F6DAB">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C022D">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52A92">
            <w:pPr>
              <w:jc w:val="center"/>
            </w:pPr>
            <w:r>
              <w:rPr>
                <w:rFonts w:ascii="宋体" w:hAnsi="宋体" w:eastAsia="宋体"/>
                <w:sz w:val="16"/>
              </w:rPr>
              <w:t>114.98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D05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5069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66B2">
            <w:pPr>
              <w:jc w:val="center"/>
            </w:pPr>
            <w:r>
              <w:rPr>
                <w:rFonts w:ascii="宋体" w:hAnsi="宋体" w:eastAsia="宋体"/>
                <w:sz w:val="16"/>
              </w:rPr>
              <w:t>10.00分</w:t>
            </w:r>
          </w:p>
        </w:tc>
      </w:tr>
      <w:tr w14:paraId="3F15F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517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17F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2702D">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650D0">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2CF73">
            <w:pPr>
              <w:jc w:val="center"/>
            </w:pPr>
            <w:r>
              <w:rPr>
                <w:rFonts w:ascii="宋体" w:hAnsi="宋体" w:eastAsia="宋体"/>
                <w:sz w:val="16"/>
              </w:rPr>
              <w:t>114.98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528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02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0A1C">
            <w:pPr>
              <w:jc w:val="center"/>
            </w:pPr>
            <w:r>
              <w:rPr>
                <w:rFonts w:ascii="宋体" w:hAnsi="宋体" w:eastAsia="宋体"/>
                <w:sz w:val="16"/>
              </w:rPr>
              <w:t>—</w:t>
            </w:r>
          </w:p>
        </w:tc>
      </w:tr>
      <w:tr w14:paraId="78F13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43E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B0A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FDA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B69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442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D4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10F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F570">
            <w:pPr>
              <w:jc w:val="center"/>
            </w:pPr>
            <w:r>
              <w:rPr>
                <w:rFonts w:ascii="宋体" w:hAnsi="宋体" w:eastAsia="宋体"/>
                <w:sz w:val="16"/>
              </w:rPr>
              <w:t>—</w:t>
            </w:r>
          </w:p>
        </w:tc>
      </w:tr>
      <w:tr w14:paraId="2439C3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16A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7C3C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69F3A6">
            <w:pPr>
              <w:jc w:val="center"/>
            </w:pPr>
            <w:r>
              <w:rPr>
                <w:rFonts w:ascii="宋体" w:hAnsi="宋体" w:eastAsia="宋体"/>
                <w:sz w:val="16"/>
              </w:rPr>
              <w:t>实际完成情况</w:t>
            </w:r>
          </w:p>
        </w:tc>
      </w:tr>
      <w:tr w14:paraId="576EE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4A9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89004">
            <w:pPr>
              <w:jc w:val="both"/>
            </w:pPr>
            <w:r>
              <w:rPr>
                <w:rFonts w:ascii="宋体" w:hAnsi="宋体" w:eastAsia="宋体"/>
                <w:sz w:val="16"/>
              </w:rPr>
              <w:t>该项目总投资115万元，其中：财政资金115万元，其他资金0万元，主要用于单位水电、暖气费、流动人口工作站人员生活补助等日常办公、公务接待费、车辆维修保养、聘用人员工资及社保费缴纳等，有利于提升服务保障工作质量，优化服务水平，通过该项目实施达到提高服务对象满意度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B7ECA2">
            <w:pPr>
              <w:jc w:val="both"/>
            </w:pPr>
            <w:r>
              <w:rPr>
                <w:rFonts w:ascii="宋体" w:hAnsi="宋体" w:eastAsia="宋体"/>
                <w:sz w:val="16"/>
              </w:rPr>
              <w:t>截至2024年12月31日，车辆加油次数4次/月/辆，接待人数253人次/月，聘用人员人数16人，通过该项目实施达到提高服务对象满意度的效果。</w:t>
            </w:r>
            <w:r>
              <w:rPr>
                <w:rFonts w:ascii="宋体" w:hAnsi="宋体" w:eastAsia="宋体"/>
                <w:sz w:val="16"/>
              </w:rPr>
              <w:tab/>
            </w:r>
            <w:r>
              <w:rPr>
                <w:rFonts w:ascii="宋体" w:hAnsi="宋体" w:eastAsia="宋体"/>
                <w:sz w:val="16"/>
              </w:rPr>
              <w:tab/>
            </w:r>
          </w:p>
        </w:tc>
      </w:tr>
      <w:tr w14:paraId="63C109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2349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71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4A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3F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F8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DC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C5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5A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74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08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DDB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D0A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7E001">
            <w:pPr>
              <w:jc w:val="center"/>
            </w:pPr>
            <w:r>
              <w:rPr>
                <w:rFonts w:ascii="宋体" w:hAnsi="宋体" w:eastAsia="宋体"/>
                <w:sz w:val="16"/>
              </w:rPr>
              <w:t>偏差原因分析及改进措施</w:t>
            </w:r>
          </w:p>
        </w:tc>
      </w:tr>
      <w:tr w14:paraId="5D2A79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6084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782B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467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16FB">
            <w:pPr>
              <w:jc w:val="center"/>
            </w:pPr>
            <w:r>
              <w:rPr>
                <w:rFonts w:ascii="宋体" w:hAnsi="宋体" w:eastAsia="宋体"/>
                <w:sz w:val="16"/>
              </w:rPr>
              <w:t>车辆加油次数(次/月/辆)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EE5F">
            <w:pPr>
              <w:jc w:val="center"/>
            </w:pPr>
            <w:r>
              <w:rPr>
                <w:rFonts w:ascii="宋体" w:hAnsi="宋体" w:eastAsia="宋体"/>
                <w:sz w:val="16"/>
              </w:rPr>
              <w:t>&gt;=5次/月/辆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BC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F2CD">
            <w:pPr>
              <w:jc w:val="center"/>
            </w:pPr>
            <w:r>
              <w:rPr>
                <w:rFonts w:ascii="宋体" w:hAnsi="宋体" w:eastAsia="宋体"/>
                <w:sz w:val="16"/>
              </w:rPr>
              <w:t>4次/月/辆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55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22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B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27EE">
            <w:pPr>
              <w:jc w:val="center"/>
            </w:pPr>
            <w:r>
              <w:rPr>
                <w:rFonts w:ascii="宋体" w:hAnsi="宋体" w:eastAsia="宋体"/>
                <w:sz w:val="16"/>
              </w:rPr>
              <w:t>=4次/月/辆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E9E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F6708">
            <w:pPr>
              <w:jc w:val="center"/>
            </w:pPr>
          </w:p>
        </w:tc>
      </w:tr>
      <w:tr w14:paraId="0D228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13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47C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050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61D7">
            <w:pPr>
              <w:jc w:val="center"/>
            </w:pPr>
            <w:r>
              <w:rPr>
                <w:rFonts w:ascii="宋体" w:hAnsi="宋体" w:eastAsia="宋体"/>
                <w:sz w:val="16"/>
              </w:rPr>
              <w:t>接待人数（人次/月）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4673">
            <w:pPr>
              <w:jc w:val="center"/>
            </w:pPr>
            <w:r>
              <w:rPr>
                <w:rFonts w:ascii="宋体" w:hAnsi="宋体" w:eastAsia="宋体"/>
                <w:sz w:val="16"/>
              </w:rPr>
              <w:t>&gt;=320人次/月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C8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3491">
            <w:pPr>
              <w:jc w:val="center"/>
            </w:pPr>
            <w:r>
              <w:rPr>
                <w:rFonts w:ascii="宋体" w:hAnsi="宋体" w:eastAsia="宋体"/>
                <w:sz w:val="16"/>
              </w:rPr>
              <w:t>350人次/月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19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DC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9F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4D72">
            <w:pPr>
              <w:jc w:val="center"/>
            </w:pPr>
            <w:r>
              <w:rPr>
                <w:rFonts w:ascii="宋体" w:hAnsi="宋体" w:eastAsia="宋体"/>
                <w:sz w:val="16"/>
              </w:rPr>
              <w:t>=253人次/月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D43C">
            <w:pPr>
              <w:jc w:val="center"/>
            </w:pPr>
            <w:r>
              <w:rPr>
                <w:rFonts w:ascii="宋体" w:hAnsi="宋体" w:eastAsia="宋体"/>
                <w:sz w:val="16"/>
              </w:rPr>
              <w:t>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39AF0">
            <w:pPr>
              <w:jc w:val="center"/>
            </w:pPr>
            <w:r>
              <w:rPr>
                <w:rFonts w:ascii="宋体" w:hAnsi="宋体" w:eastAsia="宋体"/>
                <w:sz w:val="16"/>
              </w:rPr>
              <w:t>偏差原因：绩效目标</w:t>
            </w:r>
            <w:r>
              <w:rPr>
                <w:rFonts w:hint="eastAsia" w:ascii="宋体" w:hAnsi="宋体"/>
                <w:sz w:val="16"/>
                <w:lang w:eastAsia="zh-CN"/>
              </w:rPr>
              <w:t>制定</w:t>
            </w:r>
            <w:r>
              <w:rPr>
                <w:rFonts w:ascii="宋体" w:hAnsi="宋体" w:eastAsia="宋体"/>
                <w:sz w:val="16"/>
              </w:rPr>
              <w:t>有偏差；改进措施：充分考虑单位实际情况，合理设置绩效目标，严格目标</w:t>
            </w:r>
            <w:r>
              <w:rPr>
                <w:rFonts w:hint="eastAsia" w:ascii="宋体" w:hAnsi="宋体"/>
                <w:sz w:val="16"/>
                <w:lang w:eastAsia="zh-CN"/>
              </w:rPr>
              <w:t>制定</w:t>
            </w:r>
            <w:r>
              <w:rPr>
                <w:rFonts w:ascii="宋体" w:hAnsi="宋体" w:eastAsia="宋体"/>
                <w:sz w:val="16"/>
              </w:rPr>
              <w:t>方案。</w:t>
            </w:r>
          </w:p>
        </w:tc>
      </w:tr>
      <w:tr w14:paraId="3984B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6C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42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F9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8EC5">
            <w:pPr>
              <w:jc w:val="center"/>
            </w:pPr>
            <w:r>
              <w:rPr>
                <w:rFonts w:ascii="宋体" w:hAnsi="宋体" w:eastAsia="宋体"/>
                <w:sz w:val="16"/>
              </w:rPr>
              <w:t>聘用人员人数(人）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43D2">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8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6425">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FF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F1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9B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EDF7">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059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B524B">
            <w:pPr>
              <w:jc w:val="center"/>
            </w:pPr>
          </w:p>
        </w:tc>
      </w:tr>
      <w:tr w14:paraId="5F79F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21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915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078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1AE0">
            <w:pPr>
              <w:jc w:val="center"/>
            </w:pPr>
            <w:r>
              <w:rPr>
                <w:rFonts w:ascii="宋体" w:hAnsi="宋体" w:eastAsia="宋体"/>
                <w:sz w:val="16"/>
              </w:rPr>
              <w:t>车辆行驶安全率（%）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5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2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DE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A29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1E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CE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7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BD2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788A0">
            <w:pPr>
              <w:jc w:val="center"/>
            </w:pPr>
          </w:p>
        </w:tc>
      </w:tr>
      <w:tr w14:paraId="35340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44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79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26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CBD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3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42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2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DE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2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5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56EE">
            <w:pPr>
              <w:jc w:val="center"/>
            </w:pPr>
            <w:r>
              <w:rPr>
                <w:rFonts w:ascii="宋体" w:hAnsi="宋体" w:eastAsia="宋体"/>
                <w:sz w:val="16"/>
              </w:rPr>
              <w:t>=99.98%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6B3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79679">
            <w:pPr>
              <w:jc w:val="center"/>
            </w:pPr>
            <w:r>
              <w:rPr>
                <w:rFonts w:ascii="宋体" w:hAnsi="宋体" w:eastAsia="宋体"/>
                <w:sz w:val="16"/>
              </w:rPr>
              <w:t>偏差原因：资金支付有误，退库后未及时支付；改进措施：督促工作人员积极与财政对接，及时报账，加强预算资金使用合规性。</w:t>
            </w:r>
          </w:p>
        </w:tc>
      </w:tr>
      <w:tr w14:paraId="068D4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53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0E4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FBB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B2F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D15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4E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A0CA">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94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3E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B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6EF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08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0C647">
            <w:pPr>
              <w:jc w:val="center"/>
            </w:pPr>
          </w:p>
        </w:tc>
      </w:tr>
      <w:tr w14:paraId="0EA5A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A9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229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835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C12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28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3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90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A8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DD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BDC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AFA7">
            <w:pPr>
              <w:jc w:val="center"/>
            </w:pPr>
            <w:r>
              <w:rPr>
                <w:rFonts w:ascii="宋体" w:hAnsi="宋体" w:eastAsia="宋体"/>
                <w:sz w:val="16"/>
              </w:rPr>
              <w:t>=99.98%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3D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8258F">
            <w:pPr>
              <w:jc w:val="center"/>
            </w:pPr>
            <w:r>
              <w:rPr>
                <w:rFonts w:ascii="宋体" w:hAnsi="宋体" w:eastAsia="宋体"/>
                <w:sz w:val="16"/>
              </w:rPr>
              <w:t>偏差原因：资金支付有误，退库后未及时支付；改进措施：督促工作人员积极与财政对接，及时报账，加快资金支付。</w:t>
            </w:r>
          </w:p>
        </w:tc>
      </w:tr>
      <w:tr w14:paraId="7168F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B98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34A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8BB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C1FE">
            <w:pPr>
              <w:jc w:val="center"/>
            </w:pPr>
            <w:r>
              <w:rPr>
                <w:rFonts w:ascii="宋体" w:hAnsi="宋体" w:eastAsia="宋体"/>
                <w:sz w:val="16"/>
              </w:rPr>
              <w:t>车辆运行维护费用支出（万元）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50AB">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AE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C8C1">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3A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18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95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7A6E">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C7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000E9">
            <w:pPr>
              <w:jc w:val="center"/>
            </w:pPr>
          </w:p>
        </w:tc>
      </w:tr>
      <w:tr w14:paraId="2AFF5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30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97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D69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865E">
            <w:pPr>
              <w:jc w:val="center"/>
            </w:pPr>
            <w:r>
              <w:rPr>
                <w:rFonts w:ascii="宋体" w:hAnsi="宋体" w:eastAsia="宋体"/>
                <w:sz w:val="16"/>
              </w:rPr>
              <w:t>日常办公费用（万元）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BEBA">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F6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4AD6">
            <w:pPr>
              <w:jc w:val="center"/>
            </w:pPr>
            <w:r>
              <w:rPr>
                <w:rFonts w:ascii="宋体" w:hAnsi="宋体" w:eastAsia="宋体"/>
                <w:sz w:val="16"/>
              </w:rPr>
              <w: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FF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7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237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0D61">
            <w:pPr>
              <w:jc w:val="center"/>
            </w:pPr>
            <w:r>
              <w:rPr>
                <w:rFonts w:ascii="宋体" w:hAnsi="宋体" w:eastAsia="宋体"/>
                <w:sz w:val="16"/>
              </w:rPr>
              <w:t>=49.41万元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9D43">
            <w:pPr>
              <w:jc w:val="center"/>
            </w:pPr>
            <w:r>
              <w:rPr>
                <w:rFonts w:ascii="宋体" w:hAnsi="宋体" w:eastAsia="宋体"/>
                <w:sz w:val="16"/>
              </w:rPr>
              <w:t>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D6019">
            <w:pPr>
              <w:jc w:val="center"/>
            </w:pPr>
            <w:r>
              <w:rPr>
                <w:rFonts w:ascii="宋体" w:hAnsi="宋体" w:eastAsia="宋体"/>
                <w:sz w:val="16"/>
              </w:rPr>
              <w:t>偏差原因：年初绩效目标</w:t>
            </w:r>
            <w:r>
              <w:rPr>
                <w:rFonts w:hint="eastAsia" w:ascii="宋体" w:hAnsi="宋体"/>
                <w:sz w:val="16"/>
                <w:lang w:eastAsia="zh-CN"/>
              </w:rPr>
              <w:t>制定</w:t>
            </w:r>
            <w:r>
              <w:rPr>
                <w:rFonts w:ascii="宋体" w:hAnsi="宋体" w:eastAsia="宋体"/>
                <w:sz w:val="16"/>
              </w:rPr>
              <w:t>有偏差；改进措施：充分考虑单位实际情况，合理设置绩效目标，着力完善制度体系，切实提升工作质量。</w:t>
            </w:r>
          </w:p>
        </w:tc>
      </w:tr>
      <w:tr w14:paraId="190CD4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64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9B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61C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078F">
            <w:pPr>
              <w:jc w:val="center"/>
            </w:pPr>
            <w:r>
              <w:rPr>
                <w:rFonts w:ascii="宋体" w:hAnsi="宋体" w:eastAsia="宋体"/>
                <w:sz w:val="16"/>
              </w:rPr>
              <w:t>聘用人员工资（万元）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F431">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F7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9C8A">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98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D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65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DEA7">
            <w:pPr>
              <w:jc w:val="center"/>
            </w:pPr>
            <w:r>
              <w:rPr>
                <w:rFonts w:ascii="宋体" w:hAnsi="宋体" w:eastAsia="宋体"/>
                <w:sz w:val="16"/>
              </w:rPr>
              <w:t>=45.57万元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94F1">
            <w:pPr>
              <w:jc w:val="center"/>
            </w:pPr>
            <w:r>
              <w:rPr>
                <w:rFonts w:ascii="宋体" w:hAnsi="宋体" w:eastAsia="宋体"/>
                <w:sz w:val="16"/>
              </w:rPr>
              <w:t>6.91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B9B2A">
            <w:pPr>
              <w:jc w:val="center"/>
            </w:pPr>
            <w:r>
              <w:rPr>
                <w:rFonts w:ascii="宋体" w:hAnsi="宋体" w:eastAsia="宋体"/>
                <w:sz w:val="16"/>
              </w:rPr>
              <w:t>偏差原因：部分聘用人员工资从经营收入列支；改进措施：加强预算资金的管理，规范预算执行程序。</w:t>
            </w:r>
          </w:p>
        </w:tc>
      </w:tr>
      <w:tr w14:paraId="1C78A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20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72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23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842C">
            <w:pPr>
              <w:jc w:val="center"/>
            </w:pPr>
            <w:r>
              <w:rPr>
                <w:rFonts w:ascii="宋体" w:hAnsi="宋体" w:eastAsia="宋体"/>
                <w:sz w:val="16"/>
              </w:rPr>
              <w:t>保障业务工作需要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011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5EA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0AF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A7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D7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A4F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C70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741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D7727">
            <w:pPr>
              <w:jc w:val="center"/>
            </w:pPr>
          </w:p>
        </w:tc>
      </w:tr>
      <w:tr w14:paraId="5C587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711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C6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9F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42A2">
            <w:pPr>
              <w:jc w:val="center"/>
            </w:pPr>
            <w:r>
              <w:rPr>
                <w:rFonts w:ascii="宋体" w:hAnsi="宋体" w:eastAsia="宋体"/>
                <w:sz w:val="16"/>
              </w:rPr>
              <w:t>受益服务对象满意度(%)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F0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1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2E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03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1A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E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C0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A1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4171E">
            <w:pPr>
              <w:jc w:val="center"/>
            </w:pPr>
          </w:p>
        </w:tc>
      </w:tr>
      <w:tr w14:paraId="3DE0CE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F2B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39E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FF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7C795D">
            <w:pPr>
              <w:jc w:val="center"/>
            </w:pPr>
            <w:r>
              <w:rPr>
                <w:rFonts w:ascii="宋体" w:hAnsi="宋体" w:eastAsia="宋体"/>
                <w:sz w:val="16"/>
              </w:rPr>
              <w:t>96.53分</w:t>
            </w:r>
          </w:p>
        </w:tc>
      </w:tr>
    </w:tbl>
    <w:p w14:paraId="7555D24F">
      <w:r>
        <w:br w:type="page"/>
      </w:r>
    </w:p>
    <w:p w14:paraId="64467D2D">
      <w:pPr>
        <w:spacing w:line="640" w:lineRule="exact"/>
        <w:ind w:firstLine="640"/>
        <w:jc w:val="both"/>
        <w:outlineLvl w:val="2"/>
      </w:pPr>
      <w:r>
        <w:rPr>
          <w:rFonts w:ascii="黑体" w:hAnsi="黑体" w:eastAsia="黑体"/>
          <w:sz w:val="32"/>
        </w:rPr>
        <w:t>十二、其他需说明的事项</w:t>
      </w:r>
    </w:p>
    <w:p w14:paraId="105E9776">
      <w:pPr>
        <w:spacing w:line="580" w:lineRule="exact"/>
        <w:ind w:firstLine="640"/>
        <w:jc w:val="both"/>
      </w:pPr>
      <w:r>
        <w:rPr>
          <w:rFonts w:ascii="仿宋_GB2312" w:hAnsi="仿宋_GB2312" w:eastAsia="仿宋_GB2312"/>
          <w:b w:val="0"/>
          <w:sz w:val="32"/>
        </w:rPr>
        <w:t>本单位无其他需说明的事项。</w:t>
      </w:r>
    </w:p>
    <w:p w14:paraId="09ABD391">
      <w:r>
        <w:br w:type="page"/>
      </w:r>
    </w:p>
    <w:p w14:paraId="08E22814">
      <w:pPr>
        <w:spacing w:line="240" w:lineRule="auto"/>
        <w:jc w:val="center"/>
        <w:outlineLvl w:val="1"/>
      </w:pPr>
      <w:r>
        <w:rPr>
          <w:rFonts w:ascii="黑体" w:hAnsi="黑体" w:eastAsia="黑体"/>
          <w:sz w:val="32"/>
        </w:rPr>
        <w:t>第三部分 专业名词解释</w:t>
      </w:r>
    </w:p>
    <w:p w14:paraId="52FD240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274420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4E623D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9A1E6B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2D1CCA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D8F9CF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B7D6F3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983D65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381D2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00AA3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B04401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F70C35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98C065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EC42A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8BEB5C5">
      <w:r>
        <w:br w:type="page"/>
      </w:r>
    </w:p>
    <w:p w14:paraId="6162A663">
      <w:pPr>
        <w:spacing w:line="240" w:lineRule="auto"/>
        <w:jc w:val="center"/>
        <w:outlineLvl w:val="1"/>
      </w:pPr>
      <w:r>
        <w:rPr>
          <w:rFonts w:ascii="黑体" w:hAnsi="黑体" w:eastAsia="黑体"/>
          <w:sz w:val="32"/>
        </w:rPr>
        <w:t>第四部分 部门决算报表（见附表）</w:t>
      </w:r>
    </w:p>
    <w:p w14:paraId="47C9E4C2">
      <w:pPr>
        <w:spacing w:line="240" w:lineRule="auto"/>
        <w:ind w:firstLine="640"/>
        <w:jc w:val="both"/>
      </w:pPr>
      <w:r>
        <w:rPr>
          <w:rFonts w:ascii="仿宋_GB2312" w:hAnsi="仿宋_GB2312" w:eastAsia="仿宋_GB2312"/>
          <w:b w:val="0"/>
          <w:sz w:val="32"/>
        </w:rPr>
        <w:t>一、《收入支出决算总表》</w:t>
      </w:r>
    </w:p>
    <w:p w14:paraId="3227DBE5">
      <w:pPr>
        <w:spacing w:line="240" w:lineRule="auto"/>
        <w:ind w:firstLine="640"/>
        <w:jc w:val="both"/>
      </w:pPr>
      <w:r>
        <w:rPr>
          <w:rFonts w:ascii="仿宋_GB2312" w:hAnsi="仿宋_GB2312" w:eastAsia="仿宋_GB2312"/>
          <w:b w:val="0"/>
          <w:sz w:val="32"/>
        </w:rPr>
        <w:t>二、《收入决算表》</w:t>
      </w:r>
    </w:p>
    <w:p w14:paraId="52872CFF">
      <w:pPr>
        <w:spacing w:line="240" w:lineRule="auto"/>
        <w:ind w:firstLine="640"/>
        <w:jc w:val="both"/>
      </w:pPr>
      <w:r>
        <w:rPr>
          <w:rFonts w:ascii="仿宋_GB2312" w:hAnsi="仿宋_GB2312" w:eastAsia="仿宋_GB2312"/>
          <w:b w:val="0"/>
          <w:sz w:val="32"/>
        </w:rPr>
        <w:t>三、《支出决算表》</w:t>
      </w:r>
    </w:p>
    <w:p w14:paraId="2EF760D7">
      <w:pPr>
        <w:spacing w:line="240" w:lineRule="auto"/>
        <w:ind w:firstLine="640"/>
        <w:jc w:val="both"/>
      </w:pPr>
      <w:r>
        <w:rPr>
          <w:rFonts w:ascii="仿宋_GB2312" w:hAnsi="仿宋_GB2312" w:eastAsia="仿宋_GB2312"/>
          <w:b w:val="0"/>
          <w:sz w:val="32"/>
        </w:rPr>
        <w:t>四、《财政拨款收入支出决算总表》</w:t>
      </w:r>
    </w:p>
    <w:p w14:paraId="2CCB45F0">
      <w:pPr>
        <w:spacing w:line="240" w:lineRule="auto"/>
        <w:ind w:firstLine="640"/>
        <w:jc w:val="both"/>
      </w:pPr>
      <w:r>
        <w:rPr>
          <w:rFonts w:ascii="仿宋_GB2312" w:hAnsi="仿宋_GB2312" w:eastAsia="仿宋_GB2312"/>
          <w:b w:val="0"/>
          <w:sz w:val="32"/>
        </w:rPr>
        <w:t>五、《一般公共预算财政拨款支出决算表》</w:t>
      </w:r>
    </w:p>
    <w:p w14:paraId="754BF822">
      <w:pPr>
        <w:spacing w:line="240" w:lineRule="auto"/>
        <w:ind w:firstLine="640"/>
        <w:jc w:val="both"/>
      </w:pPr>
      <w:r>
        <w:rPr>
          <w:rFonts w:ascii="仿宋_GB2312" w:hAnsi="仿宋_GB2312" w:eastAsia="仿宋_GB2312"/>
          <w:b w:val="0"/>
          <w:sz w:val="32"/>
        </w:rPr>
        <w:t>六、《一般公共预算财政拨款基本支出决算表》</w:t>
      </w:r>
    </w:p>
    <w:p w14:paraId="42B6EC99">
      <w:pPr>
        <w:spacing w:line="240" w:lineRule="auto"/>
        <w:ind w:firstLine="640"/>
        <w:jc w:val="both"/>
      </w:pPr>
      <w:r>
        <w:rPr>
          <w:rFonts w:ascii="仿宋_GB2312" w:hAnsi="仿宋_GB2312" w:eastAsia="仿宋_GB2312"/>
          <w:b w:val="0"/>
          <w:sz w:val="32"/>
        </w:rPr>
        <w:t>七、《政府性基金预算财政拨款收入支出决算表》</w:t>
      </w:r>
    </w:p>
    <w:p w14:paraId="3E42FEB6">
      <w:pPr>
        <w:spacing w:line="240" w:lineRule="auto"/>
        <w:ind w:firstLine="640"/>
        <w:jc w:val="both"/>
      </w:pPr>
      <w:r>
        <w:rPr>
          <w:rFonts w:ascii="仿宋_GB2312" w:hAnsi="仿宋_GB2312" w:eastAsia="仿宋_GB2312"/>
          <w:b w:val="0"/>
          <w:sz w:val="32"/>
        </w:rPr>
        <w:t>八、《国有资本经营预算财政拨款收入支出决算表》</w:t>
      </w:r>
    </w:p>
    <w:p w14:paraId="0AE4570D">
      <w:pPr>
        <w:spacing w:line="240" w:lineRule="auto"/>
        <w:ind w:firstLine="640"/>
        <w:jc w:val="both"/>
      </w:pPr>
      <w:r>
        <w:rPr>
          <w:rFonts w:ascii="仿宋_GB2312" w:hAnsi="仿宋_GB2312" w:eastAsia="仿宋_GB2312"/>
          <w:b w:val="0"/>
          <w:sz w:val="32"/>
        </w:rPr>
        <w:t>九、《财政拨款“三公”经费支出决算表》</w:t>
      </w:r>
    </w:p>
    <w:p w14:paraId="7B764085">
      <w:pPr>
        <w:spacing w:line="240" w:lineRule="auto"/>
        <w:ind w:firstLine="640"/>
        <w:jc w:val="both"/>
      </w:pPr>
    </w:p>
    <w:p w14:paraId="17B1D775">
      <w:pPr>
        <w:spacing w:line="240" w:lineRule="auto"/>
        <w:ind w:firstLine="640"/>
        <w:jc w:val="both"/>
      </w:pPr>
    </w:p>
    <w:p w14:paraId="2F64D92D">
      <w:pPr>
        <w:spacing w:line="240" w:lineRule="auto"/>
        <w:ind w:firstLine="640"/>
        <w:jc w:val="both"/>
      </w:pPr>
    </w:p>
    <w:p w14:paraId="0B52CE8E">
      <w:pPr>
        <w:spacing w:line="240" w:lineRule="auto"/>
        <w:ind w:firstLine="640"/>
        <w:jc w:val="both"/>
      </w:pPr>
    </w:p>
    <w:p w14:paraId="55932B2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76F710F-B851-4962-8206-A3F27A6B99B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1110996E-55EE-4158-A323-B7471A8F5C05}"/>
  </w:font>
  <w:font w:name="楷体_GB2312">
    <w:panose1 w:val="02010609030101010101"/>
    <w:charset w:val="86"/>
    <w:family w:val="auto"/>
    <w:pitch w:val="default"/>
    <w:sig w:usb0="00000001" w:usb1="080E0000" w:usb2="00000000" w:usb3="00000000" w:csb0="00040000" w:csb1="00000000"/>
    <w:embedRegular r:id="rId3" w:fontKey="{729987C6-0421-46FE-A8CE-04E157F6D91D}"/>
  </w:font>
  <w:font w:name="方正小标宋_GBK">
    <w:panose1 w:val="02000000000000000000"/>
    <w:charset w:val="86"/>
    <w:family w:val="script"/>
    <w:pitch w:val="default"/>
    <w:sig w:usb0="A00002BF" w:usb1="38CF7CFA" w:usb2="00082016" w:usb3="00000000" w:csb0="00040001" w:csb1="00000000"/>
    <w:embedRegular r:id="rId4" w:fontKey="{2DAEB5C0-8914-4687-8E48-3E39FA27FFF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2002AC"/>
    <w:rsid w:val="043E5B56"/>
    <w:rsid w:val="06792773"/>
    <w:rsid w:val="09A729D8"/>
    <w:rsid w:val="0A3C58E8"/>
    <w:rsid w:val="0A7B4867"/>
    <w:rsid w:val="0B8C3ECC"/>
    <w:rsid w:val="0C3613A3"/>
    <w:rsid w:val="0C7227A7"/>
    <w:rsid w:val="0DCA6EF7"/>
    <w:rsid w:val="0E4B1576"/>
    <w:rsid w:val="0EA04331"/>
    <w:rsid w:val="0F9811B3"/>
    <w:rsid w:val="11E15093"/>
    <w:rsid w:val="120E0809"/>
    <w:rsid w:val="142E09DC"/>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4476</Words>
  <Characters>5088</Characters>
  <Lines>0</Lines>
  <Paragraphs>0</Paragraphs>
  <TotalTime>6</TotalTime>
  <ScaleCrop>false</ScaleCrop>
  <LinksUpToDate>false</LinksUpToDate>
  <CharactersWithSpaces>5096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2025-09-02T03:43:51Z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