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克孜勒苏柯尔克孜自治州农牧业机械技术推广站2024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2DE403E">
      <w:r>
        <w:br w:type="page"/>
      </w:r>
    </w:p>
    <w:p w14:paraId="07D373F2">
      <w:pPr>
        <w:spacing w:line="640" w:lineRule="exact"/>
        <w:jc w:val="center"/>
        <w:outlineLvl w:val="1"/>
      </w:pPr>
      <w:r>
        <w:rPr>
          <w:rFonts w:ascii="黑体" w:hAnsi="黑体" w:eastAsia="黑体"/>
          <w:sz w:val="32"/>
        </w:rPr>
        <w:t>第一部分 单位概况</w:t>
      </w:r>
    </w:p>
    <w:p w14:paraId="7B6FD7C2">
      <w:pPr>
        <w:spacing w:line="640" w:lineRule="exact"/>
        <w:ind w:firstLine="640"/>
        <w:jc w:val="both"/>
        <w:outlineLvl w:val="2"/>
      </w:pPr>
      <w:r>
        <w:rPr>
          <w:rFonts w:ascii="黑体" w:hAnsi="黑体" w:eastAsia="黑体"/>
          <w:sz w:val="32"/>
        </w:rPr>
        <w:t>一、主要职能</w:t>
      </w:r>
    </w:p>
    <w:p w14:paraId="291602EE">
      <w:pPr>
        <w:spacing w:line="580" w:lineRule="exact"/>
        <w:ind w:firstLine="640"/>
        <w:jc w:val="both"/>
      </w:pPr>
      <w:r>
        <w:rPr>
          <w:rFonts w:ascii="仿宋_GB2312" w:hAnsi="仿宋_GB2312" w:eastAsia="仿宋_GB2312"/>
          <w:sz w:val="32"/>
        </w:rPr>
        <w:t>克州农牧业机械技术推广站主要职责是制定年度推广计划并组织实施；负责新型农机具的选型、引进、开发、试验、示范推广工作；组织对农机具的研制开发、改制、改进和专利申报工作；负责农机新成果、新技术、新机具的技术咨询、培训、指导、宣传普及和信息服务工作。</w:t>
      </w:r>
    </w:p>
    <w:p w14:paraId="52EE64FD">
      <w:pPr>
        <w:spacing w:line="640" w:lineRule="exact"/>
        <w:ind w:firstLine="640"/>
        <w:jc w:val="both"/>
        <w:outlineLvl w:val="2"/>
      </w:pPr>
      <w:r>
        <w:rPr>
          <w:rFonts w:ascii="黑体" w:hAnsi="黑体" w:eastAsia="黑体"/>
          <w:sz w:val="32"/>
        </w:rPr>
        <w:t>二、机构设置及人员情况</w:t>
      </w:r>
    </w:p>
    <w:p w14:paraId="4E7CDB53">
      <w:pPr>
        <w:spacing w:line="580" w:lineRule="exact"/>
        <w:ind w:firstLine="640"/>
        <w:jc w:val="both"/>
      </w:pPr>
      <w:r>
        <w:rPr>
          <w:rFonts w:ascii="仿宋_GB2312" w:hAnsi="仿宋_GB2312" w:eastAsia="仿宋_GB2312"/>
          <w:sz w:val="32"/>
        </w:rPr>
        <w:t>克孜勒苏柯尔克孜自治州农牧业机械技术推广站2024年度，实有人数57人，其中：在职人员39人，增加0人；离休人员0人，增加0人；退休人员18人,增加0人。</w:t>
      </w:r>
    </w:p>
    <w:p w14:paraId="3847E372">
      <w:pPr>
        <w:spacing w:line="580" w:lineRule="exact"/>
        <w:ind w:firstLine="640"/>
        <w:jc w:val="both"/>
      </w:pPr>
      <w:r>
        <w:rPr>
          <w:rFonts w:ascii="仿宋_GB2312" w:hAnsi="仿宋_GB2312" w:eastAsia="仿宋_GB2312"/>
          <w:sz w:val="32"/>
        </w:rPr>
        <w:t>克孜勒苏柯尔克孜自治州农牧业机械技术推广站无下属预算单位，下设1个科室，分别是：产业指导科。</w:t>
      </w:r>
    </w:p>
    <w:p w14:paraId="73981208">
      <w:r>
        <w:br w:type="page"/>
      </w:r>
    </w:p>
    <w:p w14:paraId="534BAC29">
      <w:pPr>
        <w:spacing w:line="240" w:lineRule="auto"/>
        <w:jc w:val="center"/>
        <w:outlineLvl w:val="1"/>
      </w:pPr>
      <w:r>
        <w:rPr>
          <w:rFonts w:ascii="黑体" w:hAnsi="黑体" w:eastAsia="黑体"/>
          <w:sz w:val="32"/>
        </w:rPr>
        <w:t>第二部分 部门决算情况说明</w:t>
      </w:r>
    </w:p>
    <w:p w14:paraId="3751F6D7">
      <w:pPr>
        <w:spacing w:line="640" w:lineRule="exact"/>
        <w:ind w:firstLine="640"/>
        <w:jc w:val="both"/>
        <w:outlineLvl w:val="2"/>
      </w:pPr>
      <w:r>
        <w:rPr>
          <w:rFonts w:ascii="黑体" w:hAnsi="黑体" w:eastAsia="黑体"/>
          <w:sz w:val="32"/>
        </w:rPr>
        <w:t>一、收入支出决算总体情况说明</w:t>
      </w:r>
    </w:p>
    <w:p w14:paraId="7C528589">
      <w:pPr>
        <w:spacing w:line="580" w:lineRule="exact"/>
        <w:ind w:firstLine="640"/>
        <w:jc w:val="both"/>
      </w:pPr>
      <w:r>
        <w:rPr>
          <w:rFonts w:ascii="仿宋_GB2312" w:hAnsi="仿宋_GB2312" w:eastAsia="仿宋_GB2312"/>
          <w:b/>
          <w:sz w:val="32"/>
        </w:rPr>
        <w:t>2024年度收入总计845.81万元，</w:t>
      </w:r>
      <w:r>
        <w:rPr>
          <w:rFonts w:ascii="仿宋_GB2312" w:hAnsi="仿宋_GB2312" w:eastAsia="仿宋_GB2312"/>
          <w:b w:val="0"/>
          <w:sz w:val="32"/>
        </w:rPr>
        <w:t>其中：本年收入合计845.81万元，使用非财政拨款结余（含专用结余）0.00万元，年初结转和结余0.00万元。</w:t>
      </w:r>
    </w:p>
    <w:p w14:paraId="2AEC437C">
      <w:pPr>
        <w:spacing w:line="580" w:lineRule="exact"/>
        <w:ind w:firstLine="640"/>
        <w:jc w:val="both"/>
      </w:pPr>
      <w:r>
        <w:rPr>
          <w:rFonts w:ascii="仿宋_GB2312" w:hAnsi="仿宋_GB2312" w:eastAsia="仿宋_GB2312"/>
          <w:b/>
          <w:sz w:val="32"/>
        </w:rPr>
        <w:t>2024年度支出总计845.81万元，</w:t>
      </w:r>
      <w:r>
        <w:rPr>
          <w:rFonts w:ascii="仿宋_GB2312" w:hAnsi="仿宋_GB2312" w:eastAsia="仿宋_GB2312"/>
          <w:b w:val="0"/>
          <w:sz w:val="32"/>
        </w:rPr>
        <w:t>其中：本年支出合计845.78万元，结余分配0.00万元，年末结转和结余0.03万元。</w:t>
      </w:r>
    </w:p>
    <w:p w14:paraId="58D0A950">
      <w:pPr>
        <w:spacing w:line="580" w:lineRule="exact"/>
        <w:ind w:firstLine="640"/>
        <w:jc w:val="both"/>
      </w:pPr>
      <w:r>
        <w:rPr>
          <w:rFonts w:ascii="仿宋_GB2312" w:hAnsi="仿宋_GB2312" w:eastAsia="仿宋_GB2312"/>
          <w:b w:val="0"/>
          <w:sz w:val="32"/>
        </w:rPr>
        <w:t>收入支出总体与上年相比，增加24.66万元，增长3.00%，主要原因是：人员工资增长，社保、公积金基数调增，相关收入支出增加。</w:t>
      </w:r>
    </w:p>
    <w:p w14:paraId="412403A4">
      <w:pPr>
        <w:spacing w:line="640" w:lineRule="exact"/>
        <w:ind w:firstLine="640"/>
        <w:jc w:val="both"/>
        <w:outlineLvl w:val="2"/>
      </w:pPr>
      <w:r>
        <w:rPr>
          <w:rFonts w:ascii="黑体" w:hAnsi="黑体" w:eastAsia="黑体"/>
          <w:sz w:val="32"/>
        </w:rPr>
        <w:t>二、收入决算情况说明</w:t>
      </w:r>
    </w:p>
    <w:p w14:paraId="5916C6AB">
      <w:pPr>
        <w:spacing w:line="580" w:lineRule="exact"/>
        <w:ind w:firstLine="640"/>
        <w:jc w:val="both"/>
      </w:pPr>
      <w:r>
        <w:rPr>
          <w:rFonts w:ascii="仿宋_GB2312" w:hAnsi="仿宋_GB2312" w:eastAsia="仿宋_GB2312"/>
          <w:b/>
          <w:sz w:val="32"/>
        </w:rPr>
        <w:t>本年收入845.81万元，</w:t>
      </w:r>
      <w:r>
        <w:rPr>
          <w:rFonts w:ascii="仿宋_GB2312" w:hAnsi="仿宋_GB2312" w:eastAsia="仿宋_GB2312"/>
          <w:b w:val="0"/>
          <w:sz w:val="32"/>
        </w:rPr>
        <w:t>其中：财政拨款收入845.78万元，占100.00%；上级补助收入0.00万元，占0.00%；事业收入0.00万元，占0.00%；经营收入0.00万元，占0.00%；附属单位上缴收入0.00万元，占0.00%；其他收入0.03万元，占0.004%。</w:t>
      </w:r>
    </w:p>
    <w:p w14:paraId="67CBA8FC">
      <w:pPr>
        <w:spacing w:line="640" w:lineRule="exact"/>
        <w:ind w:firstLine="640"/>
        <w:jc w:val="both"/>
        <w:outlineLvl w:val="2"/>
      </w:pPr>
      <w:r>
        <w:rPr>
          <w:rFonts w:ascii="黑体" w:hAnsi="黑体" w:eastAsia="黑体"/>
          <w:sz w:val="32"/>
        </w:rPr>
        <w:t>三、支出决算情况说明</w:t>
      </w:r>
    </w:p>
    <w:p w14:paraId="4214EE90">
      <w:pPr>
        <w:spacing w:line="580" w:lineRule="exact"/>
        <w:ind w:firstLine="640"/>
        <w:jc w:val="both"/>
      </w:pPr>
      <w:r>
        <w:rPr>
          <w:rFonts w:ascii="仿宋_GB2312" w:hAnsi="仿宋_GB2312" w:eastAsia="仿宋_GB2312"/>
          <w:b/>
          <w:sz w:val="32"/>
        </w:rPr>
        <w:t>本年支出845.78万元，</w:t>
      </w:r>
      <w:r>
        <w:rPr>
          <w:rFonts w:ascii="仿宋_GB2312" w:hAnsi="仿宋_GB2312" w:eastAsia="仿宋_GB2312"/>
          <w:b w:val="0"/>
          <w:sz w:val="32"/>
        </w:rPr>
        <w:t>其中：基本支出811.78万元，占95.98%；项目支出34.00万元，占4.02%；上缴上级支出0.00万元，占0.00%；经营支出0.00万元，占0.00%；对附属单位补助支出0.00万元，占0.00%。</w:t>
      </w:r>
    </w:p>
    <w:p w14:paraId="3B0C452C">
      <w:pPr>
        <w:spacing w:line="640" w:lineRule="exact"/>
        <w:ind w:firstLine="640"/>
        <w:jc w:val="both"/>
        <w:outlineLvl w:val="2"/>
      </w:pPr>
      <w:r>
        <w:rPr>
          <w:rFonts w:ascii="黑体" w:hAnsi="黑体" w:eastAsia="黑体"/>
          <w:sz w:val="32"/>
        </w:rPr>
        <w:t>四、财政拨款收入支出决算总体情况说明</w:t>
      </w:r>
    </w:p>
    <w:p w14:paraId="14F346C0">
      <w:pPr>
        <w:spacing w:line="580" w:lineRule="exact"/>
        <w:ind w:firstLine="640"/>
        <w:jc w:val="both"/>
      </w:pPr>
      <w:r>
        <w:rPr>
          <w:rFonts w:ascii="仿宋_GB2312" w:hAnsi="仿宋_GB2312" w:eastAsia="仿宋_GB2312"/>
          <w:b/>
          <w:sz w:val="32"/>
        </w:rPr>
        <w:t>2024年度财政拨款收入总计845.78万元，</w:t>
      </w:r>
      <w:r>
        <w:rPr>
          <w:rFonts w:ascii="仿宋_GB2312" w:hAnsi="仿宋_GB2312" w:eastAsia="仿宋_GB2312"/>
          <w:b w:val="0"/>
          <w:sz w:val="32"/>
        </w:rPr>
        <w:t>其中：年初财政拨款结转和结余0.00万元，本年财政拨款收入845.78万元。</w:t>
      </w:r>
      <w:r>
        <w:rPr>
          <w:rFonts w:ascii="仿宋_GB2312" w:hAnsi="仿宋_GB2312" w:eastAsia="仿宋_GB2312"/>
          <w:b/>
          <w:sz w:val="32"/>
        </w:rPr>
        <w:t>财政拨款支出总计845.78万元，</w:t>
      </w:r>
      <w:r>
        <w:rPr>
          <w:rFonts w:ascii="仿宋_GB2312" w:hAnsi="仿宋_GB2312" w:eastAsia="仿宋_GB2312"/>
          <w:b w:val="0"/>
          <w:sz w:val="32"/>
        </w:rPr>
        <w:t>其中：年末财政拨款结转和结余0.00万元，本年财政拨款支出845.78万元。</w:t>
      </w:r>
    </w:p>
    <w:p w14:paraId="039704B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增加24.67万元，增长3.00%，主要原因是：人员工资增长，社保、公积金基数调增，相关收入支出增加。</w:t>
      </w:r>
      <w:r>
        <w:rPr>
          <w:rFonts w:ascii="仿宋_GB2312" w:hAnsi="仿宋_GB2312" w:eastAsia="仿宋_GB2312"/>
          <w:b/>
          <w:sz w:val="32"/>
        </w:rPr>
        <w:t>与年初预算相比，</w:t>
      </w:r>
      <w:r>
        <w:rPr>
          <w:rFonts w:ascii="仿宋_GB2312" w:hAnsi="仿宋_GB2312" w:eastAsia="仿宋_GB2312"/>
          <w:b w:val="0"/>
          <w:sz w:val="32"/>
        </w:rPr>
        <w:t>年初预算数782.43万元，决算数845.78万元，预决算差异率8.10%，主要原因是：本年在职人员工资调薪，社保基数调整等相关人员经费增加，年中追加人员经费。</w:t>
      </w:r>
    </w:p>
    <w:p w14:paraId="52A33B58">
      <w:pPr>
        <w:spacing w:line="640" w:lineRule="exact"/>
        <w:ind w:firstLine="640"/>
        <w:jc w:val="both"/>
        <w:outlineLvl w:val="2"/>
      </w:pPr>
      <w:r>
        <w:rPr>
          <w:rFonts w:ascii="黑体" w:hAnsi="黑体" w:eastAsia="黑体"/>
          <w:sz w:val="32"/>
        </w:rPr>
        <w:t>五、一般公共预算财政拨款支出决算情况说明</w:t>
      </w:r>
    </w:p>
    <w:p w14:paraId="2404EE8C">
      <w:pPr>
        <w:spacing w:line="640" w:lineRule="exact"/>
        <w:ind w:firstLine="640"/>
        <w:jc w:val="both"/>
        <w:outlineLvl w:val="3"/>
      </w:pPr>
      <w:r>
        <w:rPr>
          <w:rFonts w:ascii="楷体_GB2312" w:hAnsi="楷体_GB2312" w:eastAsia="楷体_GB2312"/>
          <w:b/>
          <w:sz w:val="32"/>
        </w:rPr>
        <w:t>（一）一般公共预算财政拨款支出决算总体情况</w:t>
      </w:r>
    </w:p>
    <w:p w14:paraId="6A58C5A0">
      <w:pPr>
        <w:spacing w:line="580" w:lineRule="exact"/>
        <w:ind w:firstLine="640"/>
        <w:jc w:val="both"/>
      </w:pPr>
      <w:r>
        <w:rPr>
          <w:rFonts w:ascii="仿宋_GB2312" w:hAnsi="仿宋_GB2312" w:eastAsia="仿宋_GB2312"/>
          <w:b/>
          <w:sz w:val="32"/>
        </w:rPr>
        <w:t>2024年度一般公共预算财政拨款支出845.78万元，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增加24.67万元，增长3.00%，主要原因是：人员工资增长，社保、公积金基数调增，相关支出增加。</w:t>
      </w:r>
      <w:r>
        <w:rPr>
          <w:rFonts w:ascii="仿宋_GB2312" w:hAnsi="仿宋_GB2312" w:eastAsia="仿宋_GB2312"/>
          <w:b/>
          <w:sz w:val="32"/>
        </w:rPr>
        <w:t>与年初预算相比,</w:t>
      </w:r>
      <w:r>
        <w:rPr>
          <w:rFonts w:ascii="仿宋_GB2312" w:hAnsi="仿宋_GB2312" w:eastAsia="仿宋_GB2312"/>
          <w:b w:val="0"/>
          <w:sz w:val="32"/>
        </w:rPr>
        <w:t>年初预算数782.43万元，决算数845.78万元，预决算差异率8.10%，主要原因是：本年在职人员工资调薪，社保基数调整等相关人员经费增加，年中追加人员经费。</w:t>
      </w:r>
    </w:p>
    <w:p w14:paraId="3FBB83E8">
      <w:pPr>
        <w:spacing w:line="640" w:lineRule="exact"/>
        <w:ind w:firstLine="640"/>
        <w:jc w:val="both"/>
        <w:outlineLvl w:val="3"/>
      </w:pPr>
      <w:r>
        <w:rPr>
          <w:rFonts w:ascii="楷体_GB2312" w:hAnsi="楷体_GB2312" w:eastAsia="楷体_GB2312"/>
          <w:b/>
          <w:sz w:val="32"/>
        </w:rPr>
        <w:t>（二）一般公共预算财政拨款支出决算结构情况</w:t>
      </w:r>
    </w:p>
    <w:p w14:paraId="31FF4A03">
      <w:pPr>
        <w:spacing w:line="580" w:lineRule="exact"/>
        <w:ind w:firstLine="640"/>
        <w:jc w:val="both"/>
      </w:pPr>
      <w:r>
        <w:rPr>
          <w:rFonts w:ascii="仿宋_GB2312" w:hAnsi="仿宋_GB2312" w:eastAsia="仿宋_GB2312"/>
          <w:b w:val="0"/>
          <w:sz w:val="32"/>
        </w:rPr>
        <w:t>1.社会保障和就业支出(类)107.24万元,占12.68%。</w:t>
      </w:r>
    </w:p>
    <w:p w14:paraId="0DDCC47F">
      <w:pPr>
        <w:spacing w:line="580" w:lineRule="exact"/>
        <w:ind w:firstLine="640"/>
        <w:jc w:val="both"/>
      </w:pPr>
      <w:r>
        <w:rPr>
          <w:rFonts w:ascii="仿宋_GB2312" w:hAnsi="仿宋_GB2312" w:eastAsia="仿宋_GB2312"/>
          <w:b w:val="0"/>
          <w:sz w:val="32"/>
        </w:rPr>
        <w:t>2.农林水支出(类)738.54万元,占87.32%。</w:t>
      </w:r>
    </w:p>
    <w:p w14:paraId="590AD09B">
      <w:pPr>
        <w:spacing w:line="640" w:lineRule="exact"/>
        <w:ind w:firstLine="640"/>
        <w:jc w:val="both"/>
        <w:outlineLvl w:val="3"/>
      </w:pPr>
      <w:r>
        <w:rPr>
          <w:rFonts w:ascii="楷体_GB2312" w:hAnsi="楷体_GB2312" w:eastAsia="楷体_GB2312"/>
          <w:b/>
          <w:sz w:val="32"/>
        </w:rPr>
        <w:t>（三）一般公共预算财政拨款支出决算具体情况</w:t>
      </w:r>
    </w:p>
    <w:p w14:paraId="6939C5B0">
      <w:pPr>
        <w:spacing w:line="580" w:lineRule="exact"/>
        <w:ind w:firstLine="640"/>
        <w:jc w:val="both"/>
      </w:pPr>
      <w:r>
        <w:rPr>
          <w:rFonts w:ascii="仿宋_GB2312" w:hAnsi="仿宋_GB2312" w:eastAsia="仿宋_GB2312"/>
          <w:b w:val="0"/>
          <w:sz w:val="32"/>
        </w:rPr>
        <w:t>1.教育支出(类)普通教育(款)学前教育(项):支出决算数为0.00万元，比上年决算减少0.26万元，下降100.00%,主要原因是：上年补发支教人员生活补助经费，本年无此科目支出。</w:t>
      </w:r>
    </w:p>
    <w:p w14:paraId="6D1FBBEC">
      <w:pPr>
        <w:spacing w:line="580" w:lineRule="exact"/>
        <w:ind w:firstLine="640"/>
        <w:jc w:val="both"/>
        <w:rPr>
          <w:highlight w:val="none"/>
        </w:rPr>
      </w:pPr>
      <w:r>
        <w:rPr>
          <w:rFonts w:ascii="仿宋_GB2312" w:hAnsi="仿宋_GB2312" w:eastAsia="仿宋_GB2312"/>
          <w:b w:val="0"/>
          <w:sz w:val="32"/>
        </w:rPr>
        <w:t>2.社会保障和就业支出(类)行政事业单位养老支出(款)事业单位离退休(项):支出决算数为27.08万元，比上年决算减少2.25万元，下降7.67%,主要原因是：</w:t>
      </w:r>
      <w:r>
        <w:rPr>
          <w:rFonts w:ascii="仿宋_GB2312" w:hAnsi="仿宋_GB2312" w:eastAsia="仿宋_GB2312"/>
          <w:b w:val="0"/>
          <w:sz w:val="32"/>
          <w:highlight w:val="none"/>
        </w:rPr>
        <w:t>本年</w:t>
      </w:r>
      <w:r>
        <w:rPr>
          <w:rFonts w:hint="eastAsia" w:ascii="仿宋_GB2312" w:hAnsi="仿宋_GB2312" w:eastAsia="仿宋_GB2312"/>
          <w:b w:val="0"/>
          <w:sz w:val="32"/>
          <w:highlight w:val="none"/>
          <w:lang w:val="en-US" w:eastAsia="zh-CN"/>
        </w:rPr>
        <w:t>度退休人员医疗保险制度改革</w:t>
      </w:r>
      <w:r>
        <w:rPr>
          <w:rFonts w:ascii="仿宋_GB2312" w:hAnsi="仿宋_GB2312" w:eastAsia="仿宋_GB2312"/>
          <w:b w:val="0"/>
          <w:sz w:val="32"/>
          <w:highlight w:val="none"/>
        </w:rPr>
        <w:t>，</w:t>
      </w:r>
      <w:r>
        <w:rPr>
          <w:rFonts w:hint="eastAsia" w:ascii="仿宋_GB2312" w:hAnsi="仿宋_GB2312" w:eastAsia="仿宋_GB2312"/>
          <w:b w:val="0"/>
          <w:sz w:val="32"/>
          <w:highlight w:val="none"/>
          <w:lang w:val="en-US" w:eastAsia="zh-CN"/>
        </w:rPr>
        <w:t>单位不再缴纳退休人员医保，</w:t>
      </w:r>
      <w:r>
        <w:rPr>
          <w:rFonts w:ascii="仿宋_GB2312" w:hAnsi="仿宋_GB2312" w:eastAsia="仿宋_GB2312"/>
          <w:b w:val="0"/>
          <w:sz w:val="32"/>
          <w:highlight w:val="none"/>
        </w:rPr>
        <w:t>导致经费较上年减少。</w:t>
      </w:r>
    </w:p>
    <w:p w14:paraId="74976AE9">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72.19万元，比上年决算增加5.88万元，增长8.87%,主要原因是：本年在职人员工资基数调增，养老缴费基数上涨，相应支出增加。</w:t>
      </w:r>
    </w:p>
    <w:p w14:paraId="4AF75154">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4.社会保障和就业支出(类)行政事业单位养老支出(款)机关事业单位职业年金缴费支出(项):支出决算数为7.97万元，比上年决算减少3.90万元，下降32.86%,主要原因是：本年</w:t>
      </w:r>
      <w:r>
        <w:rPr>
          <w:rFonts w:hint="eastAsia" w:ascii="仿宋_GB2312" w:hAnsi="仿宋_GB2312" w:eastAsia="仿宋_GB2312"/>
          <w:b w:val="0"/>
          <w:sz w:val="32"/>
          <w:lang w:val="en-US" w:eastAsia="zh-CN"/>
        </w:rPr>
        <w:t>发放以前年度退休人员的剩余职业年金</w:t>
      </w:r>
      <w:r>
        <w:rPr>
          <w:rFonts w:ascii="仿宋_GB2312" w:hAnsi="仿宋_GB2312" w:eastAsia="仿宋_GB2312"/>
          <w:b w:val="0"/>
          <w:sz w:val="32"/>
        </w:rPr>
        <w:t>，</w:t>
      </w:r>
      <w:r>
        <w:rPr>
          <w:rFonts w:hint="eastAsia" w:ascii="仿宋_GB2312" w:hAnsi="仿宋_GB2312" w:eastAsia="仿宋_GB2312"/>
          <w:b w:val="0"/>
          <w:sz w:val="32"/>
          <w:lang w:val="en-US" w:eastAsia="zh-CN"/>
        </w:rPr>
        <w:t>导致</w:t>
      </w:r>
      <w:r>
        <w:rPr>
          <w:rFonts w:ascii="仿宋_GB2312" w:hAnsi="仿宋_GB2312" w:eastAsia="仿宋_GB2312"/>
          <w:b w:val="0"/>
          <w:sz w:val="32"/>
        </w:rPr>
        <w:t>职业年金缴费较上年减少。</w:t>
      </w:r>
    </w:p>
    <w:p w14:paraId="57DABCA7">
      <w:pPr>
        <w:spacing w:line="580" w:lineRule="exact"/>
        <w:ind w:firstLine="640"/>
        <w:jc w:val="both"/>
      </w:pPr>
      <w:r>
        <w:rPr>
          <w:rFonts w:ascii="仿宋_GB2312" w:hAnsi="仿宋_GB2312" w:eastAsia="仿宋_GB2312"/>
          <w:b w:val="0"/>
          <w:sz w:val="32"/>
        </w:rPr>
        <w:t>5.农林水支出(类)农业农村(款)事业运行(项):支出决算数为704.54万元，比上年决算增加26.20万元，增长3.86%,主要原因是：本年在职人员工资调增，导致相关人员经费较上年有所增加。</w:t>
      </w:r>
    </w:p>
    <w:p w14:paraId="664C90EE">
      <w:pPr>
        <w:spacing w:line="580" w:lineRule="exact"/>
        <w:ind w:firstLine="640"/>
        <w:jc w:val="both"/>
      </w:pPr>
      <w:r>
        <w:rPr>
          <w:rFonts w:ascii="仿宋_GB2312" w:hAnsi="仿宋_GB2312" w:eastAsia="仿宋_GB2312"/>
          <w:b w:val="0"/>
          <w:sz w:val="32"/>
        </w:rPr>
        <w:t>6.农林水支出(类)农业农村(款)其他农业农村支出(项):支出决算数为34.00万元，比上年决算减少1.00万元，下降2.86%,主要原因是：较上年减少第一书记安置费。</w:t>
      </w:r>
    </w:p>
    <w:p w14:paraId="7ACBE4A0">
      <w:pPr>
        <w:spacing w:line="640" w:lineRule="exact"/>
        <w:ind w:firstLine="640"/>
        <w:jc w:val="both"/>
        <w:outlineLvl w:val="2"/>
      </w:pPr>
      <w:r>
        <w:rPr>
          <w:rFonts w:ascii="黑体" w:hAnsi="黑体" w:eastAsia="黑体"/>
          <w:sz w:val="32"/>
        </w:rPr>
        <w:t>六、一般公共预算财政拨款基本支出决算情况说明</w:t>
      </w:r>
    </w:p>
    <w:p w14:paraId="2B3C85FA">
      <w:pPr>
        <w:spacing w:line="580" w:lineRule="exact"/>
        <w:ind w:firstLine="640"/>
        <w:jc w:val="both"/>
      </w:pPr>
      <w:r>
        <w:rPr>
          <w:rFonts w:ascii="仿宋_GB2312" w:hAnsi="仿宋_GB2312" w:eastAsia="仿宋_GB2312"/>
          <w:b w:val="0"/>
          <w:sz w:val="32"/>
        </w:rPr>
        <w:t>2024年度一般公共预算财政拨款基本支出811.78万元，其中：</w:t>
      </w:r>
      <w:r>
        <w:rPr>
          <w:rFonts w:ascii="仿宋_GB2312" w:hAnsi="仿宋_GB2312" w:eastAsia="仿宋_GB2312"/>
          <w:b/>
          <w:sz w:val="32"/>
        </w:rPr>
        <w:t>人员经费784.54万元，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包括：基本工资、津贴补贴、奖金、机关事业单位基本养老保险缴费、职业年金缴费、职工基本医疗保险缴费、其他社会保障缴费、住房公积金、退休费、生活补助、奖励金。</w:t>
      </w:r>
    </w:p>
    <w:p w14:paraId="1842610A">
      <w:pPr>
        <w:spacing w:line="580" w:lineRule="exact"/>
        <w:ind w:firstLine="640"/>
        <w:jc w:val="both"/>
      </w:pPr>
      <w:r>
        <w:rPr>
          <w:rFonts w:ascii="仿宋_GB2312" w:hAnsi="仿宋_GB2312" w:eastAsia="仿宋_GB2312"/>
          <w:b/>
          <w:sz w:val="32"/>
        </w:rPr>
        <w:t>公用经费27.24万元，</w:t>
      </w:r>
      <w:r>
        <w:rPr>
          <w:rFonts w:ascii="仿宋_GB2312" w:hAnsi="仿宋_GB2312" w:eastAsia="仿宋_GB2312"/>
          <w:b w:val="0"/>
          <w:sz w:val="32"/>
        </w:rPr>
        <w:t>包括：办公费、印刷费、电费、邮电费、差旅费、维修（护）费、工会经费、福利费、公务用车运行维护费、其他商品和服务支出。</w:t>
      </w:r>
    </w:p>
    <w:p w14:paraId="3A9BD9FC">
      <w:pPr>
        <w:spacing w:line="640" w:lineRule="exact"/>
        <w:ind w:firstLine="640"/>
        <w:jc w:val="both"/>
        <w:outlineLvl w:val="2"/>
      </w:pPr>
      <w:r>
        <w:rPr>
          <w:rFonts w:ascii="黑体" w:hAnsi="黑体" w:eastAsia="黑体"/>
          <w:sz w:val="32"/>
        </w:rPr>
        <w:t>七、政府性基金预算财政拨款收入支出决算情况说明</w:t>
      </w:r>
    </w:p>
    <w:p w14:paraId="22A7DD3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2FE1A20">
      <w:pPr>
        <w:spacing w:line="640" w:lineRule="exact"/>
        <w:ind w:firstLine="640"/>
        <w:jc w:val="both"/>
        <w:outlineLvl w:val="2"/>
      </w:pPr>
      <w:r>
        <w:rPr>
          <w:rFonts w:ascii="黑体" w:hAnsi="黑体" w:eastAsia="黑体"/>
          <w:sz w:val="32"/>
        </w:rPr>
        <w:t>八、国有资本经营预算财政拨款收入支出决算情况说明</w:t>
      </w:r>
    </w:p>
    <w:p w14:paraId="5FF2F50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2C17729">
      <w:pPr>
        <w:spacing w:line="640" w:lineRule="exact"/>
        <w:ind w:firstLine="640"/>
        <w:jc w:val="both"/>
        <w:outlineLvl w:val="2"/>
      </w:pPr>
      <w:r>
        <w:rPr>
          <w:rFonts w:ascii="黑体" w:hAnsi="黑体" w:eastAsia="黑体"/>
          <w:sz w:val="32"/>
        </w:rPr>
        <w:t>九、财政拨款“三公”经费支出决算情况说明</w:t>
      </w:r>
    </w:p>
    <w:p w14:paraId="17043274">
      <w:pPr>
        <w:spacing w:line="580" w:lineRule="exact"/>
        <w:ind w:firstLine="640"/>
        <w:jc w:val="both"/>
      </w:pPr>
      <w:r>
        <w:rPr>
          <w:rFonts w:ascii="仿宋_GB2312" w:hAnsi="仿宋_GB2312" w:eastAsia="仿宋_GB2312"/>
          <w:b/>
          <w:sz w:val="32"/>
        </w:rPr>
        <w:t>2024年度财政拨款“三公”经费支出3.00万元，</w:t>
      </w:r>
      <w:r>
        <w:rPr>
          <w:rFonts w:ascii="仿宋_GB2312" w:hAnsi="仿宋_GB2312" w:eastAsia="仿宋_GB2312"/>
          <w:b w:val="0"/>
          <w:sz w:val="32"/>
        </w:rPr>
        <w:t>比上年减少0.61万元，下降16.90%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3.00万元，占100.00%，比上年减少0.61万元，下降16.90%，主要原因是：</w:t>
      </w:r>
      <w:r>
        <w:rPr>
          <w:rFonts w:hint="eastAsia" w:ascii="仿宋_GB2312" w:hAnsi="仿宋_GB2312" w:eastAsia="仿宋_GB2312"/>
          <w:b w:val="0"/>
          <w:sz w:val="32"/>
          <w:lang w:val="en-US" w:eastAsia="zh-CN"/>
        </w:rPr>
        <w:t>严</w:t>
      </w:r>
      <w:r>
        <w:rPr>
          <w:rFonts w:ascii="仿宋_GB2312" w:hAnsi="仿宋_GB2312" w:eastAsia="仿宋_GB2312"/>
          <w:b w:val="0"/>
          <w:sz w:val="32"/>
        </w:rPr>
        <w:t>格落实中央八项规定精神，厉行节约，减少公务用车运行维护费。公务接待费支出0.00万元，占0.00%，比上年增加0.00万元，增长0.00%，主要原因是：2023年与2024年均未安排公务接待费支出。</w:t>
      </w:r>
    </w:p>
    <w:p w14:paraId="601F6F29">
      <w:pPr>
        <w:spacing w:line="580" w:lineRule="exact"/>
        <w:ind w:firstLine="640"/>
        <w:jc w:val="both"/>
      </w:pPr>
      <w:r>
        <w:rPr>
          <w:rFonts w:ascii="仿宋_GB2312" w:hAnsi="仿宋_GB2312" w:eastAsia="仿宋_GB2312"/>
          <w:b/>
          <w:sz w:val="32"/>
        </w:rPr>
        <w:t>具体情况如下：</w:t>
      </w:r>
    </w:p>
    <w:p w14:paraId="3149413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EC8BEBF">
      <w:pPr>
        <w:spacing w:line="580" w:lineRule="exact"/>
        <w:ind w:firstLine="640"/>
        <w:jc w:val="both"/>
      </w:pPr>
      <w:r>
        <w:rPr>
          <w:rFonts w:ascii="仿宋_GB2312" w:hAnsi="仿宋_GB2312" w:eastAsia="仿宋_GB2312"/>
          <w:b w:val="0"/>
          <w:sz w:val="32"/>
        </w:rPr>
        <w:t>公务用车购置及运行维护费3.00万元，其中：公务用车购置费0.00万元，公务用车运行维护费3.00万元。公务用车运行维护费开支内容包括车辆加油费、保险费、过路费、维修费。公务用车购置数0辆，公务用车保有量2辆。国有资产占用情况中固定资产车辆2辆，与公务用车保有量差异原因是：本单位固定资产车辆与公务用车保有量一致无差异。</w:t>
      </w:r>
    </w:p>
    <w:p w14:paraId="5F22032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56E309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3.00万元，决算数3.00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3.00万元，决算数3.00万元，预决算差异率0.00%，主要原因是：严格按照预算执行，预决算无差异。公务接待费全年预算数0.00万元，决算数0.00万元，预决算差异率0.00%，主要原因是：本单位无公务接待费。</w:t>
      </w:r>
    </w:p>
    <w:p w14:paraId="6D2FC6D3">
      <w:pPr>
        <w:spacing w:line="640" w:lineRule="exact"/>
        <w:ind w:firstLine="640"/>
        <w:jc w:val="both"/>
        <w:outlineLvl w:val="2"/>
      </w:pPr>
      <w:r>
        <w:rPr>
          <w:rFonts w:ascii="黑体" w:hAnsi="黑体" w:eastAsia="黑体"/>
          <w:sz w:val="32"/>
        </w:rPr>
        <w:t>十、其他重要事项的情况说明</w:t>
      </w:r>
    </w:p>
    <w:p w14:paraId="0710C9E4">
      <w:pPr>
        <w:spacing w:line="640" w:lineRule="exact"/>
        <w:ind w:firstLine="640"/>
        <w:jc w:val="both"/>
        <w:outlineLvl w:val="3"/>
      </w:pPr>
      <w:r>
        <w:rPr>
          <w:rFonts w:ascii="楷体_GB2312" w:hAnsi="楷体_GB2312" w:eastAsia="楷体_GB2312"/>
          <w:b/>
          <w:sz w:val="32"/>
        </w:rPr>
        <w:t>（一）机关运行经费及公用经费支出情况</w:t>
      </w:r>
    </w:p>
    <w:p w14:paraId="1A47CA7B">
      <w:pPr>
        <w:spacing w:line="580" w:lineRule="exact"/>
        <w:ind w:firstLine="640"/>
        <w:jc w:val="both"/>
      </w:pPr>
      <w:r>
        <w:rPr>
          <w:rFonts w:ascii="仿宋_GB2312" w:hAnsi="仿宋_GB2312" w:eastAsia="仿宋_GB2312"/>
          <w:b w:val="0"/>
          <w:sz w:val="32"/>
        </w:rPr>
        <w:t>2024年度克孜勒苏柯尔克孜自治州农牧业机械技术推广站（事业单位）公用经费支出27.24万元，比上年减少0.19万元，下降0.69%，主要原因是：严格落实中央八项规定精神，厉行节约，减少</w:t>
      </w:r>
      <w:r>
        <w:rPr>
          <w:rFonts w:hint="eastAsia" w:ascii="仿宋_GB2312" w:hAnsi="仿宋_GB2312" w:eastAsia="仿宋_GB2312"/>
          <w:b w:val="0"/>
          <w:sz w:val="32"/>
          <w:lang w:val="en-US" w:eastAsia="zh-CN"/>
        </w:rPr>
        <w:t>办公经费</w:t>
      </w:r>
      <w:r>
        <w:rPr>
          <w:rFonts w:ascii="仿宋_GB2312" w:hAnsi="仿宋_GB2312" w:eastAsia="仿宋_GB2312"/>
          <w:b w:val="0"/>
          <w:sz w:val="32"/>
        </w:rPr>
        <w:t>。</w:t>
      </w:r>
    </w:p>
    <w:p w14:paraId="54E05AEC">
      <w:pPr>
        <w:spacing w:line="640" w:lineRule="exact"/>
        <w:ind w:firstLine="640"/>
        <w:jc w:val="both"/>
        <w:outlineLvl w:val="3"/>
      </w:pPr>
      <w:r>
        <w:rPr>
          <w:rFonts w:ascii="楷体_GB2312" w:hAnsi="楷体_GB2312" w:eastAsia="楷体_GB2312"/>
          <w:b/>
          <w:sz w:val="32"/>
        </w:rPr>
        <w:t>（二）政府采购情况</w:t>
      </w:r>
    </w:p>
    <w:p w14:paraId="307BDF64">
      <w:pPr>
        <w:spacing w:line="580" w:lineRule="exact"/>
        <w:ind w:firstLine="640"/>
        <w:jc w:val="both"/>
      </w:pPr>
      <w:r>
        <w:rPr>
          <w:rFonts w:ascii="仿宋_GB2312" w:hAnsi="仿宋_GB2312" w:eastAsia="仿宋_GB2312"/>
          <w:b w:val="0"/>
          <w:sz w:val="32"/>
        </w:rPr>
        <w:t>2024年度政府采购支出总额30.17万元，其中：政府采购货物支出20.98万元、政府采购工程支出0.00万元、政府采购服务支出9.19万元。</w:t>
      </w:r>
    </w:p>
    <w:p w14:paraId="05E0271D">
      <w:pPr>
        <w:spacing w:line="580" w:lineRule="exact"/>
        <w:ind w:firstLine="640"/>
        <w:jc w:val="both"/>
      </w:pPr>
      <w:r>
        <w:rPr>
          <w:rFonts w:ascii="仿宋_GB2312" w:hAnsi="仿宋_GB2312" w:eastAsia="仿宋_GB2312"/>
          <w:b w:val="0"/>
          <w:sz w:val="32"/>
        </w:rPr>
        <w:t>授予中小企业合同金额25.37万元，占政府采购支出总额的84.09%，其中：授予小微企业合同金额20.64万元，占政府采购支出总额的68.41%。</w:t>
      </w:r>
    </w:p>
    <w:p w14:paraId="56F5520E">
      <w:pPr>
        <w:spacing w:line="640" w:lineRule="exact"/>
        <w:ind w:firstLine="640"/>
        <w:jc w:val="both"/>
        <w:outlineLvl w:val="3"/>
      </w:pPr>
      <w:r>
        <w:rPr>
          <w:rFonts w:ascii="楷体_GB2312" w:hAnsi="楷体_GB2312" w:eastAsia="楷体_GB2312"/>
          <w:b/>
          <w:sz w:val="32"/>
        </w:rPr>
        <w:t>（三）国有资产占用情况说明</w:t>
      </w:r>
    </w:p>
    <w:p w14:paraId="36B076F4">
      <w:pPr>
        <w:spacing w:line="580" w:lineRule="exact"/>
        <w:ind w:firstLine="640"/>
        <w:jc w:val="both"/>
      </w:pPr>
      <w:r>
        <w:rPr>
          <w:rFonts w:ascii="仿宋_GB2312" w:hAnsi="仿宋_GB2312" w:eastAsia="仿宋_GB2312"/>
          <w:b w:val="0"/>
          <w:sz w:val="32"/>
        </w:rPr>
        <w:t>截至2024年12月31日，房屋0.00平方米，价值0.00万元。车辆2辆，价值31.14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78D08AD5">
      <w:pPr>
        <w:spacing w:line="640" w:lineRule="exact"/>
        <w:ind w:firstLine="640"/>
        <w:jc w:val="both"/>
        <w:outlineLvl w:val="2"/>
      </w:pPr>
      <w:r>
        <w:rPr>
          <w:rFonts w:ascii="黑体" w:hAnsi="黑体" w:eastAsia="黑体"/>
          <w:sz w:val="32"/>
        </w:rPr>
        <w:t>十一、预算绩效的情况说明</w:t>
      </w:r>
    </w:p>
    <w:p w14:paraId="1D132D6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845.81万元，实际执行总额845.78万元；预算绩效评价项目1个，全年预算数34.00万元，全年执行数34.00万元。预算绩效管理取得的成效：为加强预算管理，规范财务行为，已制定各项管理制度，有效保障了高效履行工作职能，加强了制度建设，打牢绩效管理工作基础。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5B5BB52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DD65D35">
        <w:tblPrEx>
          <w:tblCellMar>
            <w:top w:w="0" w:type="dxa"/>
            <w:left w:w="108" w:type="dxa"/>
            <w:bottom w:w="0" w:type="dxa"/>
            <w:right w:w="108" w:type="dxa"/>
          </w:tblCellMar>
        </w:tblPrEx>
        <w:tc>
          <w:tcPr>
            <w:tcW w:w="8840" w:type="dxa"/>
            <w:gridSpan w:val="8"/>
            <w:vAlign w:val="center"/>
          </w:tcPr>
          <w:p w14:paraId="0E5BBC8C">
            <w:pPr>
              <w:jc w:val="center"/>
            </w:pPr>
            <w:r>
              <w:rPr>
                <w:rFonts w:ascii="宋体" w:hAnsi="宋体" w:eastAsia="宋体"/>
                <w:sz w:val="24"/>
              </w:rPr>
              <w:t>单位整体支出绩效自评表</w:t>
            </w:r>
          </w:p>
        </w:tc>
      </w:tr>
      <w:tr w14:paraId="50C06E01">
        <w:tblPrEx>
          <w:tblCellMar>
            <w:top w:w="0" w:type="dxa"/>
            <w:left w:w="108" w:type="dxa"/>
            <w:bottom w:w="0" w:type="dxa"/>
            <w:right w:w="108" w:type="dxa"/>
          </w:tblCellMar>
        </w:tblPrEx>
        <w:tc>
          <w:tcPr>
            <w:tcW w:w="8840" w:type="dxa"/>
            <w:gridSpan w:val="8"/>
            <w:vAlign w:val="center"/>
          </w:tcPr>
          <w:p w14:paraId="57C25691">
            <w:pPr>
              <w:jc w:val="center"/>
            </w:pPr>
            <w:r>
              <w:rPr>
                <w:rFonts w:ascii="宋体" w:hAnsi="宋体" w:eastAsia="宋体"/>
                <w:sz w:val="24"/>
              </w:rPr>
              <w:t>（2024年度）</w:t>
            </w:r>
          </w:p>
        </w:tc>
      </w:tr>
      <w:tr w14:paraId="221B9A2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A30316">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28A2C">
            <w:pPr>
              <w:jc w:val="center"/>
            </w:pPr>
            <w:r>
              <w:rPr>
                <w:rFonts w:ascii="宋体" w:hAnsi="宋体" w:eastAsia="宋体"/>
                <w:sz w:val="16"/>
              </w:rPr>
              <w:t>克孜勒苏柯尔克孜自治州农牧业机械技术推广站</w:t>
            </w:r>
          </w:p>
        </w:tc>
      </w:tr>
      <w:tr w14:paraId="4FEBC5A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0D6A2">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897B9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3898F7">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7080A5">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84A796">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EAA34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A1881B">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6FC8C3">
            <w:pPr>
              <w:jc w:val="center"/>
            </w:pPr>
            <w:r>
              <w:rPr>
                <w:rFonts w:ascii="宋体" w:hAnsi="宋体" w:eastAsia="宋体"/>
                <w:sz w:val="16"/>
              </w:rPr>
              <w:t>得分</w:t>
            </w:r>
          </w:p>
        </w:tc>
      </w:tr>
      <w:tr w14:paraId="68D3490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DC099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41CCB8">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012E49">
            <w:pPr>
              <w:jc w:val="center"/>
            </w:pPr>
            <w:r>
              <w:rPr>
                <w:rFonts w:ascii="宋体" w:hAnsi="宋体" w:eastAsia="宋体"/>
                <w:sz w:val="16"/>
              </w:rPr>
              <w:t>782.43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2ABCC8">
            <w:pPr>
              <w:jc w:val="center"/>
            </w:pPr>
            <w:r>
              <w:rPr>
                <w:rFonts w:ascii="宋体" w:hAnsi="宋体" w:eastAsia="宋体"/>
                <w:sz w:val="16"/>
              </w:rPr>
              <w:t>845.81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B93C6B">
            <w:pPr>
              <w:jc w:val="center"/>
            </w:pPr>
            <w:r>
              <w:rPr>
                <w:rFonts w:ascii="宋体" w:hAnsi="宋体" w:eastAsia="宋体"/>
                <w:sz w:val="16"/>
              </w:rPr>
              <w:t>845.78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1C1B8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2BC8F1">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CC7667">
            <w:pPr>
              <w:jc w:val="center"/>
            </w:pPr>
            <w:r>
              <w:rPr>
                <w:rFonts w:ascii="宋体" w:hAnsi="宋体" w:eastAsia="宋体"/>
                <w:sz w:val="16"/>
              </w:rPr>
              <w:t>10</w:t>
            </w:r>
            <w:bookmarkStart w:id="0" w:name="_GoBack"/>
            <w:bookmarkEnd w:id="0"/>
          </w:p>
        </w:tc>
      </w:tr>
      <w:tr w14:paraId="3ACBCC6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DDC5B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F55C55">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D2915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A8EDE2">
            <w:pPr>
              <w:jc w:val="center"/>
            </w:pPr>
            <w:r>
              <w:rPr>
                <w:rFonts w:ascii="宋体" w:hAnsi="宋体" w:eastAsia="宋体"/>
                <w:sz w:val="16"/>
              </w:rPr>
              <w:t>34.00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BFF775">
            <w:pPr>
              <w:jc w:val="center"/>
            </w:pPr>
            <w:r>
              <w:rPr>
                <w:rFonts w:ascii="宋体" w:hAnsi="宋体" w:eastAsia="宋体"/>
                <w:sz w:val="16"/>
              </w:rPr>
              <w:t>34.00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0086B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D2753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C0D83E">
            <w:pPr>
              <w:jc w:val="center"/>
            </w:pPr>
            <w:r>
              <w:rPr>
                <w:rFonts w:ascii="宋体" w:hAnsi="宋体" w:eastAsia="宋体"/>
                <w:sz w:val="16"/>
              </w:rPr>
              <w:t>—</w:t>
            </w:r>
          </w:p>
        </w:tc>
      </w:tr>
      <w:tr w14:paraId="55F45F2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EB74A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75E2D7">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BE0DD4">
            <w:pPr>
              <w:jc w:val="center"/>
            </w:pPr>
            <w:r>
              <w:rPr>
                <w:rFonts w:ascii="宋体" w:hAnsi="宋体" w:eastAsia="宋体"/>
                <w:sz w:val="16"/>
              </w:rPr>
              <w:t>782.43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08826C">
            <w:pPr>
              <w:jc w:val="center"/>
            </w:pPr>
            <w:r>
              <w:rPr>
                <w:rFonts w:ascii="宋体" w:hAnsi="宋体" w:eastAsia="宋体"/>
                <w:sz w:val="16"/>
              </w:rPr>
              <w:t>811.81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657989">
            <w:pPr>
              <w:jc w:val="center"/>
            </w:pPr>
            <w:r>
              <w:rPr>
                <w:rFonts w:ascii="宋体" w:hAnsi="宋体" w:eastAsia="宋体"/>
                <w:sz w:val="16"/>
              </w:rPr>
              <w:t>811.78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C57E1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03732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2A49C2">
            <w:pPr>
              <w:jc w:val="center"/>
            </w:pPr>
            <w:r>
              <w:rPr>
                <w:rFonts w:ascii="宋体" w:hAnsi="宋体" w:eastAsia="宋体"/>
                <w:sz w:val="16"/>
              </w:rPr>
              <w:t>—</w:t>
            </w:r>
          </w:p>
        </w:tc>
      </w:tr>
      <w:tr w14:paraId="66027FE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A89D6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415296">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C6257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AA8D9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0AC86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1B82C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CC142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3B1DA9">
            <w:pPr>
              <w:jc w:val="center"/>
            </w:pPr>
            <w:r>
              <w:rPr>
                <w:rFonts w:ascii="宋体" w:hAnsi="宋体" w:eastAsia="宋体"/>
                <w:sz w:val="16"/>
              </w:rPr>
              <w:t>—</w:t>
            </w:r>
          </w:p>
        </w:tc>
      </w:tr>
      <w:tr w14:paraId="4349894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23D16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612985">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44843D">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4CE537E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C730E1"/>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006FCC">
            <w:pPr>
              <w:jc w:val="both"/>
            </w:pPr>
            <w:r>
              <w:rPr>
                <w:rFonts w:ascii="宋体" w:hAnsi="宋体" w:eastAsia="宋体"/>
                <w:sz w:val="16"/>
              </w:rPr>
              <w:t>1、组织技术干部赴县（市）、乡（镇）开展机械维修、宣传培训、技术咨询和服务指导等工作。2、围绕春耕、“三夏”、“三秋”等重要农时季节，精心组织机械化生产召开现场会2次。3、组织项目实施。4、做好主粮作物机收损失监测调查工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5CBFD5">
            <w:pPr>
              <w:jc w:val="both"/>
            </w:pPr>
            <w:r>
              <w:rPr>
                <w:rFonts w:ascii="宋体" w:hAnsi="宋体" w:eastAsia="宋体"/>
                <w:sz w:val="16"/>
              </w:rPr>
              <w:t>(1)积极开展各类培训工作，共培训46场，培训人员2253人次。其中线下培训32场次1665人次。主要内容是自治区16号文件和自治区主推的小麦、玉米、棉花优质高产密植机械化技术、干播湿出、水肥一体化、免耕复播技术及相关安全操作要求和注意事项。线上培训14场，共培训588人次，主要是科技人员知识更新远程培训。</w:t>
            </w:r>
            <w:r>
              <w:rPr>
                <w:rFonts w:ascii="宋体" w:hAnsi="宋体" w:eastAsia="宋体"/>
                <w:sz w:val="16"/>
              </w:rPr>
              <w:br w:type="textWrapping"/>
            </w:r>
            <w:r>
              <w:rPr>
                <w:rFonts w:ascii="宋体" w:hAnsi="宋体" w:eastAsia="宋体"/>
                <w:sz w:val="16"/>
              </w:rPr>
              <w:t>(2)组织协调全州召开新技术推广现场会13场（其中春播6场，“三夏”2场，“三秋”4场 ）、观摩会1次、科普宣传1次，参加人数1587人，起到了很好的推广宣传示范效果。</w:t>
            </w:r>
            <w:r>
              <w:rPr>
                <w:rFonts w:ascii="宋体" w:hAnsi="宋体" w:eastAsia="宋体"/>
                <w:sz w:val="16"/>
              </w:rPr>
              <w:br w:type="textWrapping"/>
            </w:r>
            <w:r>
              <w:rPr>
                <w:rFonts w:ascii="宋体" w:hAnsi="宋体" w:eastAsia="宋体"/>
                <w:sz w:val="16"/>
              </w:rPr>
              <w:t>(3)积极推进葡萄藤枝加工示范区项目建设。在阿图什市松他克镇松他克村完成200亩葡萄藤枝加工，辐射带动松他克镇1000亩，在项目点示范推广葡萄藤枝粉碎、搅拌、打捆、打包一条龙加工技术，将农民修剪下来的废弃葡萄藤枝转变成牛羊爱吃的营养饲料，实现葡萄废枝机械化生产再利用。为使项目顺利推进，项目实施中在葡萄种植户中开展了宣传培训，召开了现场会，中心领导带队到吐鲁番观摩学习先进的葡萄藤枝粉碎加工技术，与合作社开展业务合作。目前已按项目实施方案要求完成全部饲料加工任务，农民对项目反映比较满意。</w:t>
            </w:r>
            <w:r>
              <w:rPr>
                <w:rFonts w:ascii="宋体" w:hAnsi="宋体" w:eastAsia="宋体"/>
                <w:sz w:val="16"/>
              </w:rPr>
              <w:br w:type="textWrapping"/>
            </w:r>
            <w:r>
              <w:rPr>
                <w:rFonts w:ascii="宋体" w:hAnsi="宋体" w:eastAsia="宋体"/>
                <w:sz w:val="16"/>
              </w:rPr>
              <w:t>(4)组织开展自治州主粮作物机收损失监测调查工作。在“三夏”和“三秋”期间，组织技术力量深入小麦、玉米、水稻主产区现场实地监测调查。经测算2024年我州小麦机收平均损失率为0.866％，玉米机收平均损失率为2.28％，水稻机收平均损失率为1.97％，全部符合农业农村部制定的机收损失标准，也低于2023年的机收平均水平（2023年克州小麦机收平均损失率为0.87％、玉米机收平均损失率为2.418％、水稻机收平均损失率为2.013％）。通过机收损失监测调查，使机手和农民牢固树立“减损就是增产”意识，提高机手收获技术水平，提高土地产出率。</w:t>
            </w:r>
          </w:p>
        </w:tc>
      </w:tr>
      <w:tr w14:paraId="640A5629">
        <w:tblPrEx>
          <w:tblCellMar>
            <w:top w:w="0" w:type="dxa"/>
            <w:left w:w="108" w:type="dxa"/>
            <w:bottom w:w="0" w:type="dxa"/>
            <w:right w:w="108" w:type="dxa"/>
          </w:tblCellMar>
        </w:tblPrEx>
        <w:trPr>
          <w:trHeight w:val="421" w:hRule="atLeast"/>
        </w:trPr>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398FFD">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1AF6B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502382">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5F2AFF">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38628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EBDDA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1A45B5">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0EBC20">
            <w:pPr>
              <w:jc w:val="center"/>
            </w:pPr>
            <w:r>
              <w:rPr>
                <w:rFonts w:ascii="宋体" w:hAnsi="宋体" w:eastAsia="宋体"/>
                <w:sz w:val="16"/>
              </w:rPr>
              <w:t>得分</w:t>
            </w:r>
          </w:p>
        </w:tc>
      </w:tr>
      <w:tr w14:paraId="558DAF9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1333F">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0AA79">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7706BF">
            <w:pPr>
              <w:jc w:val="center"/>
            </w:pPr>
            <w:r>
              <w:rPr>
                <w:rFonts w:ascii="宋体" w:hAnsi="宋体" w:eastAsia="宋体"/>
                <w:sz w:val="16"/>
              </w:rPr>
              <w:t>组织技术干部赴县（市）、乡（镇）开展机械维修、宣传培训、技术咨询和服务指导等工作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26D4F2">
            <w:pPr>
              <w:jc w:val="center"/>
            </w:pPr>
            <w:r>
              <w:rPr>
                <w:rFonts w:ascii="宋体" w:hAnsi="宋体" w:eastAsia="宋体"/>
                <w:sz w:val="16"/>
              </w:rPr>
              <w:t>&gt;=10期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389664">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2DF3D7">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BA22FD">
            <w:pPr>
              <w:jc w:val="center"/>
            </w:pPr>
            <w:r>
              <w:rPr>
                <w:rFonts w:ascii="宋体" w:hAnsi="宋体" w:eastAsia="宋体"/>
                <w:sz w:val="16"/>
              </w:rPr>
              <w:t>14期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CF2DA2">
            <w:pPr>
              <w:jc w:val="center"/>
            </w:pPr>
            <w:r>
              <w:rPr>
                <w:rFonts w:ascii="宋体" w:hAnsi="宋体" w:eastAsia="宋体"/>
                <w:sz w:val="16"/>
              </w:rPr>
              <w:t>20</w:t>
            </w:r>
          </w:p>
        </w:tc>
      </w:tr>
      <w:tr w14:paraId="5E64054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5D9AC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8712C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51B90D">
            <w:pPr>
              <w:jc w:val="center"/>
            </w:pPr>
            <w:r>
              <w:rPr>
                <w:rFonts w:ascii="宋体" w:hAnsi="宋体" w:eastAsia="宋体"/>
                <w:sz w:val="16"/>
              </w:rPr>
              <w:t>围绕春耕、“三夏”、“三秋”等重要农时季节，精心组织机械化生产召开现场会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426333">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5704A0">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D2615B">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93B45B">
            <w:pPr>
              <w:jc w:val="center"/>
            </w:pPr>
            <w:r>
              <w:rPr>
                <w:rFonts w:ascii="宋体" w:hAnsi="宋体" w:eastAsia="宋体"/>
                <w:sz w:val="16"/>
              </w:rPr>
              <w:t>13次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BAB126">
            <w:pPr>
              <w:jc w:val="center"/>
            </w:pPr>
            <w:r>
              <w:rPr>
                <w:rFonts w:ascii="宋体" w:hAnsi="宋体" w:eastAsia="宋体"/>
                <w:sz w:val="16"/>
              </w:rPr>
              <w:t>30</w:t>
            </w:r>
          </w:p>
        </w:tc>
      </w:tr>
      <w:tr w14:paraId="3A86BAC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D2181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93BAB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E3E9BB">
            <w:pPr>
              <w:jc w:val="center"/>
            </w:pPr>
            <w:r>
              <w:rPr>
                <w:rFonts w:ascii="宋体" w:hAnsi="宋体" w:eastAsia="宋体"/>
                <w:sz w:val="16"/>
              </w:rPr>
              <w:t>组织项目实施（完成农作物秸秆粉碎）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919653">
            <w:pPr>
              <w:jc w:val="center"/>
            </w:pPr>
            <w:r>
              <w:rPr>
                <w:rFonts w:ascii="宋体" w:hAnsi="宋体" w:eastAsia="宋体"/>
                <w:sz w:val="16"/>
              </w:rPr>
              <w:t>&gt;=200亩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049746">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3134E7">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C343AF">
            <w:pPr>
              <w:jc w:val="center"/>
            </w:pPr>
            <w:r>
              <w:rPr>
                <w:rFonts w:ascii="宋体" w:hAnsi="宋体" w:eastAsia="宋体"/>
                <w:sz w:val="16"/>
              </w:rPr>
              <w:t>200亩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A3455F">
            <w:pPr>
              <w:jc w:val="center"/>
            </w:pPr>
            <w:r>
              <w:rPr>
                <w:rFonts w:ascii="宋体" w:hAnsi="宋体" w:eastAsia="宋体"/>
                <w:sz w:val="16"/>
              </w:rPr>
              <w:t>20</w:t>
            </w:r>
          </w:p>
        </w:tc>
      </w:tr>
      <w:tr w14:paraId="7B04F9B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CD2BB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95323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D99595">
            <w:pPr>
              <w:jc w:val="center"/>
            </w:pPr>
            <w:r>
              <w:rPr>
                <w:rFonts w:ascii="宋体" w:hAnsi="宋体" w:eastAsia="宋体"/>
                <w:sz w:val="16"/>
              </w:rPr>
              <w:t>做好主粮作物机收损失监测调查工作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708C1C">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43B08D">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7C5DE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84E40D">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014676">
            <w:pPr>
              <w:jc w:val="center"/>
            </w:pPr>
            <w:r>
              <w:rPr>
                <w:rFonts w:ascii="宋体" w:hAnsi="宋体" w:eastAsia="宋体"/>
                <w:sz w:val="16"/>
              </w:rPr>
              <w:t>20</w:t>
            </w:r>
          </w:p>
        </w:tc>
      </w:tr>
    </w:tbl>
    <w:p w14:paraId="18E375C5">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776"/>
        <w:gridCol w:w="608"/>
        <w:gridCol w:w="776"/>
        <w:gridCol w:w="608"/>
        <w:gridCol w:w="608"/>
        <w:gridCol w:w="608"/>
        <w:gridCol w:w="696"/>
        <w:gridCol w:w="630"/>
        <w:gridCol w:w="583"/>
        <w:gridCol w:w="632"/>
      </w:tblGrid>
      <w:tr w14:paraId="233E157B">
        <w:tblPrEx>
          <w:tblCellMar>
            <w:top w:w="0" w:type="dxa"/>
            <w:left w:w="108" w:type="dxa"/>
            <w:bottom w:w="0" w:type="dxa"/>
            <w:right w:w="108" w:type="dxa"/>
          </w:tblCellMar>
        </w:tblPrEx>
        <w:tc>
          <w:tcPr>
            <w:tcW w:w="8848" w:type="dxa"/>
            <w:gridSpan w:val="14"/>
            <w:vAlign w:val="center"/>
          </w:tcPr>
          <w:p w14:paraId="627417F0">
            <w:pPr>
              <w:jc w:val="center"/>
            </w:pPr>
            <w:r>
              <w:rPr>
                <w:rFonts w:ascii="宋体" w:hAnsi="宋体" w:eastAsia="宋体"/>
                <w:sz w:val="24"/>
              </w:rPr>
              <w:t>项目支出绩效自评表</w:t>
            </w:r>
          </w:p>
        </w:tc>
      </w:tr>
      <w:tr w14:paraId="56662F1B">
        <w:tblPrEx>
          <w:tblCellMar>
            <w:top w:w="0" w:type="dxa"/>
            <w:left w:w="108" w:type="dxa"/>
            <w:bottom w:w="0" w:type="dxa"/>
            <w:right w:w="108" w:type="dxa"/>
          </w:tblCellMar>
        </w:tblPrEx>
        <w:tc>
          <w:tcPr>
            <w:tcW w:w="8848" w:type="dxa"/>
            <w:gridSpan w:val="14"/>
            <w:vAlign w:val="center"/>
          </w:tcPr>
          <w:p w14:paraId="65568A00">
            <w:pPr>
              <w:jc w:val="center"/>
            </w:pPr>
            <w:r>
              <w:rPr>
                <w:rFonts w:ascii="宋体" w:hAnsi="宋体" w:eastAsia="宋体"/>
                <w:sz w:val="24"/>
              </w:rPr>
              <w:t>(2024年度)</w:t>
            </w:r>
          </w:p>
        </w:tc>
      </w:tr>
      <w:tr w14:paraId="43079A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F1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0A1A62">
            <w:pPr>
              <w:jc w:val="center"/>
            </w:pPr>
            <w:r>
              <w:rPr>
                <w:rFonts w:ascii="宋体" w:hAnsi="宋体" w:eastAsia="宋体"/>
                <w:sz w:val="16"/>
              </w:rPr>
              <w:t>2024年为民办实事和第一书记工作经费</w:t>
            </w:r>
          </w:p>
        </w:tc>
      </w:tr>
      <w:tr w14:paraId="49D522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BFAB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7DF69C">
            <w:pPr>
              <w:jc w:val="center"/>
            </w:pPr>
            <w:r>
              <w:rPr>
                <w:rFonts w:ascii="宋体" w:hAnsi="宋体" w:eastAsia="宋体"/>
                <w:sz w:val="16"/>
              </w:rPr>
              <w:t>克州农业农村局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0A20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39F3B7">
            <w:pPr>
              <w:jc w:val="center"/>
            </w:pPr>
            <w:r>
              <w:rPr>
                <w:rFonts w:ascii="宋体" w:hAnsi="宋体" w:eastAsia="宋体"/>
                <w:sz w:val="16"/>
              </w:rPr>
              <w:t>克孜勒苏柯尔克孜自治州农牧业机械技术推广站</w:t>
            </w:r>
          </w:p>
        </w:tc>
      </w:tr>
      <w:tr w14:paraId="46791E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51A6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95A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91B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830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75E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3DA9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349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1697">
            <w:pPr>
              <w:jc w:val="center"/>
            </w:pPr>
            <w:r>
              <w:rPr>
                <w:rFonts w:ascii="宋体" w:hAnsi="宋体" w:eastAsia="宋体"/>
                <w:sz w:val="16"/>
              </w:rPr>
              <w:t>得分</w:t>
            </w:r>
          </w:p>
        </w:tc>
      </w:tr>
      <w:tr w14:paraId="0142F3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DC3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964B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0AB1F">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4E162">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287D9">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285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D9FB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F845">
            <w:pPr>
              <w:jc w:val="center"/>
            </w:pPr>
            <w:r>
              <w:rPr>
                <w:rFonts w:ascii="宋体" w:hAnsi="宋体" w:eastAsia="宋体"/>
                <w:sz w:val="16"/>
              </w:rPr>
              <w:t>10.00分</w:t>
            </w:r>
          </w:p>
        </w:tc>
      </w:tr>
      <w:tr w14:paraId="1CF55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C00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206B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65EF0">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29AF0">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90FDA">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201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5A8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1B45">
            <w:pPr>
              <w:jc w:val="center"/>
            </w:pPr>
            <w:r>
              <w:rPr>
                <w:rFonts w:ascii="宋体" w:hAnsi="宋体" w:eastAsia="宋体"/>
                <w:sz w:val="16"/>
              </w:rPr>
              <w:t>—</w:t>
            </w:r>
          </w:p>
        </w:tc>
      </w:tr>
      <w:tr w14:paraId="777834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104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8593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2DD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BA2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E8F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10A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E27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346F">
            <w:pPr>
              <w:jc w:val="center"/>
            </w:pPr>
            <w:r>
              <w:rPr>
                <w:rFonts w:ascii="宋体" w:hAnsi="宋体" w:eastAsia="宋体"/>
                <w:sz w:val="16"/>
              </w:rPr>
              <w:t>—</w:t>
            </w:r>
          </w:p>
        </w:tc>
      </w:tr>
      <w:tr w14:paraId="2139EE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580A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551E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71B7D5">
            <w:pPr>
              <w:jc w:val="center"/>
            </w:pPr>
            <w:r>
              <w:rPr>
                <w:rFonts w:ascii="宋体" w:hAnsi="宋体" w:eastAsia="宋体"/>
                <w:sz w:val="16"/>
              </w:rPr>
              <w:t>实际完成情况</w:t>
            </w:r>
          </w:p>
        </w:tc>
      </w:tr>
      <w:tr w14:paraId="4CD298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B1D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385354">
            <w:pPr>
              <w:jc w:val="both"/>
            </w:pPr>
            <w:r>
              <w:rPr>
                <w:rFonts w:ascii="宋体" w:hAnsi="宋体" w:eastAsia="宋体"/>
                <w:sz w:val="16"/>
              </w:rPr>
              <w:t>该项目资金投入总额34万元，其中：财政资金34万元、其他资金0万元。通过该项目实施，联合带领阿图什市松他克镇松他克村和帕提阡</w:t>
            </w:r>
            <w:r>
              <w:rPr>
                <w:rFonts w:hint="eastAsia" w:ascii="宋体" w:hAnsi="宋体"/>
                <w:sz w:val="16"/>
                <w:lang w:eastAsia="zh-CN"/>
              </w:rPr>
              <w:t>村“两委”班子</w:t>
            </w:r>
            <w:r>
              <w:rPr>
                <w:rFonts w:ascii="宋体" w:hAnsi="宋体" w:eastAsia="宋体"/>
                <w:sz w:val="16"/>
              </w:rPr>
              <w:t>发挥优势，加强乡村振兴工作，通过深入基层，解决生产生活中的实际困难，加强民族团结，增进民族互信，突出现代文化引领，落实民生建设任务，增加农牧民收入，</w:t>
            </w:r>
            <w:r>
              <w:rPr>
                <w:rFonts w:hint="eastAsia" w:ascii="宋体" w:hAnsi="宋体"/>
                <w:sz w:val="16"/>
                <w:lang w:eastAsia="zh-CN"/>
              </w:rPr>
              <w:t>关心</w:t>
            </w:r>
            <w:r>
              <w:rPr>
                <w:rFonts w:ascii="宋体" w:hAnsi="宋体" w:eastAsia="宋体"/>
                <w:sz w:val="16"/>
              </w:rPr>
              <w:t>关爱困难群众。</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F9C09C">
            <w:pPr>
              <w:jc w:val="both"/>
            </w:pPr>
            <w:r>
              <w:rPr>
                <w:rFonts w:ascii="宋体" w:hAnsi="宋体" w:eastAsia="宋体"/>
                <w:sz w:val="16"/>
              </w:rPr>
              <w:t>截至2024年12月31日，已完成：保障开展群众工作驻村点2个，开展各类节日活动14次，慰问困难家庭、学生、四老人员等10次，通过该项目实施，联合带领阿图什市松他克镇松他克村和帕提阡</w:t>
            </w:r>
            <w:r>
              <w:rPr>
                <w:rFonts w:hint="eastAsia" w:ascii="宋体" w:hAnsi="宋体"/>
                <w:sz w:val="16"/>
                <w:lang w:eastAsia="zh-CN"/>
              </w:rPr>
              <w:t>村“两委”班子</w:t>
            </w:r>
            <w:r>
              <w:rPr>
                <w:rFonts w:ascii="宋体" w:hAnsi="宋体" w:eastAsia="宋体"/>
                <w:sz w:val="16"/>
              </w:rPr>
              <w:t>发挥优势，加强乡村振兴工作，通过深入基层，解决生产生活中的实际困难，加强民族团结，增进民族互信，突出现代文化引领，落实民生建设任务，增加农牧民收入，</w:t>
            </w:r>
            <w:r>
              <w:rPr>
                <w:rFonts w:hint="eastAsia" w:ascii="宋体" w:hAnsi="宋体"/>
                <w:sz w:val="16"/>
                <w:lang w:eastAsia="zh-CN"/>
              </w:rPr>
              <w:t>关心</w:t>
            </w:r>
            <w:r>
              <w:rPr>
                <w:rFonts w:ascii="宋体" w:hAnsi="宋体" w:eastAsia="宋体"/>
                <w:sz w:val="16"/>
              </w:rPr>
              <w:t>关爱困难群众。</w:t>
            </w:r>
            <w:r>
              <w:rPr>
                <w:rFonts w:ascii="宋体" w:hAnsi="宋体" w:eastAsia="宋体"/>
                <w:sz w:val="16"/>
              </w:rPr>
              <w:tab/>
            </w:r>
          </w:p>
        </w:tc>
      </w:tr>
      <w:tr w14:paraId="27B47F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8F47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A6F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DE8E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87B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50AB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6C7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9D7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65F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14AF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86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FABB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0D8B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D46D7">
            <w:pPr>
              <w:jc w:val="center"/>
            </w:pPr>
            <w:r>
              <w:rPr>
                <w:rFonts w:ascii="宋体" w:hAnsi="宋体" w:eastAsia="宋体"/>
                <w:sz w:val="16"/>
              </w:rPr>
              <w:t>偏差原因分析及改进措施</w:t>
            </w:r>
          </w:p>
        </w:tc>
      </w:tr>
      <w:tr w14:paraId="1BDCC0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B27C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D4CD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253C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8DFD2">
            <w:pPr>
              <w:jc w:val="center"/>
            </w:pPr>
            <w:r>
              <w:rPr>
                <w:rFonts w:ascii="宋体" w:hAnsi="宋体" w:eastAsia="宋体"/>
                <w:sz w:val="16"/>
              </w:rPr>
              <w:t>保障开展群众工作驻村点（个）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EE4D">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5C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82935">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C9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1B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06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F53FF">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ECE3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65AF1">
            <w:pPr>
              <w:jc w:val="center"/>
            </w:pPr>
          </w:p>
        </w:tc>
      </w:tr>
      <w:tr w14:paraId="15C7E5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D47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BD9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7F2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2F7B">
            <w:pPr>
              <w:jc w:val="center"/>
            </w:pPr>
            <w:r>
              <w:rPr>
                <w:rFonts w:ascii="宋体" w:hAnsi="宋体" w:eastAsia="宋体"/>
                <w:sz w:val="16"/>
              </w:rPr>
              <w:t>开展各类节日活动（次）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CDE5">
            <w:pPr>
              <w:jc w:val="center"/>
            </w:pPr>
            <w:r>
              <w:rPr>
                <w:rFonts w:ascii="宋体" w:hAnsi="宋体" w:eastAsia="宋体"/>
                <w:sz w:val="16"/>
              </w:rPr>
              <w:t>&gt;=14次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C83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DFCD">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6C6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89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EE3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8E1E">
            <w:pPr>
              <w:jc w:val="center"/>
            </w:pPr>
            <w:r>
              <w:rPr>
                <w:rFonts w:ascii="宋体" w:hAnsi="宋体" w:eastAsia="宋体"/>
                <w:sz w:val="16"/>
              </w:rPr>
              <w:t>=14次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2E6D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266A7">
            <w:pPr>
              <w:jc w:val="center"/>
            </w:pPr>
          </w:p>
        </w:tc>
      </w:tr>
      <w:tr w14:paraId="3C4A35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5FB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696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28F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9EA10">
            <w:pPr>
              <w:jc w:val="center"/>
            </w:pPr>
            <w:r>
              <w:rPr>
                <w:rFonts w:ascii="宋体" w:hAnsi="宋体" w:eastAsia="宋体"/>
                <w:sz w:val="16"/>
              </w:rPr>
              <w:t>慰问困难家庭、学生、四老人员等（次）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E8DAC">
            <w:pPr>
              <w:jc w:val="center"/>
            </w:pPr>
            <w:r>
              <w:rPr>
                <w:rFonts w:ascii="宋体" w:hAnsi="宋体" w:eastAsia="宋体"/>
                <w:sz w:val="16"/>
              </w:rPr>
              <w:t>&gt;=10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7FC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0E80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A8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54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CD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5E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85E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58203">
            <w:pPr>
              <w:jc w:val="center"/>
            </w:pPr>
          </w:p>
        </w:tc>
      </w:tr>
      <w:tr w14:paraId="10D55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FB8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82B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8282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3CFF">
            <w:pPr>
              <w:jc w:val="center"/>
            </w:pPr>
            <w:r>
              <w:rPr>
                <w:rFonts w:ascii="宋体" w:hAnsi="宋体" w:eastAsia="宋体"/>
                <w:sz w:val="16"/>
              </w:rPr>
              <w:t>群众活动参与率(%)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2C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BF1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F58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71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04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ED0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AB6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EBF9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638B9">
            <w:pPr>
              <w:jc w:val="center"/>
            </w:pPr>
          </w:p>
        </w:tc>
      </w:tr>
      <w:tr w14:paraId="3E185D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6F3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A3F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4A3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0EBD">
            <w:pPr>
              <w:jc w:val="center"/>
            </w:pPr>
            <w:r>
              <w:rPr>
                <w:rFonts w:ascii="宋体" w:hAnsi="宋体" w:eastAsia="宋体"/>
                <w:sz w:val="16"/>
              </w:rPr>
              <w:t>走访覆盖率（%）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209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F7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8B8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72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ED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84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B8F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1DD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CDFC5">
            <w:pPr>
              <w:jc w:val="center"/>
            </w:pPr>
          </w:p>
        </w:tc>
      </w:tr>
      <w:tr w14:paraId="1C202F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270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BE0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5B71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003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8131A">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AF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90B8E">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49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C8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7D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98E02">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2A3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6738F">
            <w:pPr>
              <w:jc w:val="center"/>
            </w:pPr>
          </w:p>
        </w:tc>
      </w:tr>
      <w:tr w14:paraId="7AD51C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8D0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FDA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20E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8361F">
            <w:pPr>
              <w:jc w:val="center"/>
            </w:pPr>
            <w:r>
              <w:rPr>
                <w:rFonts w:ascii="宋体" w:hAnsi="宋体" w:eastAsia="宋体"/>
                <w:sz w:val="16"/>
              </w:rPr>
              <w:t>各类节日活动开展及时率（%）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AF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20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8D0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82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DC3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EA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6E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F3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05AC4">
            <w:pPr>
              <w:jc w:val="center"/>
            </w:pPr>
          </w:p>
        </w:tc>
      </w:tr>
      <w:tr w14:paraId="3C9F7C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690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98C6E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666F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9828D">
            <w:pPr>
              <w:jc w:val="center"/>
            </w:pPr>
            <w:r>
              <w:rPr>
                <w:rFonts w:ascii="宋体" w:hAnsi="宋体" w:eastAsia="宋体"/>
                <w:sz w:val="16"/>
              </w:rPr>
              <w:t>慰问困难家庭、学生、四老人员费用（万元）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67DE">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897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913E6">
            <w:pPr>
              <w:jc w:val="center"/>
            </w:pPr>
            <w:r>
              <w:rPr>
                <w:rFonts w:ascii="宋体" w:hAnsi="宋体" w:eastAsia="宋体"/>
                <w:sz w:val="16"/>
              </w:rPr>
              <w:t>&lt;=7.6万元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9A2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AC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1CA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96DF">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D0A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E8790">
            <w:pPr>
              <w:jc w:val="center"/>
            </w:pPr>
          </w:p>
        </w:tc>
      </w:tr>
      <w:tr w14:paraId="78F59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62B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FDE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75E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2BB5">
            <w:pPr>
              <w:jc w:val="center"/>
            </w:pPr>
            <w:r>
              <w:rPr>
                <w:rFonts w:ascii="宋体" w:hAnsi="宋体" w:eastAsia="宋体"/>
                <w:sz w:val="16"/>
              </w:rPr>
              <w:t>开展各类节日活动费用（万元）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26F0E">
            <w:pPr>
              <w:jc w:val="center"/>
            </w:pPr>
            <w:r>
              <w:rPr>
                <w:rFonts w:ascii="宋体" w:hAnsi="宋体" w:eastAsia="宋体"/>
                <w:sz w:val="16"/>
              </w:rPr>
              <w:t>&lt;=13.75万元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86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B6AD6">
            <w:pPr>
              <w:jc w:val="center"/>
            </w:pPr>
            <w:r>
              <w:rPr>
                <w:rFonts w:ascii="宋体" w:hAnsi="宋体" w:eastAsia="宋体"/>
                <w:sz w:val="16"/>
              </w:rPr>
              <w:t>&lt;=15.56万元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CB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95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1ED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9CCED">
            <w:pPr>
              <w:jc w:val="center"/>
            </w:pPr>
            <w:r>
              <w:rPr>
                <w:rFonts w:ascii="宋体" w:hAnsi="宋体" w:eastAsia="宋体"/>
                <w:sz w:val="16"/>
              </w:rPr>
              <w:t>=13.75万元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B30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AC1A7">
            <w:pPr>
              <w:jc w:val="center"/>
            </w:pPr>
          </w:p>
        </w:tc>
      </w:tr>
      <w:tr w14:paraId="511C03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BE7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BF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E8B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3F826">
            <w:pPr>
              <w:jc w:val="center"/>
            </w:pPr>
            <w:r>
              <w:rPr>
                <w:rFonts w:ascii="宋体" w:hAnsi="宋体" w:eastAsia="宋体"/>
                <w:sz w:val="16"/>
              </w:rPr>
              <w:t>加强村组织建设经费（万元）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53A6E">
            <w:pPr>
              <w:jc w:val="center"/>
            </w:pPr>
            <w:r>
              <w:rPr>
                <w:rFonts w:ascii="宋体" w:hAnsi="宋体" w:eastAsia="宋体"/>
                <w:sz w:val="16"/>
              </w:rPr>
              <w:t>&lt;=12.25万元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86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F7256">
            <w:pPr>
              <w:jc w:val="center"/>
            </w:pPr>
            <w:r>
              <w:rPr>
                <w:rFonts w:ascii="宋体" w:hAnsi="宋体" w:eastAsia="宋体"/>
                <w:sz w:val="16"/>
              </w:rPr>
              <w:t>&lt;=10.84万元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08D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680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32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C9E9">
            <w:pPr>
              <w:jc w:val="center"/>
            </w:pPr>
            <w:r>
              <w:rPr>
                <w:rFonts w:ascii="宋体" w:hAnsi="宋体" w:eastAsia="宋体"/>
                <w:sz w:val="16"/>
              </w:rPr>
              <w:t>=12.25万元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F0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25541">
            <w:pPr>
              <w:jc w:val="center"/>
            </w:pPr>
          </w:p>
        </w:tc>
      </w:tr>
      <w:tr w14:paraId="6638A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963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40EE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40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62A25">
            <w:pPr>
              <w:jc w:val="center"/>
            </w:pPr>
            <w:r>
              <w:rPr>
                <w:rFonts w:ascii="宋体" w:hAnsi="宋体" w:eastAsia="宋体"/>
                <w:sz w:val="16"/>
              </w:rPr>
              <w:t>提升公共服务能力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B1AD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F38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9064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851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815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250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AF0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705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8C1A1">
            <w:pPr>
              <w:jc w:val="center"/>
            </w:pPr>
          </w:p>
        </w:tc>
      </w:tr>
      <w:tr w14:paraId="1FA176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D02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D99E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9D4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A368">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D810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FF2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80D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08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ED9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E54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B877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107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40A67">
            <w:pPr>
              <w:jc w:val="center"/>
            </w:pPr>
          </w:p>
        </w:tc>
      </w:tr>
      <w:tr w14:paraId="1CF1A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2B8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201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67B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9D8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423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31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FC0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60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5DF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DC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0724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6FE1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5D5A4">
            <w:pPr>
              <w:jc w:val="center"/>
            </w:pPr>
          </w:p>
        </w:tc>
      </w:tr>
      <w:tr w14:paraId="55A0CA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F4EA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0556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708E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8C44F7">
            <w:pPr>
              <w:jc w:val="center"/>
            </w:pPr>
            <w:r>
              <w:rPr>
                <w:rFonts w:ascii="宋体" w:hAnsi="宋体" w:eastAsia="宋体"/>
                <w:sz w:val="16"/>
              </w:rPr>
              <w:t>100分</w:t>
            </w:r>
          </w:p>
        </w:tc>
      </w:tr>
    </w:tbl>
    <w:p w14:paraId="10DAF3B0">
      <w:r>
        <w:br w:type="page"/>
      </w:r>
    </w:p>
    <w:p w14:paraId="1FF858EC">
      <w:pPr>
        <w:spacing w:line="640" w:lineRule="exact"/>
        <w:ind w:firstLine="640"/>
        <w:jc w:val="both"/>
        <w:outlineLvl w:val="2"/>
      </w:pPr>
      <w:r>
        <w:rPr>
          <w:rFonts w:ascii="黑体" w:hAnsi="黑体" w:eastAsia="黑体"/>
          <w:sz w:val="32"/>
        </w:rPr>
        <w:t>十二、其他需说明的事项</w:t>
      </w:r>
    </w:p>
    <w:p w14:paraId="083152E8">
      <w:pPr>
        <w:spacing w:line="580" w:lineRule="exact"/>
        <w:ind w:firstLine="640"/>
        <w:jc w:val="both"/>
      </w:pPr>
      <w:r>
        <w:rPr>
          <w:rFonts w:ascii="仿宋_GB2312" w:hAnsi="仿宋_GB2312" w:eastAsia="仿宋_GB2312"/>
          <w:b w:val="0"/>
          <w:sz w:val="32"/>
        </w:rPr>
        <w:t>本单位无其他需说明的事项。</w:t>
      </w:r>
    </w:p>
    <w:p w14:paraId="18E3A01E">
      <w:r>
        <w:br w:type="page"/>
      </w:r>
    </w:p>
    <w:p w14:paraId="279862CD">
      <w:pPr>
        <w:spacing w:line="240" w:lineRule="auto"/>
        <w:jc w:val="center"/>
        <w:outlineLvl w:val="1"/>
      </w:pPr>
      <w:r>
        <w:rPr>
          <w:rFonts w:ascii="黑体" w:hAnsi="黑体" w:eastAsia="黑体"/>
          <w:sz w:val="32"/>
        </w:rPr>
        <w:t>第三部分 专业名词解释</w:t>
      </w:r>
    </w:p>
    <w:p w14:paraId="46616D2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A7A6EE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9BD0A7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E53545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184049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1464C5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EC5F7E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C2995A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F7DF7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75D588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14464D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DA7D35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9DA64C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EDF2BE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11E9F91">
      <w:r>
        <w:br w:type="page"/>
      </w:r>
    </w:p>
    <w:p w14:paraId="796A755F">
      <w:pPr>
        <w:spacing w:line="240" w:lineRule="auto"/>
        <w:jc w:val="center"/>
        <w:outlineLvl w:val="1"/>
      </w:pPr>
      <w:r>
        <w:rPr>
          <w:rFonts w:ascii="黑体" w:hAnsi="黑体" w:eastAsia="黑体"/>
          <w:sz w:val="32"/>
        </w:rPr>
        <w:t>第四部分 部门决算报表（见附表）</w:t>
      </w:r>
    </w:p>
    <w:p w14:paraId="346309C8">
      <w:pPr>
        <w:spacing w:line="240" w:lineRule="auto"/>
        <w:ind w:firstLine="640"/>
        <w:jc w:val="both"/>
      </w:pPr>
      <w:r>
        <w:rPr>
          <w:rFonts w:ascii="仿宋_GB2312" w:hAnsi="仿宋_GB2312" w:eastAsia="仿宋_GB2312"/>
          <w:b w:val="0"/>
          <w:sz w:val="32"/>
        </w:rPr>
        <w:t>一、《收入支出决算总表》</w:t>
      </w:r>
    </w:p>
    <w:p w14:paraId="36C9AAD7">
      <w:pPr>
        <w:spacing w:line="240" w:lineRule="auto"/>
        <w:ind w:firstLine="640"/>
        <w:jc w:val="both"/>
      </w:pPr>
      <w:r>
        <w:rPr>
          <w:rFonts w:ascii="仿宋_GB2312" w:hAnsi="仿宋_GB2312" w:eastAsia="仿宋_GB2312"/>
          <w:b w:val="0"/>
          <w:sz w:val="32"/>
        </w:rPr>
        <w:t>二、《收入决算表》</w:t>
      </w:r>
    </w:p>
    <w:p w14:paraId="1B63F8F6">
      <w:pPr>
        <w:spacing w:line="240" w:lineRule="auto"/>
        <w:ind w:firstLine="640"/>
        <w:jc w:val="both"/>
      </w:pPr>
      <w:r>
        <w:rPr>
          <w:rFonts w:ascii="仿宋_GB2312" w:hAnsi="仿宋_GB2312" w:eastAsia="仿宋_GB2312"/>
          <w:b w:val="0"/>
          <w:sz w:val="32"/>
        </w:rPr>
        <w:t>三、《支出决算表》</w:t>
      </w:r>
    </w:p>
    <w:p w14:paraId="26F6FE02">
      <w:pPr>
        <w:spacing w:line="240" w:lineRule="auto"/>
        <w:ind w:firstLine="640"/>
        <w:jc w:val="both"/>
      </w:pPr>
      <w:r>
        <w:rPr>
          <w:rFonts w:ascii="仿宋_GB2312" w:hAnsi="仿宋_GB2312" w:eastAsia="仿宋_GB2312"/>
          <w:b w:val="0"/>
          <w:sz w:val="32"/>
        </w:rPr>
        <w:t>四、《财政拨款收入支出决算总表》</w:t>
      </w:r>
    </w:p>
    <w:p w14:paraId="41D62844">
      <w:pPr>
        <w:spacing w:line="240" w:lineRule="auto"/>
        <w:ind w:firstLine="640"/>
        <w:jc w:val="both"/>
      </w:pPr>
      <w:r>
        <w:rPr>
          <w:rFonts w:ascii="仿宋_GB2312" w:hAnsi="仿宋_GB2312" w:eastAsia="仿宋_GB2312"/>
          <w:b w:val="0"/>
          <w:sz w:val="32"/>
        </w:rPr>
        <w:t>五、《一般公共预算财政拨款支出决算表》</w:t>
      </w:r>
    </w:p>
    <w:p w14:paraId="16B3B317">
      <w:pPr>
        <w:spacing w:line="240" w:lineRule="auto"/>
        <w:ind w:firstLine="640"/>
        <w:jc w:val="both"/>
      </w:pPr>
      <w:r>
        <w:rPr>
          <w:rFonts w:ascii="仿宋_GB2312" w:hAnsi="仿宋_GB2312" w:eastAsia="仿宋_GB2312"/>
          <w:b w:val="0"/>
          <w:sz w:val="32"/>
        </w:rPr>
        <w:t>六、《一般公共预算财政拨款基本支出决算表》</w:t>
      </w:r>
    </w:p>
    <w:p w14:paraId="6686801C">
      <w:pPr>
        <w:spacing w:line="240" w:lineRule="auto"/>
        <w:ind w:firstLine="640"/>
        <w:jc w:val="both"/>
      </w:pPr>
      <w:r>
        <w:rPr>
          <w:rFonts w:ascii="仿宋_GB2312" w:hAnsi="仿宋_GB2312" w:eastAsia="仿宋_GB2312"/>
          <w:b w:val="0"/>
          <w:sz w:val="32"/>
        </w:rPr>
        <w:t>七、《政府性基金预算财政拨款收入支出决算表》</w:t>
      </w:r>
    </w:p>
    <w:p w14:paraId="38FBD04C">
      <w:pPr>
        <w:spacing w:line="240" w:lineRule="auto"/>
        <w:ind w:firstLine="640"/>
        <w:jc w:val="both"/>
      </w:pPr>
      <w:r>
        <w:rPr>
          <w:rFonts w:ascii="仿宋_GB2312" w:hAnsi="仿宋_GB2312" w:eastAsia="仿宋_GB2312"/>
          <w:b w:val="0"/>
          <w:sz w:val="32"/>
        </w:rPr>
        <w:t>八、《国有资本经营预算财政拨款收入支出决算表》</w:t>
      </w:r>
    </w:p>
    <w:p w14:paraId="08D7C3CA">
      <w:pPr>
        <w:spacing w:line="240" w:lineRule="auto"/>
        <w:ind w:firstLine="640"/>
        <w:jc w:val="both"/>
      </w:pPr>
      <w:r>
        <w:rPr>
          <w:rFonts w:ascii="仿宋_GB2312" w:hAnsi="仿宋_GB2312" w:eastAsia="仿宋_GB2312"/>
          <w:b w:val="0"/>
          <w:sz w:val="32"/>
        </w:rPr>
        <w:t>九、《财政拨款“三公”经费支出决算表》</w:t>
      </w:r>
    </w:p>
    <w:p w14:paraId="0686B738">
      <w:pPr>
        <w:spacing w:line="240" w:lineRule="auto"/>
        <w:ind w:firstLine="640"/>
        <w:jc w:val="both"/>
      </w:pPr>
    </w:p>
    <w:p w14:paraId="38C8DCF3">
      <w:pPr>
        <w:spacing w:line="240" w:lineRule="auto"/>
        <w:ind w:firstLine="640"/>
        <w:jc w:val="both"/>
      </w:pPr>
    </w:p>
    <w:p w14:paraId="6E7298F3">
      <w:pPr>
        <w:spacing w:line="240" w:lineRule="auto"/>
        <w:ind w:firstLine="640"/>
        <w:jc w:val="both"/>
      </w:pPr>
    </w:p>
    <w:p w14:paraId="1F5CE2B6">
      <w:pPr>
        <w:spacing w:line="240" w:lineRule="auto"/>
        <w:ind w:firstLine="640"/>
        <w:jc w:val="both"/>
      </w:pPr>
    </w:p>
    <w:p w14:paraId="41A7019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F9F8AAA-B143-4197-BCC3-73ECAA17F69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E159E1D-F09C-4A22-9A77-9ABFFE889A39}"/>
  </w:font>
  <w:font w:name="仿宋_GB2312">
    <w:panose1 w:val="02010609030101010101"/>
    <w:charset w:val="86"/>
    <w:family w:val="modern"/>
    <w:pitch w:val="default"/>
    <w:sig w:usb0="00000001" w:usb1="080E0000" w:usb2="00000000" w:usb3="00000000" w:csb0="00040000" w:csb1="00000000"/>
    <w:embedRegular r:id="rId3" w:fontKey="{30C5566A-35B7-47E6-99DA-6087977EA53A}"/>
  </w:font>
  <w:font w:name="楷体_GB2312">
    <w:altName w:val="楷体"/>
    <w:panose1 w:val="00000000000000000000"/>
    <w:charset w:val="00"/>
    <w:family w:val="auto"/>
    <w:pitch w:val="default"/>
    <w:sig w:usb0="00000000" w:usb1="00000000" w:usb2="00000000" w:usb3="00000000" w:csb0="00000000" w:csb1="00000000"/>
    <w:embedRegular r:id="rId4" w:fontKey="{6BDD4C2F-760C-4558-BD27-28E90BB6EC6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4C5C09"/>
    <w:rsid w:val="464B7E04"/>
    <w:rsid w:val="464F7E64"/>
    <w:rsid w:val="46656407"/>
    <w:rsid w:val="46901EEE"/>
    <w:rsid w:val="469C74D2"/>
    <w:rsid w:val="47445515"/>
    <w:rsid w:val="4B4C0111"/>
    <w:rsid w:val="4BB23021"/>
    <w:rsid w:val="4F3F074E"/>
    <w:rsid w:val="50DB5F45"/>
    <w:rsid w:val="52F92565"/>
    <w:rsid w:val="543D17CB"/>
    <w:rsid w:val="55DA564E"/>
    <w:rsid w:val="56E07045"/>
    <w:rsid w:val="583059FA"/>
    <w:rsid w:val="587E6212"/>
    <w:rsid w:val="5AFC6609"/>
    <w:rsid w:val="5C35167A"/>
    <w:rsid w:val="5FA17648"/>
    <w:rsid w:val="5FD320BD"/>
    <w:rsid w:val="60DE4D57"/>
    <w:rsid w:val="613409CB"/>
    <w:rsid w:val="61A46A97"/>
    <w:rsid w:val="62DD7D21"/>
    <w:rsid w:val="659936CE"/>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1CB67CE"/>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4190</Words>
  <Characters>4782</Characters>
  <Lines>0</Lines>
  <Paragraphs>0</Paragraphs>
  <TotalTime>14</TotalTime>
  <ScaleCrop>false</ScaleCrop>
  <LinksUpToDate>false</LinksUpToDate>
  <CharactersWithSpaces>4790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2025-09-02T04:52:01Z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