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克孜勒苏柯尔克孜自治州电子政务服务中心2024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FA76A8">
      <w:r>
        <w:br w:type="page"/>
      </w:r>
    </w:p>
    <w:p w14:paraId="63CAEDBD">
      <w:pPr>
        <w:spacing w:line="640" w:lineRule="exact"/>
        <w:jc w:val="center"/>
        <w:outlineLvl w:val="1"/>
      </w:pPr>
      <w:r>
        <w:rPr>
          <w:rFonts w:ascii="黑体" w:hAnsi="黑体" w:eastAsia="黑体"/>
          <w:sz w:val="32"/>
        </w:rPr>
        <w:t>第一部分 单位概况</w:t>
      </w:r>
    </w:p>
    <w:p w14:paraId="62213A9C">
      <w:pPr>
        <w:spacing w:line="640" w:lineRule="exact"/>
        <w:ind w:firstLine="640"/>
        <w:jc w:val="both"/>
        <w:outlineLvl w:val="2"/>
      </w:pPr>
      <w:r>
        <w:rPr>
          <w:rFonts w:ascii="黑体" w:hAnsi="黑体" w:eastAsia="黑体"/>
          <w:sz w:val="32"/>
        </w:rPr>
        <w:t>一、主要职能</w:t>
      </w:r>
    </w:p>
    <w:p w14:paraId="43FF2D6F">
      <w:pPr>
        <w:spacing w:line="580" w:lineRule="exact"/>
        <w:ind w:firstLine="640"/>
        <w:jc w:val="both"/>
      </w:pPr>
      <w:r>
        <w:rPr>
          <w:rFonts w:ascii="仿宋_GB2312" w:hAnsi="仿宋_GB2312" w:eastAsia="仿宋_GB2312"/>
          <w:sz w:val="32"/>
        </w:rPr>
        <w:t>1.承担自治州人民政府机关日常政务运行的技术保障、辅助管理和事务服务等工作。</w:t>
      </w:r>
    </w:p>
    <w:p w14:paraId="5AD9D457">
      <w:pPr>
        <w:spacing w:line="580" w:lineRule="exact"/>
        <w:ind w:firstLine="640"/>
        <w:jc w:val="both"/>
      </w:pPr>
      <w:r>
        <w:rPr>
          <w:rFonts w:ascii="仿宋_GB2312" w:hAnsi="仿宋_GB2312" w:eastAsia="仿宋_GB2312"/>
          <w:sz w:val="32"/>
        </w:rPr>
        <w:t>2.承担全州政府协同办公、移动办公平台和政府网站集约化平台工作的运转和推动落实，优化平台功能，为平台信息安全提供技术支撑保障，进行监督管理。</w:t>
      </w:r>
    </w:p>
    <w:p w14:paraId="292DD994">
      <w:pPr>
        <w:spacing w:line="580" w:lineRule="exact"/>
        <w:ind w:firstLine="640"/>
        <w:jc w:val="both"/>
      </w:pPr>
      <w:r>
        <w:rPr>
          <w:rFonts w:ascii="仿宋_GB2312" w:hAnsi="仿宋_GB2312" w:eastAsia="仿宋_GB2312"/>
          <w:sz w:val="32"/>
        </w:rPr>
        <w:t>3.承担自治州各部门及县（市）政务公开、互动交流、州县（市）长信箱等平台建设、管理和维护；统筹、协调全州政务新媒体的监督和管理。</w:t>
      </w:r>
    </w:p>
    <w:p w14:paraId="602971C3">
      <w:pPr>
        <w:spacing w:line="580" w:lineRule="exact"/>
        <w:ind w:firstLine="640"/>
        <w:jc w:val="both"/>
      </w:pPr>
      <w:r>
        <w:rPr>
          <w:rFonts w:ascii="仿宋_GB2312" w:hAnsi="仿宋_GB2312" w:eastAsia="仿宋_GB2312"/>
          <w:sz w:val="32"/>
        </w:rPr>
        <w:t>4.承担自治州人民政府机关网络安全和信息化相关工作。</w:t>
      </w:r>
    </w:p>
    <w:p w14:paraId="17A7F8BB">
      <w:pPr>
        <w:spacing w:line="580" w:lineRule="exact"/>
        <w:ind w:firstLine="640"/>
        <w:jc w:val="both"/>
      </w:pPr>
      <w:r>
        <w:rPr>
          <w:rFonts w:ascii="仿宋_GB2312" w:hAnsi="仿宋_GB2312" w:eastAsia="仿宋_GB2312"/>
          <w:sz w:val="32"/>
        </w:rPr>
        <w:t>5.承担自治州人民政府机关软件正版化工作和政府协同办公平台的规划实施、运行保障及相关业务培训工作。</w:t>
      </w:r>
    </w:p>
    <w:p w14:paraId="4751837D">
      <w:pPr>
        <w:spacing w:line="580" w:lineRule="exact"/>
        <w:ind w:firstLine="640"/>
        <w:jc w:val="both"/>
      </w:pPr>
      <w:r>
        <w:rPr>
          <w:rFonts w:ascii="仿宋_GB2312" w:hAnsi="仿宋_GB2312" w:eastAsia="仿宋_GB2312"/>
          <w:sz w:val="32"/>
        </w:rPr>
        <w:t>6.承担政府会议系统、综治视联网会议系统运行服务保障工作。</w:t>
      </w:r>
    </w:p>
    <w:p w14:paraId="541E6227">
      <w:pPr>
        <w:spacing w:line="580" w:lineRule="exact"/>
        <w:ind w:firstLine="640"/>
        <w:jc w:val="both"/>
      </w:pPr>
      <w:r>
        <w:rPr>
          <w:rFonts w:ascii="仿宋_GB2312" w:hAnsi="仿宋_GB2312" w:eastAsia="仿宋_GB2312"/>
          <w:sz w:val="32"/>
        </w:rPr>
        <w:t>7.承担自治州党委、政府交办的其他工作。</w:t>
      </w:r>
    </w:p>
    <w:p w14:paraId="01268D94">
      <w:pPr>
        <w:spacing w:line="640" w:lineRule="exact"/>
        <w:ind w:firstLine="640"/>
        <w:jc w:val="both"/>
        <w:outlineLvl w:val="2"/>
      </w:pPr>
      <w:r>
        <w:rPr>
          <w:rFonts w:ascii="黑体" w:hAnsi="黑体" w:eastAsia="黑体"/>
          <w:sz w:val="32"/>
        </w:rPr>
        <w:t>二、机构设置及人员情况</w:t>
      </w:r>
    </w:p>
    <w:p w14:paraId="514A7F91">
      <w:pPr>
        <w:spacing w:line="580" w:lineRule="exact"/>
        <w:ind w:firstLine="640"/>
        <w:jc w:val="both"/>
      </w:pPr>
      <w:r>
        <w:rPr>
          <w:rFonts w:ascii="仿宋_GB2312" w:hAnsi="仿宋_GB2312" w:eastAsia="仿宋_GB2312"/>
          <w:sz w:val="32"/>
        </w:rPr>
        <w:t>克孜勒苏柯尔克孜自治州电子政务服务中心2024年度，实有人数20人，其中：在职人员15人，减少5人；离休人员0人，增加0人；退休人员5人,增加2人。</w:t>
      </w:r>
    </w:p>
    <w:p w14:paraId="7BFC724F">
      <w:pPr>
        <w:spacing w:line="580" w:lineRule="exact"/>
        <w:ind w:firstLine="640"/>
        <w:jc w:val="both"/>
      </w:pPr>
      <w:r>
        <w:rPr>
          <w:rFonts w:ascii="仿宋_GB2312" w:hAnsi="仿宋_GB2312" w:eastAsia="仿宋_GB2312"/>
          <w:sz w:val="32"/>
        </w:rPr>
        <w:t>克孜勒苏柯尔克孜自治州电子政务服务中心无下属预算单位，下设4个科室，分别是：综合科、运行维护科、技术服务科、安全保障科。</w:t>
      </w:r>
    </w:p>
    <w:p w14:paraId="1B44B640">
      <w:r>
        <w:br w:type="page"/>
      </w:r>
    </w:p>
    <w:p w14:paraId="2FC855CA">
      <w:pPr>
        <w:spacing w:line="240" w:lineRule="auto"/>
        <w:jc w:val="center"/>
        <w:outlineLvl w:val="1"/>
      </w:pPr>
      <w:r>
        <w:rPr>
          <w:rFonts w:ascii="黑体" w:hAnsi="黑体" w:eastAsia="黑体"/>
          <w:sz w:val="32"/>
        </w:rPr>
        <w:t>第二部分 部门决算情况说明</w:t>
      </w:r>
    </w:p>
    <w:p w14:paraId="7CDF9CCA">
      <w:pPr>
        <w:spacing w:line="640" w:lineRule="exact"/>
        <w:ind w:firstLine="640"/>
        <w:jc w:val="both"/>
        <w:outlineLvl w:val="2"/>
      </w:pPr>
      <w:r>
        <w:rPr>
          <w:rFonts w:ascii="黑体" w:hAnsi="黑体" w:eastAsia="黑体"/>
          <w:sz w:val="32"/>
        </w:rPr>
        <w:t>一、收入支出决算总体情况说明</w:t>
      </w:r>
    </w:p>
    <w:p w14:paraId="72BDD49E">
      <w:pPr>
        <w:spacing w:line="580" w:lineRule="exact"/>
        <w:ind w:firstLine="640"/>
        <w:jc w:val="both"/>
      </w:pPr>
      <w:r>
        <w:rPr>
          <w:rFonts w:ascii="仿宋_GB2312" w:hAnsi="仿宋_GB2312" w:eastAsia="仿宋_GB2312"/>
          <w:b/>
          <w:sz w:val="32"/>
        </w:rPr>
        <w:t>2024年度收入总计423.16万元，</w:t>
      </w:r>
      <w:r>
        <w:rPr>
          <w:rFonts w:ascii="仿宋_GB2312" w:hAnsi="仿宋_GB2312" w:eastAsia="仿宋_GB2312"/>
          <w:b w:val="0"/>
          <w:sz w:val="32"/>
        </w:rPr>
        <w:t>其中：本年收入合计420.28万元，使用非财政拨款结余（含专用结余）0.00万元，年初结转和结余2.88万元。</w:t>
      </w:r>
    </w:p>
    <w:p w14:paraId="46B2DDD9">
      <w:pPr>
        <w:spacing w:line="580" w:lineRule="exact"/>
        <w:ind w:firstLine="640"/>
        <w:jc w:val="both"/>
      </w:pPr>
      <w:r>
        <w:rPr>
          <w:rFonts w:ascii="仿宋_GB2312" w:hAnsi="仿宋_GB2312" w:eastAsia="仿宋_GB2312"/>
          <w:b/>
          <w:sz w:val="32"/>
        </w:rPr>
        <w:t>2024年度支出总计423.16万元，</w:t>
      </w:r>
      <w:r>
        <w:rPr>
          <w:rFonts w:ascii="仿宋_GB2312" w:hAnsi="仿宋_GB2312" w:eastAsia="仿宋_GB2312"/>
          <w:b w:val="0"/>
          <w:sz w:val="32"/>
        </w:rPr>
        <w:t>其中：本年支出合计420.28万元，结余分配0.00万元，年末结转和结余2.88万元。</w:t>
      </w:r>
    </w:p>
    <w:p w14:paraId="0F2C281A">
      <w:pPr>
        <w:spacing w:line="580" w:lineRule="exact"/>
        <w:ind w:firstLine="640"/>
        <w:jc w:val="both"/>
      </w:pPr>
      <w:r>
        <w:rPr>
          <w:rFonts w:ascii="仿宋_GB2312" w:hAnsi="仿宋_GB2312" w:eastAsia="仿宋_GB2312"/>
          <w:b w:val="0"/>
          <w:sz w:val="32"/>
        </w:rPr>
        <w:t>收入支出总体与上年相比，减少53.68万元，下降11.26%，主要原因是：本年度人员调出3人、退休2人，</w:t>
      </w:r>
      <w:r>
        <w:rPr>
          <w:rFonts w:hint="eastAsia" w:ascii="仿宋_GB2312" w:hAnsi="仿宋_GB2312" w:eastAsia="仿宋_GB2312"/>
          <w:b w:val="0"/>
          <w:sz w:val="32"/>
          <w:lang w:val="en-US" w:eastAsia="zh-CN"/>
        </w:rPr>
        <w:t>在职人员减少，</w:t>
      </w:r>
      <w:r>
        <w:rPr>
          <w:rFonts w:ascii="仿宋_GB2312" w:hAnsi="仿宋_GB2312" w:eastAsia="仿宋_GB2312"/>
          <w:b w:val="0"/>
          <w:sz w:val="32"/>
        </w:rPr>
        <w:t>因此人员经费减少；因机构改革部分职能划转，克州电子政务外网专项运行维护费项目部分资金转至克州数字化发展局，相关费用减少。</w:t>
      </w:r>
    </w:p>
    <w:p w14:paraId="3D28941E">
      <w:pPr>
        <w:spacing w:line="640" w:lineRule="exact"/>
        <w:ind w:firstLine="640"/>
        <w:jc w:val="both"/>
        <w:outlineLvl w:val="2"/>
      </w:pPr>
      <w:r>
        <w:rPr>
          <w:rFonts w:ascii="黑体" w:hAnsi="黑体" w:eastAsia="黑体"/>
          <w:sz w:val="32"/>
        </w:rPr>
        <w:t>二、收入决算情况说明</w:t>
      </w:r>
    </w:p>
    <w:p w14:paraId="26674919">
      <w:pPr>
        <w:spacing w:line="580" w:lineRule="exact"/>
        <w:ind w:firstLine="640"/>
        <w:jc w:val="both"/>
      </w:pPr>
      <w:r>
        <w:rPr>
          <w:rFonts w:ascii="仿宋_GB2312" w:hAnsi="仿宋_GB2312" w:eastAsia="仿宋_GB2312"/>
          <w:b/>
          <w:sz w:val="32"/>
        </w:rPr>
        <w:t>本年收入420.28万元，</w:t>
      </w:r>
      <w:r>
        <w:rPr>
          <w:rFonts w:ascii="仿宋_GB2312" w:hAnsi="仿宋_GB2312" w:eastAsia="仿宋_GB2312"/>
          <w:b w:val="0"/>
          <w:sz w:val="32"/>
        </w:rPr>
        <w:t>其中：财政拨款收入420.28万元，占100.00%；上级补助收入0.00万元，占0.00%；事业收入0.00万元，占0.00%；经营收入0.00万元，占0.00%；附属单位上缴收入0.00万元，占0.00%；其他收入0.00万元，占0.00%。</w:t>
      </w:r>
    </w:p>
    <w:p w14:paraId="1D16E1CE">
      <w:pPr>
        <w:spacing w:line="640" w:lineRule="exact"/>
        <w:ind w:firstLine="640"/>
        <w:jc w:val="both"/>
        <w:outlineLvl w:val="2"/>
      </w:pPr>
      <w:r>
        <w:rPr>
          <w:rFonts w:ascii="黑体" w:hAnsi="黑体" w:eastAsia="黑体"/>
          <w:sz w:val="32"/>
        </w:rPr>
        <w:t>三、支出决算情况说明</w:t>
      </w:r>
    </w:p>
    <w:p w14:paraId="20B8636E">
      <w:pPr>
        <w:spacing w:line="580" w:lineRule="exact"/>
        <w:ind w:firstLine="640"/>
        <w:jc w:val="both"/>
      </w:pPr>
      <w:r>
        <w:rPr>
          <w:rFonts w:ascii="仿宋_GB2312" w:hAnsi="仿宋_GB2312" w:eastAsia="仿宋_GB2312"/>
          <w:b/>
          <w:sz w:val="32"/>
        </w:rPr>
        <w:t>本年支出420.28万元，</w:t>
      </w:r>
      <w:r>
        <w:rPr>
          <w:rFonts w:ascii="仿宋_GB2312" w:hAnsi="仿宋_GB2312" w:eastAsia="仿宋_GB2312"/>
          <w:b w:val="0"/>
          <w:sz w:val="32"/>
        </w:rPr>
        <w:t>其中：基本支出356.40万元，占84.80%；项目支出63.88万元，占15.20%；上缴上级支出0.00万元，占0.00%；经营支出0.00万元，占0.00%；对附属单位补助支出0.00万元，占0.00%。</w:t>
      </w:r>
    </w:p>
    <w:p w14:paraId="14D6B84B">
      <w:pPr>
        <w:spacing w:line="640" w:lineRule="exact"/>
        <w:ind w:firstLine="640"/>
        <w:jc w:val="both"/>
        <w:outlineLvl w:val="2"/>
      </w:pPr>
      <w:r>
        <w:rPr>
          <w:rFonts w:ascii="黑体" w:hAnsi="黑体" w:eastAsia="黑体"/>
          <w:sz w:val="32"/>
        </w:rPr>
        <w:t>四、财政拨款收入支出决算总体情况说明</w:t>
      </w:r>
    </w:p>
    <w:p w14:paraId="0607F83E">
      <w:pPr>
        <w:spacing w:line="580" w:lineRule="exact"/>
        <w:ind w:firstLine="640"/>
        <w:jc w:val="both"/>
      </w:pPr>
      <w:r>
        <w:rPr>
          <w:rFonts w:ascii="仿宋_GB2312" w:hAnsi="仿宋_GB2312" w:eastAsia="仿宋_GB2312"/>
          <w:b/>
          <w:sz w:val="32"/>
        </w:rPr>
        <w:t>2024年度财政拨款收入总计420.28万元，</w:t>
      </w:r>
      <w:r>
        <w:rPr>
          <w:rFonts w:ascii="仿宋_GB2312" w:hAnsi="仿宋_GB2312" w:eastAsia="仿宋_GB2312"/>
          <w:b w:val="0"/>
          <w:sz w:val="32"/>
        </w:rPr>
        <w:t>其中：年初财政拨款结转和结余0.00万元，本年财政拨款收入420.28万元。</w:t>
      </w:r>
      <w:r>
        <w:rPr>
          <w:rFonts w:ascii="仿宋_GB2312" w:hAnsi="仿宋_GB2312" w:eastAsia="仿宋_GB2312"/>
          <w:b/>
          <w:sz w:val="32"/>
        </w:rPr>
        <w:t>财政拨款支出总计420.28万元，</w:t>
      </w:r>
      <w:r>
        <w:rPr>
          <w:rFonts w:ascii="仿宋_GB2312" w:hAnsi="仿宋_GB2312" w:eastAsia="仿宋_GB2312"/>
          <w:b w:val="0"/>
          <w:sz w:val="32"/>
        </w:rPr>
        <w:t>其中：年末财政拨款结转和结余0.00万元，本年财政拨款支出420.28万元。</w:t>
      </w:r>
    </w:p>
    <w:p w14:paraId="6E7021B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减少37.97万元，下降8.29%，主要原因是：本年度人员调出3人、退休2人，因此人员经费减少；因机构改革部分职能划转，克州电子政务外网专项运行维护费项目部分资金转至克州数字化发展局，相关费用减少。</w:t>
      </w:r>
      <w:r>
        <w:rPr>
          <w:rFonts w:ascii="仿宋_GB2312" w:hAnsi="仿宋_GB2312" w:eastAsia="仿宋_GB2312"/>
          <w:b/>
          <w:sz w:val="32"/>
        </w:rPr>
        <w:t>与年初预算相比，</w:t>
      </w:r>
      <w:r>
        <w:rPr>
          <w:rFonts w:ascii="仿宋_GB2312" w:hAnsi="仿宋_GB2312" w:eastAsia="仿宋_GB2312"/>
          <w:b w:val="0"/>
          <w:sz w:val="32"/>
        </w:rPr>
        <w:t>年初预算数473.87万元，决算数420.28万元，预决算差异率-11.31%，主要原因是：本年度调出人员3人，退休2人，年中调减人员经费；因机构改革部分职能划转至克州数字化发展局，年中调减克州电子政务外网专项运行维护费项目资金。</w:t>
      </w:r>
    </w:p>
    <w:p w14:paraId="64785E33">
      <w:pPr>
        <w:spacing w:line="640" w:lineRule="exact"/>
        <w:ind w:firstLine="640"/>
        <w:jc w:val="both"/>
        <w:outlineLvl w:val="2"/>
      </w:pPr>
      <w:r>
        <w:rPr>
          <w:rFonts w:ascii="黑体" w:hAnsi="黑体" w:eastAsia="黑体"/>
          <w:sz w:val="32"/>
        </w:rPr>
        <w:t>五、一般公共预算财政拨款支出决算情况说明</w:t>
      </w:r>
    </w:p>
    <w:p w14:paraId="5241964B">
      <w:pPr>
        <w:spacing w:line="640" w:lineRule="exact"/>
        <w:ind w:firstLine="640"/>
        <w:jc w:val="both"/>
        <w:outlineLvl w:val="3"/>
      </w:pPr>
      <w:r>
        <w:rPr>
          <w:rFonts w:ascii="楷体_GB2312" w:hAnsi="楷体_GB2312" w:eastAsia="楷体_GB2312"/>
          <w:b/>
          <w:sz w:val="32"/>
        </w:rPr>
        <w:t>（一）一般公共预算财政拨款支出决算总体情况</w:t>
      </w:r>
    </w:p>
    <w:p w14:paraId="4FBB5B7D">
      <w:pPr>
        <w:spacing w:line="580" w:lineRule="exact"/>
        <w:ind w:firstLine="640"/>
        <w:jc w:val="both"/>
      </w:pPr>
      <w:r>
        <w:rPr>
          <w:rFonts w:ascii="仿宋_GB2312" w:hAnsi="仿宋_GB2312" w:eastAsia="仿宋_GB2312"/>
          <w:b/>
          <w:sz w:val="32"/>
        </w:rPr>
        <w:t>2024年度一般公共预算财政拨款支出420.28万元，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减少37.97万元，下降8.29%，主要原因是：本年度人员调出3人、退休2人，因此人员经费减少；因机构改革部分职能划转，克州电子政务外网专项运行维护费项目部分资金转至克州数字化发展局，相关费用减少。</w:t>
      </w:r>
      <w:r>
        <w:rPr>
          <w:rFonts w:ascii="仿宋_GB2312" w:hAnsi="仿宋_GB2312" w:eastAsia="仿宋_GB2312"/>
          <w:b/>
          <w:sz w:val="32"/>
        </w:rPr>
        <w:t>与年初预算相比,</w:t>
      </w:r>
      <w:r>
        <w:rPr>
          <w:rFonts w:ascii="仿宋_GB2312" w:hAnsi="仿宋_GB2312" w:eastAsia="仿宋_GB2312"/>
          <w:b w:val="0"/>
          <w:sz w:val="32"/>
        </w:rPr>
        <w:t>年初预算数473.87万元，决算数420.28万元，预决算差异率-11.31%，主要原因是：本年度调出人员3人，退休2人，年中调减人员经费；因机构改革部分职能划转至克州数字化发展局，年中调减克州电子政务外网专项运行维护费项目资金。</w:t>
      </w:r>
    </w:p>
    <w:p w14:paraId="013DB1E9">
      <w:pPr>
        <w:spacing w:line="640" w:lineRule="exact"/>
        <w:ind w:firstLine="640"/>
        <w:jc w:val="both"/>
        <w:outlineLvl w:val="3"/>
      </w:pPr>
      <w:r>
        <w:rPr>
          <w:rFonts w:ascii="楷体_GB2312" w:hAnsi="楷体_GB2312" w:eastAsia="楷体_GB2312"/>
          <w:b/>
          <w:sz w:val="32"/>
        </w:rPr>
        <w:t>（二）一般公共预算财政拨款支出决算结构情况</w:t>
      </w:r>
    </w:p>
    <w:p w14:paraId="2E8588F2">
      <w:pPr>
        <w:spacing w:line="580" w:lineRule="exact"/>
        <w:ind w:firstLine="640"/>
        <w:jc w:val="both"/>
      </w:pPr>
      <w:r>
        <w:rPr>
          <w:rFonts w:ascii="仿宋_GB2312" w:hAnsi="仿宋_GB2312" w:eastAsia="仿宋_GB2312"/>
          <w:b w:val="0"/>
          <w:sz w:val="32"/>
        </w:rPr>
        <w:t>1.一般公共服务支出(类)359.95万元,占85.65%。</w:t>
      </w:r>
    </w:p>
    <w:p w14:paraId="5FFC49DB">
      <w:pPr>
        <w:spacing w:line="580" w:lineRule="exact"/>
        <w:ind w:firstLine="640"/>
        <w:jc w:val="both"/>
      </w:pPr>
      <w:r>
        <w:rPr>
          <w:rFonts w:ascii="仿宋_GB2312" w:hAnsi="仿宋_GB2312" w:eastAsia="仿宋_GB2312"/>
          <w:b w:val="0"/>
          <w:sz w:val="32"/>
        </w:rPr>
        <w:t>2.社会保障和就业支出(类)60.33万元,占14.35%。</w:t>
      </w:r>
    </w:p>
    <w:p w14:paraId="05DE9173">
      <w:pPr>
        <w:spacing w:line="640" w:lineRule="exact"/>
        <w:ind w:firstLine="640"/>
        <w:jc w:val="both"/>
        <w:outlineLvl w:val="3"/>
      </w:pPr>
      <w:r>
        <w:rPr>
          <w:rFonts w:ascii="楷体_GB2312" w:hAnsi="楷体_GB2312" w:eastAsia="楷体_GB2312"/>
          <w:b/>
          <w:sz w:val="32"/>
        </w:rPr>
        <w:t>（三）一般公共预算财政拨款支出决算具体情况</w:t>
      </w:r>
    </w:p>
    <w:p w14:paraId="60CFDA2C">
      <w:pPr>
        <w:spacing w:line="580" w:lineRule="exact"/>
        <w:ind w:firstLine="640"/>
        <w:jc w:val="both"/>
      </w:pPr>
      <w:r>
        <w:rPr>
          <w:rFonts w:ascii="仿宋_GB2312" w:hAnsi="仿宋_GB2312" w:eastAsia="仿宋_GB2312"/>
          <w:b w:val="0"/>
          <w:sz w:val="32"/>
        </w:rPr>
        <w:t>1.一般公共服务支出(类)政府办公厅（室）及相关机构事务(款)其他政府办公厅（室）及相关机构事务支出(项):支出决算数为0.00万元，比上年决算减少70.65万元，下降100.00%,主要原因是：本年功能科目调整，克州人民政府门户网站运行维护项目、克州电子政务内外网运行维护项目、电子政务外网专项运行维护项目由本科目调整至信息事务科目列支，相关支出减少。</w:t>
      </w:r>
    </w:p>
    <w:p w14:paraId="0A116E61">
      <w:pPr>
        <w:spacing w:line="580" w:lineRule="exact"/>
        <w:ind w:firstLine="640"/>
        <w:jc w:val="both"/>
      </w:pPr>
      <w:r>
        <w:rPr>
          <w:rFonts w:ascii="仿宋_GB2312" w:hAnsi="仿宋_GB2312" w:eastAsia="仿宋_GB2312"/>
          <w:b w:val="0"/>
          <w:sz w:val="32"/>
        </w:rPr>
        <w:t>2.一般公共服务支出(类)统计信息事务(款)信息事务(项):支出决算数为359.95万元，比上年决算增加20.57万元，增长6.06%,主要原因是：本年在职人员工资调增，补发7-12月工资，导致相关人员经费较上年有所增加。本年功能科目调整，克州人民政府门户网站运行维护项目、克州电子政务内外网运行维护项目、电子政务外网专项运行维护项目由其他政府办公厅（室）及相关机构事务支出科目调整至本科目列支，相关支出增加。</w:t>
      </w:r>
    </w:p>
    <w:p w14:paraId="7B6921D1">
      <w:pPr>
        <w:spacing w:line="580" w:lineRule="exact"/>
        <w:ind w:firstLine="640"/>
        <w:jc w:val="both"/>
      </w:pPr>
      <w:r>
        <w:rPr>
          <w:rFonts w:ascii="仿宋_GB2312" w:hAnsi="仿宋_GB2312" w:eastAsia="仿宋_GB2312"/>
          <w:b w:val="0"/>
          <w:sz w:val="32"/>
        </w:rPr>
        <w:t>3.教育支出(类)普通教育(款)学前教育(项):支出决算数为0.00万元，比上年决算减少2.08万元，下降100.00%,主要原因是：本年度无支教人员，生活补助经费减少。</w:t>
      </w:r>
    </w:p>
    <w:p w14:paraId="401F4BF0">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4.社会保障和就业支出(类)行政事业单位养老支出(款)行政单位离退休(项):支出决算数为5.14万元，比上年决算增加1.67万元，增长48.13%,主要原因是：本年退休人员增加，退休费支出增加。</w:t>
      </w:r>
    </w:p>
    <w:p w14:paraId="2C1D419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32.00万元，比上年决算减少3.17万元，下降9.01%,主要原因是：本年在职人员减少，单位基本养老保险缴费较上年减少。</w:t>
      </w:r>
    </w:p>
    <w:p w14:paraId="3EC15F44">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23.19万元，比上年决算增加15.68万元，增长208.79%,主要原因是：本年度增加调出人员及退休人员职业年金，相关费用增加。</w:t>
      </w:r>
    </w:p>
    <w:p w14:paraId="10F5196E">
      <w:pPr>
        <w:spacing w:line="640" w:lineRule="exact"/>
        <w:ind w:firstLine="640"/>
        <w:jc w:val="both"/>
        <w:outlineLvl w:val="2"/>
      </w:pPr>
      <w:r>
        <w:rPr>
          <w:rFonts w:ascii="黑体" w:hAnsi="黑体" w:eastAsia="黑体"/>
          <w:sz w:val="32"/>
        </w:rPr>
        <w:t>六、一般公共预算财政拨款基本支出决算情况说明</w:t>
      </w:r>
    </w:p>
    <w:p w14:paraId="512F7E78">
      <w:pPr>
        <w:spacing w:line="580" w:lineRule="exact"/>
        <w:ind w:firstLine="640"/>
        <w:jc w:val="both"/>
      </w:pPr>
      <w:r>
        <w:rPr>
          <w:rFonts w:ascii="仿宋_GB2312" w:hAnsi="仿宋_GB2312" w:eastAsia="仿宋_GB2312"/>
          <w:b w:val="0"/>
          <w:sz w:val="32"/>
        </w:rPr>
        <w:t>2024年度一般公共预算财政拨款基本支出356.40万元，其中：</w:t>
      </w:r>
      <w:r>
        <w:rPr>
          <w:rFonts w:ascii="仿宋_GB2312" w:hAnsi="仿宋_GB2312" w:eastAsia="仿宋_GB2312"/>
          <w:b/>
          <w:sz w:val="32"/>
        </w:rPr>
        <w:t>人员经费343.62万元，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0A34D2E5">
      <w:pPr>
        <w:spacing w:line="580" w:lineRule="exact"/>
        <w:ind w:firstLine="640"/>
        <w:jc w:val="both"/>
      </w:pPr>
      <w:r>
        <w:rPr>
          <w:rFonts w:ascii="仿宋_GB2312" w:hAnsi="仿宋_GB2312" w:eastAsia="仿宋_GB2312"/>
          <w:b/>
          <w:sz w:val="32"/>
        </w:rPr>
        <w:t>公用经费12.78万元，</w:t>
      </w:r>
      <w:r>
        <w:rPr>
          <w:rFonts w:ascii="仿宋_GB2312" w:hAnsi="仿宋_GB2312" w:eastAsia="仿宋_GB2312"/>
          <w:b w:val="0"/>
          <w:sz w:val="32"/>
        </w:rPr>
        <w:t>包括：办公费、差旅费、工会经费、福利费、其他商品和服务支出、办公设备购置。</w:t>
      </w:r>
    </w:p>
    <w:p w14:paraId="03DC81A7">
      <w:pPr>
        <w:spacing w:line="640" w:lineRule="exact"/>
        <w:ind w:firstLine="640"/>
        <w:jc w:val="both"/>
        <w:outlineLvl w:val="2"/>
      </w:pPr>
      <w:r>
        <w:rPr>
          <w:rFonts w:ascii="黑体" w:hAnsi="黑体" w:eastAsia="黑体"/>
          <w:sz w:val="32"/>
        </w:rPr>
        <w:t>七、政府性基金预算财政拨款收入支出决算情况说明</w:t>
      </w:r>
    </w:p>
    <w:p w14:paraId="4C0421C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4B2BEF">
      <w:pPr>
        <w:spacing w:line="640" w:lineRule="exact"/>
        <w:ind w:firstLine="640"/>
        <w:jc w:val="both"/>
        <w:outlineLvl w:val="2"/>
      </w:pPr>
      <w:r>
        <w:rPr>
          <w:rFonts w:ascii="黑体" w:hAnsi="黑体" w:eastAsia="黑体"/>
          <w:sz w:val="32"/>
        </w:rPr>
        <w:t>八、国有资本经营预算财政拨款收入支出决算情况说明</w:t>
      </w:r>
    </w:p>
    <w:p w14:paraId="7A654C2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DD611BC">
      <w:pPr>
        <w:spacing w:line="640" w:lineRule="exact"/>
        <w:ind w:firstLine="640"/>
        <w:jc w:val="both"/>
        <w:outlineLvl w:val="2"/>
      </w:pPr>
      <w:r>
        <w:rPr>
          <w:rFonts w:ascii="黑体" w:hAnsi="黑体" w:eastAsia="黑体"/>
          <w:sz w:val="32"/>
        </w:rPr>
        <w:t>九、财政拨款“三公”经费支出决算情况说明</w:t>
      </w:r>
    </w:p>
    <w:p w14:paraId="44BBA04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DCB84D6">
      <w:pPr>
        <w:spacing w:line="580" w:lineRule="exact"/>
        <w:ind w:firstLine="640"/>
        <w:jc w:val="both"/>
      </w:pPr>
      <w:r>
        <w:rPr>
          <w:rFonts w:ascii="仿宋_GB2312" w:hAnsi="仿宋_GB2312" w:eastAsia="仿宋_GB2312"/>
          <w:b/>
          <w:sz w:val="32"/>
        </w:rPr>
        <w:t>具体情况如下：</w:t>
      </w:r>
    </w:p>
    <w:p w14:paraId="1CDC809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592FE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公务接待费0.00万元，开支内容包括本单位无公务接待位无固定资产车辆。</w:t>
      </w:r>
    </w:p>
    <w:p w14:paraId="591DC1E8">
      <w:pPr>
        <w:spacing w:line="580" w:lineRule="exact"/>
        <w:ind w:firstLine="640"/>
        <w:jc w:val="both"/>
      </w:pPr>
      <w:r>
        <w:rPr>
          <w:rFonts w:ascii="仿宋_GB2312" w:hAnsi="仿宋_GB2312" w:eastAsia="仿宋_GB2312"/>
          <w:b w:val="0"/>
          <w:sz w:val="32"/>
        </w:rPr>
        <w:t>费。单位全年安排的国内公务接待0批次，0人次。</w:t>
      </w:r>
    </w:p>
    <w:p w14:paraId="62C8773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9DB186B">
      <w:pPr>
        <w:spacing w:line="640" w:lineRule="exact"/>
        <w:ind w:firstLine="640"/>
        <w:jc w:val="both"/>
        <w:outlineLvl w:val="2"/>
      </w:pPr>
      <w:r>
        <w:rPr>
          <w:rFonts w:ascii="黑体" w:hAnsi="黑体" w:eastAsia="黑体"/>
          <w:sz w:val="32"/>
        </w:rPr>
        <w:t>十、其他重要事项的情况说明</w:t>
      </w:r>
    </w:p>
    <w:p w14:paraId="1156FF19">
      <w:pPr>
        <w:spacing w:line="640" w:lineRule="exact"/>
        <w:ind w:firstLine="640"/>
        <w:jc w:val="both"/>
        <w:outlineLvl w:val="3"/>
      </w:pPr>
      <w:r>
        <w:rPr>
          <w:rFonts w:ascii="楷体_GB2312" w:hAnsi="楷体_GB2312" w:eastAsia="楷体_GB2312"/>
          <w:b/>
          <w:sz w:val="32"/>
        </w:rPr>
        <w:t>（一）机关运行经费及公用经费支出情况</w:t>
      </w:r>
    </w:p>
    <w:p w14:paraId="106FC1AB">
      <w:pPr>
        <w:spacing w:line="580" w:lineRule="exact"/>
        <w:ind w:firstLine="640"/>
        <w:jc w:val="both"/>
      </w:pPr>
      <w:r>
        <w:rPr>
          <w:rFonts w:ascii="仿宋_GB2312" w:hAnsi="仿宋_GB2312" w:eastAsia="仿宋_GB2312"/>
          <w:b w:val="0"/>
          <w:sz w:val="32"/>
        </w:rPr>
        <w:t>2024年度克孜勒苏柯尔克孜自治州电子政务服务中心（行政单位和参照公务员法管理事业单位）机关运行经费支出12.78万元，比上年减少0.88万元，下降6.44%，主要原因是：本年工会经费、福利费减少，</w:t>
      </w:r>
      <w:r>
        <w:rPr>
          <w:rFonts w:hint="eastAsia" w:ascii="仿宋_GB2312" w:hAnsi="仿宋_GB2312" w:eastAsia="仿宋_GB2312"/>
          <w:b w:val="0"/>
          <w:sz w:val="32"/>
          <w:lang w:val="en-US" w:eastAsia="zh-CN"/>
        </w:rPr>
        <w:t>导致</w:t>
      </w:r>
      <w:r>
        <w:rPr>
          <w:rFonts w:ascii="仿宋_GB2312" w:hAnsi="仿宋_GB2312" w:eastAsia="仿宋_GB2312"/>
          <w:b w:val="0"/>
          <w:sz w:val="32"/>
        </w:rPr>
        <w:t>机关运行经费减少。</w:t>
      </w:r>
    </w:p>
    <w:p w14:paraId="3AF05D61">
      <w:pPr>
        <w:spacing w:line="640" w:lineRule="exact"/>
        <w:ind w:firstLine="640"/>
        <w:jc w:val="both"/>
        <w:outlineLvl w:val="3"/>
      </w:pPr>
      <w:r>
        <w:rPr>
          <w:rFonts w:ascii="楷体_GB2312" w:hAnsi="楷体_GB2312" w:eastAsia="楷体_GB2312"/>
          <w:b/>
          <w:sz w:val="32"/>
        </w:rPr>
        <w:t>（二）政府采购情况</w:t>
      </w:r>
    </w:p>
    <w:p w14:paraId="4E9BD62E">
      <w:pPr>
        <w:spacing w:line="580" w:lineRule="exact"/>
        <w:ind w:firstLine="640"/>
        <w:jc w:val="both"/>
      </w:pPr>
      <w:r>
        <w:rPr>
          <w:rFonts w:ascii="仿宋_GB2312" w:hAnsi="仿宋_GB2312" w:eastAsia="仿宋_GB2312"/>
          <w:b w:val="0"/>
          <w:sz w:val="32"/>
        </w:rPr>
        <w:t>2024年度政府采购支出总额66.78万元，其中：政府采购货物支出7.72万元、政府采购工程支出0.00万元、政府采购服务支出59.06万元。</w:t>
      </w:r>
    </w:p>
    <w:p w14:paraId="1D069DCB">
      <w:pPr>
        <w:spacing w:line="580" w:lineRule="exact"/>
        <w:ind w:firstLine="640"/>
        <w:jc w:val="both"/>
      </w:pPr>
      <w:r>
        <w:rPr>
          <w:rFonts w:ascii="仿宋_GB2312" w:hAnsi="仿宋_GB2312" w:eastAsia="仿宋_GB2312"/>
          <w:b w:val="0"/>
          <w:sz w:val="32"/>
        </w:rPr>
        <w:t>授予中小企业合同金额66.78万元，占政府采购支出总额的100.00%，其中：授予小微企业合同金额23.70万元，占政府采购支出总额的35.49%。</w:t>
      </w:r>
    </w:p>
    <w:p w14:paraId="07C6B606">
      <w:pPr>
        <w:spacing w:line="640" w:lineRule="exact"/>
        <w:ind w:firstLine="640"/>
        <w:jc w:val="both"/>
        <w:outlineLvl w:val="3"/>
      </w:pPr>
      <w:r>
        <w:rPr>
          <w:rFonts w:ascii="楷体_GB2312" w:hAnsi="楷体_GB2312" w:eastAsia="楷体_GB2312"/>
          <w:b/>
          <w:sz w:val="32"/>
        </w:rPr>
        <w:t>（三）国有资产占用情况说明</w:t>
      </w:r>
    </w:p>
    <w:p w14:paraId="097939E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9FA0E2D">
      <w:pPr>
        <w:spacing w:line="640" w:lineRule="exact"/>
        <w:ind w:firstLine="640"/>
        <w:jc w:val="both"/>
        <w:outlineLvl w:val="2"/>
      </w:pPr>
      <w:r>
        <w:rPr>
          <w:rFonts w:ascii="黑体" w:hAnsi="黑体" w:eastAsia="黑体"/>
          <w:sz w:val="32"/>
        </w:rPr>
        <w:t>十一、预算绩效的情况说明</w:t>
      </w:r>
    </w:p>
    <w:p w14:paraId="25008E9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423.16万元，实际执行总额420.28万元；预算绩效评价项目3个，全年预算数63.88万元，全年执行数63.88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意识有待增强，未能全面深入认识理解绩效管理工作的意义；绩效管理经验不足，预算绩效管理工作有待进一步落实。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7C1268D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B15933D">
        <w:tblPrEx>
          <w:tblCellMar>
            <w:top w:w="0" w:type="dxa"/>
            <w:left w:w="108" w:type="dxa"/>
            <w:bottom w:w="0" w:type="dxa"/>
            <w:right w:w="108" w:type="dxa"/>
          </w:tblCellMar>
        </w:tblPrEx>
        <w:tc>
          <w:tcPr>
            <w:tcW w:w="8840" w:type="dxa"/>
            <w:gridSpan w:val="8"/>
            <w:vAlign w:val="center"/>
          </w:tcPr>
          <w:p w14:paraId="6E050AA1">
            <w:pPr>
              <w:jc w:val="center"/>
            </w:pPr>
            <w:r>
              <w:rPr>
                <w:rFonts w:ascii="宋体" w:hAnsi="宋体" w:eastAsia="宋体"/>
                <w:sz w:val="24"/>
              </w:rPr>
              <w:t>单位整体支出绩效自评表</w:t>
            </w:r>
          </w:p>
        </w:tc>
      </w:tr>
      <w:tr w14:paraId="5C4035E4">
        <w:tblPrEx>
          <w:tblCellMar>
            <w:top w:w="0" w:type="dxa"/>
            <w:left w:w="108" w:type="dxa"/>
            <w:bottom w:w="0" w:type="dxa"/>
            <w:right w:w="108" w:type="dxa"/>
          </w:tblCellMar>
        </w:tblPrEx>
        <w:tc>
          <w:tcPr>
            <w:tcW w:w="8840" w:type="dxa"/>
            <w:gridSpan w:val="8"/>
            <w:vAlign w:val="center"/>
          </w:tcPr>
          <w:p w14:paraId="7E0B50EC">
            <w:pPr>
              <w:jc w:val="center"/>
            </w:pPr>
            <w:r>
              <w:rPr>
                <w:rFonts w:ascii="宋体" w:hAnsi="宋体" w:eastAsia="宋体"/>
                <w:sz w:val="24"/>
              </w:rPr>
              <w:t>（2024年度）</w:t>
            </w:r>
          </w:p>
        </w:tc>
      </w:tr>
      <w:tr w14:paraId="1AD03BE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5113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321C6">
            <w:pPr>
              <w:jc w:val="center"/>
            </w:pPr>
            <w:r>
              <w:rPr>
                <w:rFonts w:ascii="宋体" w:hAnsi="宋体" w:eastAsia="宋体"/>
                <w:sz w:val="16"/>
              </w:rPr>
              <w:t>克孜勒苏柯尔克孜自治州电子政务服务中心</w:t>
            </w:r>
          </w:p>
        </w:tc>
      </w:tr>
      <w:tr w14:paraId="424B678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1415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974D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576C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03E6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894B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094C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F3B4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5D6B4">
            <w:pPr>
              <w:jc w:val="center"/>
            </w:pPr>
            <w:r>
              <w:rPr>
                <w:rFonts w:ascii="宋体" w:hAnsi="宋体" w:eastAsia="宋体"/>
                <w:sz w:val="16"/>
              </w:rPr>
              <w:t>得分</w:t>
            </w:r>
          </w:p>
        </w:tc>
      </w:tr>
      <w:tr w14:paraId="48ECF7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76E1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7C79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2F15E">
            <w:pPr>
              <w:jc w:val="center"/>
            </w:pPr>
            <w:r>
              <w:rPr>
                <w:rFonts w:ascii="宋体" w:hAnsi="宋体" w:eastAsia="宋体"/>
                <w:sz w:val="16"/>
              </w:rPr>
              <w:t>473.87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AE038">
            <w:pPr>
              <w:jc w:val="center"/>
            </w:pPr>
            <w:r>
              <w:rPr>
                <w:rFonts w:ascii="宋体" w:hAnsi="宋体" w:eastAsia="宋体"/>
                <w:sz w:val="16"/>
              </w:rPr>
              <w:t>423.16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31E80">
            <w:pPr>
              <w:jc w:val="center"/>
            </w:pPr>
            <w:r>
              <w:rPr>
                <w:rFonts w:ascii="宋体" w:hAnsi="宋体" w:eastAsia="宋体"/>
                <w:sz w:val="16"/>
              </w:rPr>
              <w:t>420.28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DB14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D264B">
            <w:pPr>
              <w:jc w:val="center"/>
            </w:pPr>
            <w:r>
              <w:rPr>
                <w:rFonts w:ascii="宋体" w:hAnsi="宋体" w:eastAsia="宋体"/>
                <w:sz w:val="16"/>
              </w:rPr>
              <w:t>99.32%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ED9AE">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93</w:t>
            </w:r>
            <w:r>
              <w:rPr>
                <w:rFonts w:hint="eastAsia" w:ascii="宋体" w:hAnsi="宋体"/>
                <w:sz w:val="16"/>
                <w:lang w:val="en-US" w:eastAsia="zh-CN"/>
              </w:rPr>
              <w:t>分</w:t>
            </w:r>
            <w:bookmarkStart w:id="0" w:name="_GoBack"/>
            <w:bookmarkEnd w:id="0"/>
          </w:p>
        </w:tc>
      </w:tr>
      <w:tr w14:paraId="2D7E42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1F52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6494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27E5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3591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6DD8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83B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73C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90501">
            <w:pPr>
              <w:jc w:val="center"/>
            </w:pPr>
            <w:r>
              <w:rPr>
                <w:rFonts w:ascii="宋体" w:hAnsi="宋体" w:eastAsia="宋体"/>
                <w:sz w:val="16"/>
              </w:rPr>
              <w:t>—</w:t>
            </w:r>
          </w:p>
        </w:tc>
      </w:tr>
      <w:tr w14:paraId="5E4AFB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2241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5636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69EB8">
            <w:pPr>
              <w:jc w:val="center"/>
            </w:pPr>
            <w:r>
              <w:rPr>
                <w:rFonts w:ascii="宋体" w:hAnsi="宋体" w:eastAsia="宋体"/>
                <w:sz w:val="16"/>
              </w:rPr>
              <w:t>473.87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BB0B8">
            <w:pPr>
              <w:jc w:val="center"/>
            </w:pPr>
            <w:r>
              <w:rPr>
                <w:rFonts w:ascii="宋体" w:hAnsi="宋体" w:eastAsia="宋体"/>
                <w:sz w:val="16"/>
              </w:rPr>
              <w:t>423.16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5D937">
            <w:pPr>
              <w:jc w:val="center"/>
            </w:pPr>
            <w:r>
              <w:rPr>
                <w:rFonts w:ascii="宋体" w:hAnsi="宋体" w:eastAsia="宋体"/>
                <w:sz w:val="16"/>
              </w:rPr>
              <w:t>420.28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32E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E24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0F0FD">
            <w:pPr>
              <w:jc w:val="center"/>
            </w:pPr>
            <w:r>
              <w:rPr>
                <w:rFonts w:ascii="宋体" w:hAnsi="宋体" w:eastAsia="宋体"/>
                <w:sz w:val="16"/>
              </w:rPr>
              <w:t>—</w:t>
            </w:r>
          </w:p>
        </w:tc>
      </w:tr>
      <w:tr w14:paraId="322AFE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A988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C29A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606C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32E9B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CAA1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B97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2AD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AEB10">
            <w:pPr>
              <w:jc w:val="center"/>
            </w:pPr>
            <w:r>
              <w:rPr>
                <w:rFonts w:ascii="宋体" w:hAnsi="宋体" w:eastAsia="宋体"/>
                <w:sz w:val="16"/>
              </w:rPr>
              <w:t>—</w:t>
            </w:r>
          </w:p>
        </w:tc>
      </w:tr>
      <w:tr w14:paraId="0B3D8B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E2C7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5B2E6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FB0542">
            <w:pPr>
              <w:jc w:val="center"/>
            </w:pPr>
            <w:r>
              <w:rPr>
                <w:rFonts w:hint="eastAsia" w:ascii="宋体" w:hAnsi="宋体" w:eastAsia="宋体"/>
                <w:sz w:val="16"/>
              </w:rPr>
              <w:t>实际完成情况</w:t>
            </w:r>
          </w:p>
        </w:tc>
      </w:tr>
      <w:tr w14:paraId="637BE4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617E1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43D6A8">
            <w:pPr>
              <w:jc w:val="both"/>
            </w:pPr>
            <w:r>
              <w:rPr>
                <w:rFonts w:ascii="宋体" w:hAnsi="宋体" w:eastAsia="宋体"/>
                <w:sz w:val="16"/>
              </w:rPr>
              <w:t>一、贯彻落实国家、自治区有关电子政务的法律、法规和方针、政策；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二、研究制定自治州电子政务发展战略、发展规划和年度计划并负责组织实施；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三、负责自治州政府门户网站、政府内网、电子政务外网建设、管理维护，网站信息公开、信息发布；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四、负责自治州有关电子政务网络信息安全工作；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五、负责全州政府外网规划、建设、运行和相关管理工作。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32EB6D">
            <w:pPr>
              <w:jc w:val="both"/>
            </w:pPr>
            <w:r>
              <w:rPr>
                <w:rFonts w:ascii="宋体" w:hAnsi="宋体" w:eastAsia="宋体"/>
                <w:sz w:val="16"/>
              </w:rPr>
              <w:t>　　网站管理及维护、协同办公平台和电子政务外网设备安全运行率、电子政务外网畅通率、维护信息系统3个、电子政务外网及协同办公系统接入单位56个单位、出具监测报告4份、推动电子政务、政府网站、政务公开的高效运转、提高政府办公效率。通过以上工作的实施，通过以上工作的实施，保障了</w:t>
            </w:r>
            <w:r>
              <w:rPr>
                <w:rFonts w:hint="eastAsia" w:ascii="宋体" w:hAnsi="宋体"/>
                <w:sz w:val="16"/>
                <w:lang w:eastAsia="zh-CN"/>
              </w:rPr>
              <w:t>本单位</w:t>
            </w:r>
            <w:r>
              <w:rPr>
                <w:rFonts w:ascii="宋体" w:hAnsi="宋体" w:eastAsia="宋体"/>
                <w:sz w:val="16"/>
              </w:rPr>
              <w:t>20名职工的工资、福利及社保、公积金正常发放及缴纳，确保民生工作落实到位，保障单位各项工作的正常运转，确保机构运转正常。一是县（市）政府网站日常管理和定期监测，有利于门户网站安全平稳运行，达到有效地提高政府网站优质服务排名，为社会大众展现一个方便、内容安全的政府网站。二是认真落实政府网站和政务新媒体建设管理要求，及时发布权威信息，深入开展政策解读，积极回应社会关切，高质量完成此项工作。五是定期对电子政务外网安全设备和机房进行巡检，有利于克州电子政务外网网络的正常运行，</w:t>
            </w:r>
            <w:r>
              <w:rPr>
                <w:rFonts w:hint="eastAsia" w:ascii="宋体" w:hAnsi="宋体"/>
                <w:sz w:val="16"/>
                <w:lang w:eastAsia="zh-CN"/>
              </w:rPr>
              <w:t>达到</w:t>
            </w:r>
            <w:r>
              <w:rPr>
                <w:rFonts w:ascii="宋体" w:hAnsi="宋体" w:eastAsia="宋体"/>
                <w:sz w:val="16"/>
              </w:rPr>
              <w:t>为跨部门、跨地区的网络互联互通、信息共享和业务协同提供网络支撑服务效益。三是加强与网信、公安、自治区电子政务办、自治区电子政务外网管理中心及第三方技术支撑公司的合作交流，积极防范网站可能会出现的应急事件，确保网站安全运行。</w:t>
            </w:r>
          </w:p>
        </w:tc>
      </w:tr>
      <w:tr w14:paraId="0EC79E6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8FAA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EF3F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4671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3891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2D15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CF93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8A50F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46DEB">
            <w:pPr>
              <w:jc w:val="center"/>
            </w:pPr>
            <w:r>
              <w:rPr>
                <w:rFonts w:ascii="宋体" w:hAnsi="宋体" w:eastAsia="宋体"/>
                <w:sz w:val="16"/>
              </w:rPr>
              <w:t>得分</w:t>
            </w:r>
          </w:p>
        </w:tc>
      </w:tr>
      <w:tr w14:paraId="6DB054C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D86A0">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31F3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D9BED">
            <w:pPr>
              <w:jc w:val="center"/>
            </w:pPr>
            <w:r>
              <w:rPr>
                <w:rFonts w:ascii="宋体" w:hAnsi="宋体" w:eastAsia="宋体"/>
                <w:sz w:val="16"/>
              </w:rPr>
              <w:t>网站管理及维护（%）</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6C3B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D35B1">
            <w:pPr>
              <w:jc w:val="center"/>
            </w:pPr>
            <w:r>
              <w:rPr>
                <w:rFonts w:ascii="宋体" w:hAnsi="宋体" w:eastAsia="宋体"/>
                <w:sz w:val="16"/>
              </w:rPr>
              <w:t>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A8B7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FE3A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8B8F2">
            <w:pPr>
              <w:jc w:val="center"/>
            </w:pPr>
            <w:r>
              <w:rPr>
                <w:rFonts w:ascii="宋体" w:hAnsi="宋体" w:eastAsia="宋体"/>
                <w:sz w:val="16"/>
              </w:rPr>
              <w:t>15</w:t>
            </w:r>
          </w:p>
        </w:tc>
      </w:tr>
      <w:tr w14:paraId="126ABE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BC554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38B73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57FB2">
            <w:pPr>
              <w:jc w:val="center"/>
            </w:pPr>
            <w:r>
              <w:rPr>
                <w:rFonts w:ascii="宋体" w:hAnsi="宋体" w:eastAsia="宋体"/>
                <w:sz w:val="16"/>
              </w:rPr>
              <w:t>协同办公平台和电子政务外网设备安全运行率（%）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DAC72">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0B6C8">
            <w:pPr>
              <w:jc w:val="center"/>
            </w:pPr>
            <w:r>
              <w:rPr>
                <w:rFonts w:ascii="宋体" w:hAnsi="宋体" w:eastAsia="宋体"/>
                <w:sz w:val="16"/>
              </w:rPr>
              <w:t>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774E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4230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964FC">
            <w:pPr>
              <w:jc w:val="center"/>
            </w:pPr>
            <w:r>
              <w:rPr>
                <w:rFonts w:ascii="宋体" w:hAnsi="宋体" w:eastAsia="宋体"/>
                <w:sz w:val="16"/>
              </w:rPr>
              <w:t>15</w:t>
            </w:r>
          </w:p>
        </w:tc>
      </w:tr>
      <w:tr w14:paraId="482A9B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AF28C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FB10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33D67">
            <w:pPr>
              <w:jc w:val="center"/>
            </w:pPr>
            <w:r>
              <w:rPr>
                <w:rFonts w:ascii="宋体" w:hAnsi="宋体" w:eastAsia="宋体"/>
                <w:sz w:val="16"/>
              </w:rPr>
              <w:t>电子政务外网畅通率（%）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DEA7F">
            <w:pPr>
              <w:jc w:val="center"/>
            </w:pPr>
            <w:r>
              <w:rPr>
                <w:rFonts w:ascii="宋体" w:hAnsi="宋体" w:eastAsia="宋体"/>
                <w:sz w:val="16"/>
              </w:rPr>
              <w:t>&gt;=99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06FD9">
            <w:pPr>
              <w:jc w:val="center"/>
            </w:pPr>
            <w:r>
              <w:rPr>
                <w:rFonts w:ascii="宋体" w:hAnsi="宋体" w:eastAsia="宋体"/>
                <w:sz w:val="16"/>
              </w:rPr>
              <w:t>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3B83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E837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A4DFB">
            <w:pPr>
              <w:jc w:val="center"/>
            </w:pPr>
            <w:r>
              <w:rPr>
                <w:rFonts w:ascii="宋体" w:hAnsi="宋体" w:eastAsia="宋体"/>
                <w:sz w:val="16"/>
              </w:rPr>
              <w:t>10</w:t>
            </w:r>
          </w:p>
        </w:tc>
      </w:tr>
      <w:tr w14:paraId="26871B2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2E9D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FCE8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CB6E7">
            <w:pPr>
              <w:jc w:val="center"/>
            </w:pPr>
            <w:r>
              <w:rPr>
                <w:rFonts w:ascii="宋体" w:hAnsi="宋体" w:eastAsia="宋体"/>
                <w:sz w:val="16"/>
              </w:rPr>
              <w:t>信息系统维护数量（个）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D9E6D">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83D1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C2D2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A7CF9">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99134">
            <w:pPr>
              <w:jc w:val="center"/>
            </w:pPr>
            <w:r>
              <w:rPr>
                <w:rFonts w:ascii="宋体" w:hAnsi="宋体" w:eastAsia="宋体"/>
                <w:sz w:val="16"/>
              </w:rPr>
              <w:t>15</w:t>
            </w:r>
          </w:p>
        </w:tc>
      </w:tr>
      <w:tr w14:paraId="488925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D3026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E576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9795A">
            <w:pPr>
              <w:jc w:val="center"/>
            </w:pPr>
            <w:r>
              <w:rPr>
                <w:rFonts w:ascii="宋体" w:hAnsi="宋体" w:eastAsia="宋体"/>
                <w:sz w:val="16"/>
              </w:rPr>
              <w:t>电子政务外网及协同办公系统接入单位数量（个）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A3082B">
            <w:pPr>
              <w:jc w:val="center"/>
            </w:pPr>
            <w:r>
              <w:rPr>
                <w:rFonts w:ascii="宋体" w:hAnsi="宋体" w:eastAsia="宋体"/>
                <w:sz w:val="16"/>
              </w:rPr>
              <w:t>&gt;=56个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979D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65FB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304A9">
            <w:pPr>
              <w:jc w:val="center"/>
            </w:pPr>
            <w:r>
              <w:rPr>
                <w:rFonts w:ascii="宋体" w:hAnsi="宋体" w:eastAsia="宋体"/>
                <w:sz w:val="16"/>
              </w:rPr>
              <w:t>=56个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501D8">
            <w:pPr>
              <w:jc w:val="center"/>
            </w:pPr>
            <w:r>
              <w:rPr>
                <w:rFonts w:ascii="宋体" w:hAnsi="宋体" w:eastAsia="宋体"/>
                <w:sz w:val="16"/>
              </w:rPr>
              <w:t>15</w:t>
            </w:r>
          </w:p>
        </w:tc>
      </w:tr>
      <w:tr w14:paraId="1EE585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7D4B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0B271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E555F">
            <w:pPr>
              <w:jc w:val="center"/>
            </w:pPr>
            <w:r>
              <w:rPr>
                <w:rFonts w:ascii="宋体" w:hAnsi="宋体" w:eastAsia="宋体"/>
                <w:sz w:val="16"/>
              </w:rPr>
              <w:t>信息系统评估检测数量（次）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18410">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433B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6286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9B16A">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9B30B">
            <w:pPr>
              <w:jc w:val="center"/>
            </w:pPr>
            <w:r>
              <w:rPr>
                <w:rFonts w:ascii="宋体" w:hAnsi="宋体" w:eastAsia="宋体"/>
                <w:sz w:val="16"/>
              </w:rPr>
              <w:t>10</w:t>
            </w:r>
          </w:p>
        </w:tc>
      </w:tr>
      <w:tr w14:paraId="1B5FB12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EDD5C">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64A96">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1BF87">
            <w:pPr>
              <w:jc w:val="center"/>
            </w:pPr>
            <w:r>
              <w:rPr>
                <w:rFonts w:ascii="宋体" w:hAnsi="宋体" w:eastAsia="宋体"/>
                <w:sz w:val="16"/>
              </w:rPr>
              <w:t>电子政务、政府网站、政务公开工作的推动，提高政府办公效率（%）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D0BBF">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5B03D">
            <w:pPr>
              <w:jc w:val="center"/>
            </w:pPr>
            <w:r>
              <w:rPr>
                <w:rFonts w:ascii="宋体" w:hAnsi="宋体" w:eastAsia="宋体"/>
                <w:sz w:val="16"/>
              </w:rPr>
              <w:t>三定方案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FCE9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593E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541EE">
            <w:pPr>
              <w:jc w:val="center"/>
            </w:pPr>
            <w:r>
              <w:rPr>
                <w:rFonts w:ascii="宋体" w:hAnsi="宋体" w:eastAsia="宋体"/>
                <w:sz w:val="16"/>
              </w:rPr>
              <w:t>10</w:t>
            </w:r>
          </w:p>
        </w:tc>
      </w:tr>
    </w:tbl>
    <w:p w14:paraId="5FF762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8D43489">
        <w:tblPrEx>
          <w:tblCellMar>
            <w:top w:w="0" w:type="dxa"/>
            <w:left w:w="108" w:type="dxa"/>
            <w:bottom w:w="0" w:type="dxa"/>
            <w:right w:w="108" w:type="dxa"/>
          </w:tblCellMar>
        </w:tblPrEx>
        <w:tc>
          <w:tcPr>
            <w:tcW w:w="8848" w:type="dxa"/>
            <w:gridSpan w:val="14"/>
            <w:vAlign w:val="center"/>
          </w:tcPr>
          <w:p w14:paraId="6356128A">
            <w:pPr>
              <w:jc w:val="center"/>
            </w:pPr>
            <w:r>
              <w:rPr>
                <w:rFonts w:ascii="宋体" w:hAnsi="宋体" w:eastAsia="宋体"/>
                <w:sz w:val="24"/>
              </w:rPr>
              <w:t>项目支出绩效自评表</w:t>
            </w:r>
          </w:p>
        </w:tc>
      </w:tr>
      <w:tr w14:paraId="2A8B983D">
        <w:tblPrEx>
          <w:tblCellMar>
            <w:top w:w="0" w:type="dxa"/>
            <w:left w:w="108" w:type="dxa"/>
            <w:bottom w:w="0" w:type="dxa"/>
            <w:right w:w="108" w:type="dxa"/>
          </w:tblCellMar>
        </w:tblPrEx>
        <w:tc>
          <w:tcPr>
            <w:tcW w:w="8848" w:type="dxa"/>
            <w:gridSpan w:val="14"/>
            <w:vAlign w:val="center"/>
          </w:tcPr>
          <w:p w14:paraId="2D9E54F0">
            <w:pPr>
              <w:jc w:val="center"/>
            </w:pPr>
            <w:r>
              <w:rPr>
                <w:rFonts w:ascii="宋体" w:hAnsi="宋体" w:eastAsia="宋体"/>
                <w:sz w:val="24"/>
              </w:rPr>
              <w:t>(2024年度)</w:t>
            </w:r>
          </w:p>
        </w:tc>
      </w:tr>
      <w:tr w14:paraId="1769B5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D1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D9F6C9">
            <w:pPr>
              <w:jc w:val="center"/>
            </w:pPr>
            <w:r>
              <w:rPr>
                <w:rFonts w:ascii="宋体" w:hAnsi="宋体" w:eastAsia="宋体"/>
                <w:sz w:val="16"/>
              </w:rPr>
              <w:t>克州人民政府门户网站运行维护费项目</w:t>
            </w:r>
          </w:p>
        </w:tc>
      </w:tr>
      <w:tr w14:paraId="4056F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78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F253B">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93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E4C90">
            <w:pPr>
              <w:jc w:val="center"/>
            </w:pPr>
            <w:r>
              <w:rPr>
                <w:rFonts w:ascii="宋体" w:hAnsi="宋体" w:eastAsia="宋体"/>
                <w:sz w:val="16"/>
              </w:rPr>
              <w:t>克孜勒苏柯尔克孜自治州电子政务服务中心</w:t>
            </w:r>
          </w:p>
        </w:tc>
      </w:tr>
      <w:tr w14:paraId="3FC36A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55F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E39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EAC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79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4B5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130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69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4A43">
            <w:pPr>
              <w:jc w:val="center"/>
            </w:pPr>
            <w:r>
              <w:rPr>
                <w:rFonts w:ascii="宋体" w:hAnsi="宋体" w:eastAsia="宋体"/>
                <w:sz w:val="16"/>
              </w:rPr>
              <w:t>得分</w:t>
            </w:r>
          </w:p>
        </w:tc>
      </w:tr>
      <w:tr w14:paraId="580B2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C0B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1A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217A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29378">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9631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54C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66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9C20">
            <w:pPr>
              <w:jc w:val="center"/>
            </w:pPr>
            <w:r>
              <w:rPr>
                <w:rFonts w:ascii="宋体" w:hAnsi="宋体" w:eastAsia="宋体"/>
                <w:sz w:val="16"/>
              </w:rPr>
              <w:t>10.00分</w:t>
            </w:r>
          </w:p>
        </w:tc>
      </w:tr>
      <w:tr w14:paraId="4A294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05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15E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33EE">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516A8">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A7C21">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26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5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F0C4">
            <w:pPr>
              <w:jc w:val="center"/>
            </w:pPr>
            <w:r>
              <w:rPr>
                <w:rFonts w:ascii="宋体" w:hAnsi="宋体" w:eastAsia="宋体"/>
                <w:sz w:val="16"/>
              </w:rPr>
              <w:t>—</w:t>
            </w:r>
          </w:p>
        </w:tc>
      </w:tr>
      <w:tr w14:paraId="1F0E0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75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C8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7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F2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E78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2B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B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041D">
            <w:pPr>
              <w:jc w:val="center"/>
            </w:pPr>
            <w:r>
              <w:rPr>
                <w:rFonts w:ascii="宋体" w:hAnsi="宋体" w:eastAsia="宋体"/>
                <w:sz w:val="16"/>
              </w:rPr>
              <w:t>—</w:t>
            </w:r>
          </w:p>
        </w:tc>
      </w:tr>
      <w:tr w14:paraId="79B831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387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D7D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884FE">
            <w:pPr>
              <w:jc w:val="center"/>
            </w:pPr>
            <w:r>
              <w:rPr>
                <w:rFonts w:ascii="宋体" w:hAnsi="宋体" w:eastAsia="宋体"/>
                <w:sz w:val="16"/>
              </w:rPr>
              <w:t>实际完成情况</w:t>
            </w:r>
          </w:p>
        </w:tc>
      </w:tr>
      <w:tr w14:paraId="4A762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928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64487">
            <w:pPr>
              <w:jc w:val="both"/>
            </w:pPr>
            <w:r>
              <w:rPr>
                <w:rFonts w:ascii="宋体" w:hAnsi="宋体" w:eastAsia="宋体"/>
                <w:sz w:val="16"/>
              </w:rPr>
              <w:t>该项目总投资18万元，其中：财政资金18万元，其他资金0万元，主要用该项目资金用于州本级网站日常运维和州县市门户网站监测服务。通过该项目的实施，提高政府网站优质服务排名，为社会公众展现一个方便、内容安全的政府网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F519C">
            <w:pPr>
              <w:jc w:val="both"/>
            </w:pPr>
            <w:r>
              <w:rPr>
                <w:rFonts w:hint="eastAsia" w:ascii="宋体" w:hAnsi="宋体"/>
                <w:sz w:val="16"/>
                <w:lang w:eastAsia="zh-CN"/>
              </w:rPr>
              <w:t>截至2024</w:t>
            </w:r>
            <w:r>
              <w:rPr>
                <w:rFonts w:ascii="宋体" w:hAnsi="宋体" w:eastAsia="宋体"/>
                <w:sz w:val="16"/>
              </w:rPr>
              <w:t>年12月31日，该项目资金全部执行完毕，克州政府门户网站数量5个、完成一体化人工检测4次，维护栏目122个，政府网站1个，通过该项目实施能够有效地提高政府网站优质服务排名，为社会大众展现一个方便、内容安全的政府网站。</w:t>
            </w:r>
          </w:p>
        </w:tc>
      </w:tr>
      <w:tr w14:paraId="54243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33A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CE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5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FE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AB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1F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55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56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73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2B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C4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37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832E">
            <w:pPr>
              <w:jc w:val="center"/>
            </w:pPr>
            <w:r>
              <w:rPr>
                <w:rFonts w:ascii="宋体" w:hAnsi="宋体" w:eastAsia="宋体"/>
                <w:sz w:val="16"/>
              </w:rPr>
              <w:t>偏差原因分析及改进措施</w:t>
            </w:r>
          </w:p>
        </w:tc>
      </w:tr>
      <w:tr w14:paraId="436EA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BFB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6EF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3F1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CE94">
            <w:pPr>
              <w:jc w:val="center"/>
            </w:pPr>
            <w:r>
              <w:rPr>
                <w:rFonts w:ascii="宋体" w:hAnsi="宋体" w:eastAsia="宋体"/>
                <w:sz w:val="16"/>
              </w:rPr>
              <w:t>涉及政府网站个数（个）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D75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F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A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1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8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9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AD4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BD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7A8EA">
            <w:pPr>
              <w:jc w:val="center"/>
            </w:pPr>
          </w:p>
        </w:tc>
      </w:tr>
      <w:tr w14:paraId="11F58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A0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B4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95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7601">
            <w:pPr>
              <w:jc w:val="center"/>
            </w:pPr>
            <w:r>
              <w:rPr>
                <w:rFonts w:ascii="宋体" w:hAnsi="宋体" w:eastAsia="宋体"/>
                <w:sz w:val="16"/>
              </w:rPr>
              <w:t>完成自动监测次数（次）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E608">
            <w:pPr>
              <w:jc w:val="center"/>
            </w:pPr>
            <w:r>
              <w:rPr>
                <w:rFonts w:ascii="宋体" w:hAnsi="宋体" w:eastAsia="宋体"/>
                <w:sz w:val="16"/>
              </w:rPr>
              <w:t>&lt;=4次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3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9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2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3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A9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1B7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CB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E8E6">
            <w:pPr>
              <w:jc w:val="center"/>
            </w:pPr>
          </w:p>
        </w:tc>
      </w:tr>
      <w:tr w14:paraId="32BA8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3F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86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0A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BA58">
            <w:pPr>
              <w:jc w:val="center"/>
            </w:pPr>
            <w:r>
              <w:rPr>
                <w:rFonts w:ascii="宋体" w:hAnsi="宋体" w:eastAsia="宋体"/>
                <w:sz w:val="16"/>
              </w:rPr>
              <w:t>维护栏目数（个）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E500">
            <w:pPr>
              <w:jc w:val="center"/>
            </w:pPr>
            <w:r>
              <w:rPr>
                <w:rFonts w:ascii="宋体" w:hAnsi="宋体" w:eastAsia="宋体"/>
                <w:sz w:val="16"/>
              </w:rPr>
              <w:t>&lt;=122个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4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0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41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3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8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97EF">
            <w:pPr>
              <w:jc w:val="center"/>
            </w:pPr>
            <w:r>
              <w:rPr>
                <w:rFonts w:ascii="宋体" w:hAnsi="宋体" w:eastAsia="宋体"/>
                <w:sz w:val="16"/>
              </w:rPr>
              <w:t>=122个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C9D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18D53">
            <w:pPr>
              <w:jc w:val="center"/>
            </w:pPr>
          </w:p>
        </w:tc>
      </w:tr>
      <w:tr w14:paraId="6834F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C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3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3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98B3">
            <w:pPr>
              <w:jc w:val="center"/>
            </w:pPr>
            <w:r>
              <w:rPr>
                <w:rFonts w:ascii="宋体" w:hAnsi="宋体" w:eastAsia="宋体"/>
                <w:sz w:val="16"/>
              </w:rPr>
              <w:t>维护网站（个）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85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E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0C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CD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8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76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D6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EC5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5AA61">
            <w:pPr>
              <w:jc w:val="center"/>
            </w:pPr>
          </w:p>
        </w:tc>
      </w:tr>
      <w:tr w14:paraId="68FDE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16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3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EBA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44F0">
            <w:pPr>
              <w:jc w:val="center"/>
            </w:pPr>
            <w:r>
              <w:rPr>
                <w:rFonts w:ascii="宋体" w:hAnsi="宋体" w:eastAsia="宋体"/>
                <w:sz w:val="16"/>
              </w:rPr>
              <w:t>监测检测工作完成率（%）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2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B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4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D2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8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6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C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47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CA95">
            <w:pPr>
              <w:jc w:val="center"/>
            </w:pPr>
          </w:p>
        </w:tc>
      </w:tr>
      <w:tr w14:paraId="5DA64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6C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F9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62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DD8F">
            <w:pPr>
              <w:jc w:val="center"/>
            </w:pPr>
            <w:r>
              <w:rPr>
                <w:rFonts w:ascii="宋体" w:hAnsi="宋体" w:eastAsia="宋体"/>
                <w:sz w:val="16"/>
              </w:rPr>
              <w:t>网站故障率（%）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80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9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F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5C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A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4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66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FC5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B4E4">
            <w:pPr>
              <w:jc w:val="center"/>
            </w:pPr>
          </w:p>
        </w:tc>
      </w:tr>
      <w:tr w14:paraId="54771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99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C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54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07FB">
            <w:pPr>
              <w:jc w:val="center"/>
            </w:pPr>
            <w:r>
              <w:rPr>
                <w:rFonts w:ascii="宋体" w:hAnsi="宋体" w:eastAsia="宋体"/>
                <w:sz w:val="16"/>
              </w:rPr>
              <w:t>发现问题处理时限（小时）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EF67">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6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90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65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3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2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5DC9">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19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A9D9">
            <w:pPr>
              <w:jc w:val="center"/>
            </w:pPr>
          </w:p>
        </w:tc>
      </w:tr>
      <w:tr w14:paraId="426EA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DE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F68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449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6106">
            <w:pPr>
              <w:jc w:val="center"/>
            </w:pPr>
            <w:r>
              <w:rPr>
                <w:rFonts w:ascii="宋体" w:hAnsi="宋体" w:eastAsia="宋体"/>
                <w:sz w:val="16"/>
              </w:rPr>
              <w:t>州县市门户网站网管费（万元）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CB3">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AB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4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F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9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81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EEC2">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71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7F255">
            <w:pPr>
              <w:jc w:val="center"/>
            </w:pPr>
          </w:p>
        </w:tc>
      </w:tr>
      <w:tr w14:paraId="2BDDB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4D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F2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2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4EC9">
            <w:pPr>
              <w:jc w:val="center"/>
            </w:pPr>
            <w:r>
              <w:rPr>
                <w:rFonts w:ascii="宋体" w:hAnsi="宋体" w:eastAsia="宋体"/>
                <w:sz w:val="16"/>
              </w:rPr>
              <w:t>网站运行维护费（万元）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E7D1">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A1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F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7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B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3E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2BE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B3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897D4">
            <w:pPr>
              <w:jc w:val="center"/>
            </w:pPr>
          </w:p>
        </w:tc>
      </w:tr>
      <w:tr w14:paraId="47F8C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935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2EE1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D81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CF16">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77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7B6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3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7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48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2E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CBD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71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5C3C">
            <w:pPr>
              <w:jc w:val="center"/>
            </w:pPr>
          </w:p>
        </w:tc>
      </w:tr>
      <w:tr w14:paraId="0415D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CF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53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8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42B5">
            <w:pPr>
              <w:jc w:val="center"/>
            </w:pPr>
            <w:r>
              <w:rPr>
                <w:rFonts w:ascii="宋体" w:hAnsi="宋体" w:eastAsia="宋体"/>
                <w:sz w:val="16"/>
              </w:rPr>
              <w:t>保障政府网站集约化平台承载业务安全运行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11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84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F7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B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41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B5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B57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BA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96AA">
            <w:pPr>
              <w:jc w:val="center"/>
            </w:pPr>
          </w:p>
        </w:tc>
      </w:tr>
      <w:tr w14:paraId="42796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6F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B7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D0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6C2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0A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E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0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0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21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0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99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39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B5859">
            <w:pPr>
              <w:jc w:val="center"/>
            </w:pPr>
          </w:p>
        </w:tc>
      </w:tr>
      <w:tr w14:paraId="1FAA4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CC8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55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04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397B01">
            <w:pPr>
              <w:jc w:val="center"/>
            </w:pPr>
            <w:r>
              <w:rPr>
                <w:rFonts w:ascii="宋体" w:hAnsi="宋体" w:eastAsia="宋体"/>
                <w:sz w:val="16"/>
              </w:rPr>
              <w:t>100分</w:t>
            </w:r>
          </w:p>
        </w:tc>
      </w:tr>
    </w:tbl>
    <w:p w14:paraId="17DCFA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84700C5">
        <w:tblPrEx>
          <w:tblCellMar>
            <w:top w:w="0" w:type="dxa"/>
            <w:left w:w="108" w:type="dxa"/>
            <w:bottom w:w="0" w:type="dxa"/>
            <w:right w:w="108" w:type="dxa"/>
          </w:tblCellMar>
        </w:tblPrEx>
        <w:tc>
          <w:tcPr>
            <w:tcW w:w="8848" w:type="dxa"/>
            <w:gridSpan w:val="14"/>
            <w:vAlign w:val="center"/>
          </w:tcPr>
          <w:p w14:paraId="6332A427">
            <w:pPr>
              <w:jc w:val="center"/>
            </w:pPr>
            <w:r>
              <w:rPr>
                <w:rFonts w:ascii="宋体" w:hAnsi="宋体" w:eastAsia="宋体"/>
                <w:sz w:val="24"/>
              </w:rPr>
              <w:t>项目支出绩效自评表</w:t>
            </w:r>
          </w:p>
        </w:tc>
      </w:tr>
      <w:tr w14:paraId="0801BEA3">
        <w:tblPrEx>
          <w:tblCellMar>
            <w:top w:w="0" w:type="dxa"/>
            <w:left w:w="108" w:type="dxa"/>
            <w:bottom w:w="0" w:type="dxa"/>
            <w:right w:w="108" w:type="dxa"/>
          </w:tblCellMar>
        </w:tblPrEx>
        <w:tc>
          <w:tcPr>
            <w:tcW w:w="8848" w:type="dxa"/>
            <w:gridSpan w:val="14"/>
            <w:vAlign w:val="center"/>
          </w:tcPr>
          <w:p w14:paraId="2A51CEAD">
            <w:pPr>
              <w:jc w:val="center"/>
            </w:pPr>
            <w:r>
              <w:rPr>
                <w:rFonts w:ascii="宋体" w:hAnsi="宋体" w:eastAsia="宋体"/>
                <w:sz w:val="24"/>
              </w:rPr>
              <w:t>(2024年度)</w:t>
            </w:r>
          </w:p>
        </w:tc>
      </w:tr>
      <w:tr w14:paraId="6FF11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E7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32DBE6">
            <w:pPr>
              <w:jc w:val="center"/>
            </w:pPr>
            <w:r>
              <w:rPr>
                <w:rFonts w:ascii="宋体" w:hAnsi="宋体" w:eastAsia="宋体"/>
                <w:sz w:val="16"/>
              </w:rPr>
              <w:t>克州电子政务内外网运行维护费项目</w:t>
            </w:r>
          </w:p>
        </w:tc>
      </w:tr>
      <w:tr w14:paraId="11CE3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7A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885E8">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6A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FE4921">
            <w:pPr>
              <w:jc w:val="center"/>
            </w:pPr>
            <w:r>
              <w:rPr>
                <w:rFonts w:ascii="宋体" w:hAnsi="宋体" w:eastAsia="宋体"/>
                <w:sz w:val="16"/>
              </w:rPr>
              <w:t>克孜勒苏柯尔克孜自治州电子政务服务中心</w:t>
            </w:r>
          </w:p>
        </w:tc>
      </w:tr>
      <w:tr w14:paraId="2D8F35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A98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45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CF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61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0DF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28C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B39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C4DA">
            <w:pPr>
              <w:jc w:val="center"/>
            </w:pPr>
            <w:r>
              <w:rPr>
                <w:rFonts w:ascii="宋体" w:hAnsi="宋体" w:eastAsia="宋体"/>
                <w:sz w:val="16"/>
              </w:rPr>
              <w:t>得分</w:t>
            </w:r>
          </w:p>
        </w:tc>
      </w:tr>
      <w:tr w14:paraId="1D242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079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36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ADD72">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16F9">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26F3">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9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9169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9EB4">
            <w:pPr>
              <w:jc w:val="center"/>
            </w:pPr>
            <w:r>
              <w:rPr>
                <w:rFonts w:ascii="宋体" w:hAnsi="宋体" w:eastAsia="宋体"/>
                <w:sz w:val="16"/>
              </w:rPr>
              <w:t>10.00分</w:t>
            </w:r>
          </w:p>
        </w:tc>
      </w:tr>
      <w:tr w14:paraId="4C6DE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A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5C3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98DB">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3BE7">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B55F">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AB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4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D5C4">
            <w:pPr>
              <w:jc w:val="center"/>
            </w:pPr>
            <w:r>
              <w:rPr>
                <w:rFonts w:ascii="宋体" w:hAnsi="宋体" w:eastAsia="宋体"/>
                <w:sz w:val="16"/>
              </w:rPr>
              <w:t>—</w:t>
            </w:r>
          </w:p>
        </w:tc>
      </w:tr>
      <w:tr w14:paraId="24E3E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50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F5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B94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FC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9D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CE9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56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DFB5">
            <w:pPr>
              <w:jc w:val="center"/>
            </w:pPr>
            <w:r>
              <w:rPr>
                <w:rFonts w:ascii="宋体" w:hAnsi="宋体" w:eastAsia="宋体"/>
                <w:sz w:val="16"/>
              </w:rPr>
              <w:t>—</w:t>
            </w:r>
          </w:p>
        </w:tc>
      </w:tr>
      <w:tr w14:paraId="6DABF3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949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86E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375E7">
            <w:pPr>
              <w:jc w:val="center"/>
            </w:pPr>
            <w:r>
              <w:rPr>
                <w:rFonts w:ascii="宋体" w:hAnsi="宋体" w:eastAsia="宋体"/>
                <w:sz w:val="16"/>
              </w:rPr>
              <w:t>实际完成情况</w:t>
            </w:r>
          </w:p>
        </w:tc>
      </w:tr>
      <w:tr w14:paraId="39153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8D9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A55B9">
            <w:pPr>
              <w:jc w:val="both"/>
            </w:pPr>
            <w:r>
              <w:rPr>
                <w:rFonts w:ascii="宋体" w:hAnsi="宋体" w:eastAsia="宋体"/>
                <w:sz w:val="16"/>
              </w:rPr>
              <w:t>该项目总投资13万元，其中：财政资金13万元，其他资金13万元，主要</w:t>
            </w:r>
            <w:r>
              <w:rPr>
                <w:rFonts w:hint="eastAsia" w:ascii="宋体" w:hAnsi="宋体"/>
                <w:sz w:val="16"/>
                <w:lang w:eastAsia="zh-CN"/>
              </w:rPr>
              <w:t>用于</w:t>
            </w:r>
            <w:r>
              <w:rPr>
                <w:rFonts w:ascii="宋体" w:hAnsi="宋体" w:eastAsia="宋体"/>
                <w:sz w:val="16"/>
              </w:rPr>
              <w:t>克州电子政务内、外网专项运行维护，有利于进一步强化电子政务内外网运维工作，进一步利用信息化手段提升各单位工作</w:t>
            </w:r>
            <w:r>
              <w:rPr>
                <w:rFonts w:hint="eastAsia" w:ascii="宋体" w:hAnsi="宋体"/>
                <w:sz w:val="16"/>
                <w:lang w:eastAsia="zh-CN"/>
              </w:rPr>
              <w:t>效率</w:t>
            </w:r>
            <w:r>
              <w:rPr>
                <w:rFonts w:ascii="宋体" w:hAnsi="宋体" w:eastAsia="宋体"/>
                <w:sz w:val="16"/>
              </w:rPr>
              <w:t>，通过该项目实施达到为各单位提供必要的网络支撑和政府协同办公平台运维，能够有效推进各单位办公网上办公的效果。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120E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项目已执行完毕。完成：35台本年托管设备托管事项、涉及部门50个、完成服务器杀毒12次、维护移动终端80个，通过该项目实施为各单位提供必要的网络支撑和政府协同办公平台运维，能够有效推进各单位办公网上办公的效果。</w:t>
            </w:r>
          </w:p>
        </w:tc>
      </w:tr>
      <w:tr w14:paraId="2EEFAE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F4B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BD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8D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3A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48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94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00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5D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F0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27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AD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D2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1CA6">
            <w:pPr>
              <w:jc w:val="center"/>
            </w:pPr>
            <w:r>
              <w:rPr>
                <w:rFonts w:ascii="宋体" w:hAnsi="宋体" w:eastAsia="宋体"/>
                <w:sz w:val="16"/>
              </w:rPr>
              <w:t>偏差原因分析及改进措施</w:t>
            </w:r>
          </w:p>
        </w:tc>
      </w:tr>
      <w:tr w14:paraId="5098E3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348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3C0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F7A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6156">
            <w:pPr>
              <w:jc w:val="center"/>
            </w:pPr>
            <w:r>
              <w:rPr>
                <w:rFonts w:ascii="宋体" w:hAnsi="宋体" w:eastAsia="宋体"/>
                <w:sz w:val="16"/>
              </w:rPr>
              <w:t>托管设备数量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6674">
            <w:pPr>
              <w:jc w:val="center"/>
            </w:pPr>
            <w:r>
              <w:rPr>
                <w:rFonts w:ascii="宋体" w:hAnsi="宋体" w:eastAsia="宋体"/>
                <w:sz w:val="16"/>
              </w:rPr>
              <w:t>&gt;=35台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A4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F2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5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0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9CCF">
            <w:pPr>
              <w:jc w:val="center"/>
            </w:pPr>
            <w:r>
              <w:rPr>
                <w:rFonts w:ascii="宋体" w:hAnsi="宋体" w:eastAsia="宋体"/>
                <w:sz w:val="16"/>
              </w:rPr>
              <w:t>=35台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D5B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9882">
            <w:pPr>
              <w:jc w:val="center"/>
            </w:pPr>
          </w:p>
        </w:tc>
      </w:tr>
      <w:tr w14:paraId="511B4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E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2D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F6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3379">
            <w:pPr>
              <w:jc w:val="center"/>
            </w:pPr>
            <w:r>
              <w:rPr>
                <w:rFonts w:ascii="宋体" w:hAnsi="宋体" w:eastAsia="宋体"/>
                <w:sz w:val="16"/>
              </w:rPr>
              <w:t>涉及部门数量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9C20">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8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0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17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8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BA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5BB8">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CA5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55637">
            <w:pPr>
              <w:jc w:val="center"/>
            </w:pPr>
          </w:p>
        </w:tc>
      </w:tr>
      <w:tr w14:paraId="2F690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7A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F1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B5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50F2">
            <w:pPr>
              <w:jc w:val="center"/>
            </w:pPr>
            <w:r>
              <w:rPr>
                <w:rFonts w:ascii="宋体" w:hAnsi="宋体" w:eastAsia="宋体"/>
                <w:sz w:val="16"/>
              </w:rPr>
              <w:t>服务器升级杀毒次数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232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C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F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F6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A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4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4A5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D94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F5D1">
            <w:pPr>
              <w:jc w:val="center"/>
            </w:pPr>
          </w:p>
        </w:tc>
      </w:tr>
      <w:tr w14:paraId="5C2CC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A4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F5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B4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DCC5">
            <w:pPr>
              <w:jc w:val="center"/>
            </w:pPr>
            <w:r>
              <w:rPr>
                <w:rFonts w:ascii="宋体" w:hAnsi="宋体" w:eastAsia="宋体"/>
                <w:sz w:val="16"/>
              </w:rPr>
              <w:t>维护移动终端数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3EC7">
            <w:pPr>
              <w:jc w:val="center"/>
            </w:pPr>
            <w:r>
              <w:rPr>
                <w:rFonts w:ascii="宋体" w:hAnsi="宋体" w:eastAsia="宋体"/>
                <w:sz w:val="16"/>
              </w:rPr>
              <w:t>&gt;=80个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D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8D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00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9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56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3A43">
            <w:pPr>
              <w:jc w:val="center"/>
            </w:pPr>
            <w:r>
              <w:rPr>
                <w:rFonts w:ascii="宋体" w:hAnsi="宋体" w:eastAsia="宋体"/>
                <w:sz w:val="16"/>
              </w:rPr>
              <w:t>=80个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F95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7450">
            <w:pPr>
              <w:jc w:val="center"/>
            </w:pPr>
          </w:p>
        </w:tc>
      </w:tr>
      <w:tr w14:paraId="7BD03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8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FB8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A06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963F">
            <w:pPr>
              <w:jc w:val="center"/>
            </w:pPr>
            <w:r>
              <w:rPr>
                <w:rFonts w:ascii="宋体" w:hAnsi="宋体" w:eastAsia="宋体"/>
                <w:sz w:val="16"/>
              </w:rPr>
              <w:t>数据共享率（%）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0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6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1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7E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E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5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8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335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4C92">
            <w:pPr>
              <w:jc w:val="center"/>
            </w:pPr>
          </w:p>
        </w:tc>
      </w:tr>
      <w:tr w14:paraId="58BEE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B4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F6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79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D286">
            <w:pPr>
              <w:jc w:val="center"/>
            </w:pPr>
            <w:r>
              <w:rPr>
                <w:rFonts w:ascii="宋体" w:hAnsi="宋体" w:eastAsia="宋体"/>
                <w:sz w:val="16"/>
              </w:rPr>
              <w:t>办公平台安全运行率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F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7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F3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6F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B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9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8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EE7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F4CC">
            <w:pPr>
              <w:jc w:val="center"/>
            </w:pPr>
          </w:p>
        </w:tc>
      </w:tr>
      <w:tr w14:paraId="6CC7C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A9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3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91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1354">
            <w:pPr>
              <w:jc w:val="center"/>
            </w:pPr>
            <w:r>
              <w:rPr>
                <w:rFonts w:ascii="宋体" w:hAnsi="宋体" w:eastAsia="宋体"/>
                <w:sz w:val="16"/>
              </w:rPr>
              <w:t>网络安全运行率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8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5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97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51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7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C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E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157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0F5B">
            <w:pPr>
              <w:jc w:val="center"/>
            </w:pPr>
          </w:p>
        </w:tc>
      </w:tr>
      <w:tr w14:paraId="0256C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9A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00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AA1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F951">
            <w:pPr>
              <w:jc w:val="center"/>
            </w:pPr>
            <w:r>
              <w:rPr>
                <w:rFonts w:ascii="宋体" w:hAnsi="宋体" w:eastAsia="宋体"/>
                <w:sz w:val="16"/>
              </w:rPr>
              <w:t>维护费和机房电费缴纳及时率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8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4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5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37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F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B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7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488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2B830">
            <w:pPr>
              <w:jc w:val="center"/>
            </w:pPr>
          </w:p>
        </w:tc>
      </w:tr>
      <w:tr w14:paraId="5C3B9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0B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4E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A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BD4C">
            <w:pPr>
              <w:jc w:val="center"/>
            </w:pPr>
            <w:r>
              <w:rPr>
                <w:rFonts w:ascii="宋体" w:hAnsi="宋体" w:eastAsia="宋体"/>
                <w:sz w:val="16"/>
              </w:rPr>
              <w:t>设备故障修复处理时间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C88E">
            <w:pPr>
              <w:jc w:val="center"/>
            </w:pPr>
            <w:r>
              <w:rPr>
                <w:rFonts w:ascii="宋体" w:hAnsi="宋体" w:eastAsia="宋体"/>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C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F2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D1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2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F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C2F7">
            <w:pPr>
              <w:jc w:val="center"/>
            </w:pPr>
            <w:r>
              <w:rPr>
                <w:rFonts w:ascii="宋体" w:hAnsi="宋体" w:eastAsia="宋体"/>
                <w:sz w:val="16"/>
              </w:rPr>
              <w: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9A4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497E7">
            <w:pPr>
              <w:jc w:val="center"/>
            </w:pPr>
          </w:p>
        </w:tc>
      </w:tr>
      <w:tr w14:paraId="39277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F3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E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A5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DB41">
            <w:pPr>
              <w:jc w:val="center"/>
            </w:pPr>
            <w:r>
              <w:rPr>
                <w:rFonts w:ascii="宋体" w:hAnsi="宋体" w:eastAsia="宋体"/>
                <w:sz w:val="16"/>
              </w:rPr>
              <w:t>设备运行维护响应时间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72A3">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F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05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AC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C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5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B3EF">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9C1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73E0">
            <w:pPr>
              <w:jc w:val="center"/>
            </w:pPr>
          </w:p>
        </w:tc>
      </w:tr>
      <w:tr w14:paraId="21E02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681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0B0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065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D192">
            <w:pPr>
              <w:jc w:val="center"/>
            </w:pPr>
            <w:r>
              <w:rPr>
                <w:rFonts w:ascii="宋体" w:hAnsi="宋体" w:eastAsia="宋体"/>
                <w:sz w:val="16"/>
              </w:rPr>
              <w:t>政府网站托管费（电费）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EAA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23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BE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A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1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D4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011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80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010CF">
            <w:pPr>
              <w:jc w:val="center"/>
            </w:pPr>
          </w:p>
        </w:tc>
      </w:tr>
      <w:tr w14:paraId="6F764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F6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73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AE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21D9">
            <w:pPr>
              <w:jc w:val="center"/>
            </w:pPr>
            <w:r>
              <w:rPr>
                <w:rFonts w:ascii="宋体" w:hAnsi="宋体" w:eastAsia="宋体"/>
                <w:sz w:val="16"/>
              </w:rPr>
              <w:t>电子政务内外网运行维护费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5582">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32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FF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8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4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13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5AF4">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B8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BB9F1">
            <w:pPr>
              <w:jc w:val="center"/>
            </w:pPr>
          </w:p>
        </w:tc>
      </w:tr>
      <w:tr w14:paraId="3ECDF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B66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95A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C74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6AA7">
            <w:pPr>
              <w:jc w:val="center"/>
            </w:pPr>
            <w:r>
              <w:rPr>
                <w:rFonts w:ascii="宋体" w:hAnsi="宋体" w:eastAsia="宋体"/>
                <w:sz w:val="16"/>
              </w:rPr>
              <w:t>保障政府内、外网承载业务安全运行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413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150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0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2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BB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67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C5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F5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6755B">
            <w:pPr>
              <w:jc w:val="center"/>
            </w:pPr>
          </w:p>
        </w:tc>
      </w:tr>
      <w:tr w14:paraId="0E252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E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C2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C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7C06">
            <w:pPr>
              <w:jc w:val="center"/>
            </w:pPr>
            <w:r>
              <w:rPr>
                <w:rFonts w:ascii="宋体" w:hAnsi="宋体" w:eastAsia="宋体"/>
                <w:sz w:val="16"/>
              </w:rPr>
              <w:t>网络安全事件发生率（%）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94F0">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3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C3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48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1D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52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DB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41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9ADD">
            <w:pPr>
              <w:jc w:val="center"/>
            </w:pPr>
          </w:p>
        </w:tc>
      </w:tr>
      <w:tr w14:paraId="22D56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58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C0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96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EF60">
            <w:pPr>
              <w:jc w:val="center"/>
            </w:pPr>
            <w:r>
              <w:rPr>
                <w:rFonts w:ascii="宋体" w:hAnsi="宋体" w:eastAsia="宋体"/>
                <w:sz w:val="16"/>
              </w:rPr>
              <w:t>使用部门满意度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0F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8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35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8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41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B3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FB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5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32A65">
            <w:pPr>
              <w:jc w:val="center"/>
            </w:pPr>
          </w:p>
        </w:tc>
      </w:tr>
      <w:tr w14:paraId="1DB67F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35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D5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C0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083820">
            <w:pPr>
              <w:jc w:val="center"/>
            </w:pPr>
            <w:r>
              <w:rPr>
                <w:rFonts w:ascii="宋体" w:hAnsi="宋体" w:eastAsia="宋体"/>
                <w:sz w:val="16"/>
              </w:rPr>
              <w:t>100分</w:t>
            </w:r>
          </w:p>
        </w:tc>
      </w:tr>
    </w:tbl>
    <w:p w14:paraId="1C85015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129"/>
        <w:gridCol w:w="647"/>
        <w:gridCol w:w="632"/>
        <w:gridCol w:w="632"/>
        <w:gridCol w:w="632"/>
        <w:gridCol w:w="632"/>
        <w:gridCol w:w="632"/>
        <w:gridCol w:w="696"/>
        <w:gridCol w:w="632"/>
        <w:gridCol w:w="632"/>
        <w:gridCol w:w="632"/>
      </w:tblGrid>
      <w:tr w14:paraId="04AA0A75">
        <w:tblPrEx>
          <w:tblCellMar>
            <w:top w:w="0" w:type="dxa"/>
            <w:left w:w="108" w:type="dxa"/>
            <w:bottom w:w="0" w:type="dxa"/>
            <w:right w:w="108" w:type="dxa"/>
          </w:tblCellMar>
        </w:tblPrEx>
        <w:tc>
          <w:tcPr>
            <w:tcW w:w="9056" w:type="dxa"/>
            <w:gridSpan w:val="15"/>
            <w:vAlign w:val="center"/>
          </w:tcPr>
          <w:p w14:paraId="4192F65E">
            <w:pPr>
              <w:jc w:val="center"/>
            </w:pPr>
            <w:r>
              <w:rPr>
                <w:rFonts w:ascii="宋体" w:hAnsi="宋体" w:eastAsia="宋体"/>
                <w:sz w:val="24"/>
              </w:rPr>
              <w:t>项目支出绩效自评表</w:t>
            </w:r>
          </w:p>
        </w:tc>
      </w:tr>
      <w:tr w14:paraId="16473E54">
        <w:tblPrEx>
          <w:tblCellMar>
            <w:top w:w="0" w:type="dxa"/>
            <w:left w:w="108" w:type="dxa"/>
            <w:bottom w:w="0" w:type="dxa"/>
            <w:right w:w="108" w:type="dxa"/>
          </w:tblCellMar>
        </w:tblPrEx>
        <w:tc>
          <w:tcPr>
            <w:tcW w:w="9056" w:type="dxa"/>
            <w:gridSpan w:val="15"/>
            <w:vAlign w:val="center"/>
          </w:tcPr>
          <w:p w14:paraId="5C2F612E">
            <w:pPr>
              <w:jc w:val="center"/>
            </w:pPr>
            <w:r>
              <w:rPr>
                <w:rFonts w:ascii="宋体" w:hAnsi="宋体" w:eastAsia="宋体"/>
                <w:sz w:val="24"/>
              </w:rPr>
              <w:t>(2024年度)</w:t>
            </w:r>
          </w:p>
        </w:tc>
      </w:tr>
      <w:tr w14:paraId="39CF7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90D1">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2134AD2">
            <w:pPr>
              <w:jc w:val="center"/>
            </w:pPr>
            <w:r>
              <w:rPr>
                <w:rFonts w:ascii="宋体" w:hAnsi="宋体" w:eastAsia="宋体"/>
                <w:sz w:val="16"/>
              </w:rPr>
              <w:t>电子政务外网专项运行维护费项目</w:t>
            </w:r>
          </w:p>
        </w:tc>
      </w:tr>
      <w:tr w14:paraId="04508D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74AF">
            <w:pPr>
              <w:jc w:val="center"/>
            </w:pPr>
            <w:r>
              <w:rPr>
                <w:rFonts w:ascii="宋体" w:hAnsi="宋体" w:eastAsia="宋体"/>
                <w:sz w:val="16"/>
              </w:rPr>
              <w:t>主管部门</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0E83AB">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6398">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B5885">
            <w:pPr>
              <w:jc w:val="center"/>
            </w:pPr>
            <w:r>
              <w:rPr>
                <w:rFonts w:ascii="宋体" w:hAnsi="宋体" w:eastAsia="宋体"/>
                <w:sz w:val="16"/>
              </w:rPr>
              <w:t>克孜勒苏柯尔克孜自治州电子政务服务中心</w:t>
            </w:r>
          </w:p>
        </w:tc>
      </w:tr>
      <w:tr w14:paraId="4851C0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CA0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0E3B">
            <w:pPr>
              <w:jc w:val="center"/>
            </w:pP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CA1B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25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40FFB">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AA3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D5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A603">
            <w:pPr>
              <w:jc w:val="center"/>
            </w:pPr>
            <w:r>
              <w:rPr>
                <w:rFonts w:ascii="宋体" w:hAnsi="宋体" w:eastAsia="宋体"/>
                <w:sz w:val="16"/>
              </w:rPr>
              <w:t>得分</w:t>
            </w:r>
          </w:p>
        </w:tc>
      </w:tr>
      <w:tr w14:paraId="41332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60B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07CB">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C8E777">
            <w:pPr>
              <w:jc w:val="center"/>
            </w:pPr>
            <w:r>
              <w:rPr>
                <w:rFonts w:ascii="宋体" w:hAnsi="宋体" w:eastAsia="宋体"/>
                <w:sz w:val="16"/>
              </w:rPr>
              <w:t>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65AE">
            <w:pPr>
              <w:jc w:val="center"/>
            </w:pPr>
            <w:r>
              <w:rPr>
                <w:rFonts w:ascii="宋体" w:hAnsi="宋体" w:eastAsia="宋体"/>
                <w:sz w:val="16"/>
              </w:rPr>
              <w:t>32.88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0E684">
            <w:pPr>
              <w:jc w:val="center"/>
            </w:pPr>
            <w:r>
              <w:rPr>
                <w:rFonts w:ascii="宋体" w:hAnsi="宋体" w:eastAsia="宋体"/>
                <w:sz w:val="16"/>
              </w:rPr>
              <w:t>32.88</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FD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19A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4B47">
            <w:pPr>
              <w:jc w:val="center"/>
            </w:pPr>
            <w:r>
              <w:rPr>
                <w:rFonts w:ascii="宋体" w:hAnsi="宋体" w:eastAsia="宋体"/>
                <w:sz w:val="16"/>
              </w:rPr>
              <w:t>10.00分</w:t>
            </w:r>
          </w:p>
        </w:tc>
      </w:tr>
      <w:tr w14:paraId="52D14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5D9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A47E">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C27441">
            <w:pPr>
              <w:jc w:val="center"/>
            </w:pPr>
            <w:r>
              <w:rPr>
                <w:rFonts w:ascii="宋体" w:hAnsi="宋体" w:eastAsia="宋体"/>
                <w:sz w:val="16"/>
              </w:rPr>
              <w:t>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916C9">
            <w:pPr>
              <w:jc w:val="center"/>
            </w:pPr>
            <w:r>
              <w:rPr>
                <w:rFonts w:ascii="宋体" w:hAnsi="宋体" w:eastAsia="宋体"/>
                <w:sz w:val="16"/>
              </w:rPr>
              <w:t>32.88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52333">
            <w:pPr>
              <w:jc w:val="center"/>
            </w:pPr>
            <w:r>
              <w:rPr>
                <w:rFonts w:ascii="宋体" w:hAnsi="宋体" w:eastAsia="宋体"/>
                <w:sz w:val="16"/>
              </w:rPr>
              <w:t>32.88</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48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6B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870B">
            <w:pPr>
              <w:jc w:val="center"/>
            </w:pPr>
            <w:r>
              <w:rPr>
                <w:rFonts w:ascii="宋体" w:hAnsi="宋体" w:eastAsia="宋体"/>
                <w:sz w:val="16"/>
              </w:rPr>
              <w:t>—</w:t>
            </w:r>
          </w:p>
        </w:tc>
      </w:tr>
      <w:tr w14:paraId="6AE0D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03F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79BA">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D2E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54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7FB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AF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B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4977">
            <w:pPr>
              <w:jc w:val="center"/>
            </w:pPr>
            <w:r>
              <w:rPr>
                <w:rFonts w:ascii="宋体" w:hAnsi="宋体" w:eastAsia="宋体"/>
                <w:sz w:val="16"/>
              </w:rPr>
              <w:t>—</w:t>
            </w:r>
          </w:p>
        </w:tc>
      </w:tr>
      <w:tr w14:paraId="7AF217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27C39">
            <w:pPr>
              <w:jc w:val="center"/>
            </w:pPr>
            <w:r>
              <w:rPr>
                <w:rFonts w:ascii="宋体" w:hAnsi="宋体" w:eastAsia="宋体"/>
                <w:sz w:val="16"/>
              </w:rPr>
              <w:t>三、目标完成情况</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3F93A2">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3255F">
            <w:pPr>
              <w:jc w:val="center"/>
            </w:pPr>
            <w:r>
              <w:rPr>
                <w:rFonts w:ascii="宋体" w:hAnsi="宋体" w:eastAsia="宋体"/>
                <w:sz w:val="16"/>
              </w:rPr>
              <w:t>实际完成情况</w:t>
            </w:r>
          </w:p>
        </w:tc>
      </w:tr>
      <w:tr w14:paraId="3C850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B29D0"/>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506714">
            <w:pPr>
              <w:jc w:val="both"/>
            </w:pPr>
            <w:r>
              <w:rPr>
                <w:rFonts w:ascii="宋体" w:hAnsi="宋体" w:eastAsia="宋体"/>
                <w:sz w:val="16"/>
              </w:rPr>
              <w:t>该项目总投资32.884万元，其中：财政资金32.88万元，其他资金0万元，主要</w:t>
            </w:r>
            <w:r>
              <w:rPr>
                <w:rFonts w:hint="eastAsia" w:ascii="宋体" w:hAnsi="宋体"/>
                <w:sz w:val="16"/>
                <w:lang w:eastAsia="zh-CN"/>
              </w:rPr>
              <w:t>用于</w:t>
            </w:r>
            <w:r>
              <w:rPr>
                <w:rFonts w:ascii="宋体" w:hAnsi="宋体" w:eastAsia="宋体"/>
                <w:sz w:val="16"/>
              </w:rPr>
              <w:t>电子政务外网运维管理，有利于强化自治州电子政务外网运</w:t>
            </w:r>
            <w:r>
              <w:rPr>
                <w:rFonts w:hint="eastAsia" w:ascii="宋体" w:hAnsi="宋体"/>
                <w:sz w:val="16"/>
                <w:lang w:val="en-US" w:eastAsia="zh-CN"/>
              </w:rPr>
              <w:t>维，</w:t>
            </w:r>
            <w:r>
              <w:rPr>
                <w:rFonts w:hint="eastAsia" w:ascii="宋体" w:hAnsi="宋体"/>
                <w:sz w:val="16"/>
                <w:lang w:eastAsia="zh-CN"/>
              </w:rPr>
              <w:t>维护网络安全</w:t>
            </w:r>
            <w:r>
              <w:rPr>
                <w:rFonts w:ascii="宋体" w:hAnsi="宋体" w:eastAsia="宋体"/>
                <w:sz w:val="16"/>
              </w:rPr>
              <w:t>防护工作，全面推进克州电子政务发展，依托电子政务外网为政务部门在信息化条件下提供社会管理和政务服务，密切群众联系，加强与公众互动交流的重要桥梁。通过该项目实施达到为跨部门、跨地区的网络互联互通、信息共享和业务协同提供网络支撑服务的效果。</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FF263">
            <w:pPr>
              <w:jc w:val="both"/>
            </w:pPr>
            <w:r>
              <w:rPr>
                <w:rFonts w:hint="eastAsia" w:ascii="宋体" w:hAnsi="宋体"/>
                <w:sz w:val="16"/>
                <w:lang w:eastAsia="zh-CN"/>
              </w:rPr>
              <w:t>截至</w:t>
            </w:r>
            <w:r>
              <w:rPr>
                <w:rFonts w:ascii="宋体" w:hAnsi="宋体" w:eastAsia="宋体"/>
                <w:sz w:val="16"/>
              </w:rPr>
              <w:t>2024年12月31日，该项目资金全部执行完毕。完成州本级56家单位的接入，开展三级等保测评1次，出具测评报告1份。通过该项目实施达到为跨部门、跨地区的网络互联互通、信息共享和业务协同提供网络支撑服务的效果。</w:t>
            </w:r>
          </w:p>
        </w:tc>
      </w:tr>
      <w:tr w14:paraId="31009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EE8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0A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CF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C04C">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F8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4C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1E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07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2C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E5F5">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559E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80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6A26F">
            <w:pPr>
              <w:jc w:val="center"/>
            </w:pPr>
            <w:r>
              <w:rPr>
                <w:rFonts w:ascii="宋体" w:hAnsi="宋体" w:eastAsia="宋体"/>
                <w:sz w:val="16"/>
              </w:rPr>
              <w:t>偏差原因分析及改进措施</w:t>
            </w:r>
          </w:p>
        </w:tc>
      </w:tr>
      <w:tr w14:paraId="499DC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1C8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206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5B0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72CF">
            <w:pPr>
              <w:jc w:val="center"/>
            </w:pPr>
            <w:r>
              <w:rPr>
                <w:rFonts w:ascii="宋体" w:hAnsi="宋体" w:eastAsia="宋体"/>
                <w:sz w:val="16"/>
              </w:rPr>
              <w:t>涉及单位数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CF6B">
            <w:pPr>
              <w:jc w:val="center"/>
            </w:pPr>
            <w:r>
              <w:rPr>
                <w:rFonts w:ascii="宋体" w:hAnsi="宋体" w:eastAsia="宋体"/>
                <w:sz w:val="16"/>
              </w:rPr>
              <w:t>&gt;=56个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B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E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67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3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7D0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4E79F0">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D5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7752">
            <w:pPr>
              <w:jc w:val="center"/>
            </w:pPr>
          </w:p>
        </w:tc>
      </w:tr>
      <w:tr w14:paraId="013A3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00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2C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1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5195">
            <w:pPr>
              <w:jc w:val="center"/>
            </w:pPr>
            <w:r>
              <w:rPr>
                <w:rFonts w:ascii="宋体" w:hAnsi="宋体" w:eastAsia="宋体"/>
                <w:sz w:val="16"/>
              </w:rPr>
              <w:t>全年三级等保测评数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C9AB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B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1A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59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9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532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F2389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9A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147E">
            <w:pPr>
              <w:jc w:val="center"/>
            </w:pPr>
          </w:p>
        </w:tc>
      </w:tr>
      <w:tr w14:paraId="6540D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E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B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08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5749">
            <w:pPr>
              <w:jc w:val="center"/>
            </w:pPr>
            <w:r>
              <w:rPr>
                <w:rFonts w:ascii="宋体" w:hAnsi="宋体" w:eastAsia="宋体"/>
                <w:sz w:val="16"/>
              </w:rPr>
              <w:t>全年出测评报告书数量</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987F">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6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D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6A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2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7AC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F8144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8F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2D6BD">
            <w:pPr>
              <w:jc w:val="center"/>
            </w:pPr>
          </w:p>
        </w:tc>
      </w:tr>
      <w:tr w14:paraId="38A4D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42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98C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F8059">
            <w:pPr>
              <w:jc w:val="center"/>
            </w:pPr>
            <w:r>
              <w:rPr>
                <w:rFonts w:ascii="宋体" w:hAnsi="宋体" w:eastAsia="宋体"/>
                <w:sz w:val="16"/>
              </w:rPr>
              <w:t>质量指标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A0BB6">
            <w:pPr>
              <w:jc w:val="center"/>
            </w:pPr>
            <w:r>
              <w:rPr>
                <w:rFonts w:ascii="宋体" w:hAnsi="宋体" w:eastAsia="宋体"/>
                <w:sz w:val="16"/>
              </w:rPr>
              <w:t>等保测评通过率</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4D133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4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4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CB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4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A5D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DD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125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2AD0">
            <w:pPr>
              <w:jc w:val="center"/>
            </w:pPr>
          </w:p>
        </w:tc>
      </w:tr>
      <w:tr w14:paraId="2C7C3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6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F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575E9"/>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1338D">
            <w:pPr>
              <w:jc w:val="center"/>
            </w:pPr>
            <w:r>
              <w:rPr>
                <w:rFonts w:ascii="宋体" w:hAnsi="宋体" w:eastAsia="宋体"/>
                <w:sz w:val="16"/>
              </w:rPr>
              <w:t>专网运行故障率</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3E8CDE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4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2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1C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7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A73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36CF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19D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787B2">
            <w:pPr>
              <w:jc w:val="center"/>
            </w:pPr>
          </w:p>
        </w:tc>
      </w:tr>
      <w:tr w14:paraId="2F6F3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64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71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9264">
            <w:pPr>
              <w:jc w:val="center"/>
            </w:pPr>
            <w:r>
              <w:rPr>
                <w:rFonts w:ascii="宋体" w:hAnsi="宋体" w:eastAsia="宋体"/>
                <w:sz w:val="16"/>
              </w:rPr>
              <w:t>时效指标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E8B4">
            <w:pPr>
              <w:jc w:val="center"/>
            </w:pPr>
            <w:r>
              <w:rPr>
                <w:rFonts w:ascii="宋体" w:hAnsi="宋体" w:eastAsia="宋体"/>
                <w:sz w:val="16"/>
              </w:rPr>
              <w:t>租金缴纳及时率</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081EC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A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A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65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3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4C2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9D0C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C8A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F512">
            <w:pPr>
              <w:jc w:val="center"/>
            </w:pPr>
          </w:p>
        </w:tc>
      </w:tr>
      <w:tr w14:paraId="38FCB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50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298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F8D49">
            <w:pPr>
              <w:jc w:val="center"/>
            </w:pPr>
            <w:r>
              <w:rPr>
                <w:rFonts w:ascii="宋体" w:hAnsi="宋体" w:eastAsia="宋体"/>
                <w:sz w:val="16"/>
              </w:rPr>
              <w:t>经济成本指标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E6C2">
            <w:pPr>
              <w:jc w:val="center"/>
            </w:pPr>
            <w:r>
              <w:rPr>
                <w:rFonts w:ascii="宋体" w:hAnsi="宋体" w:eastAsia="宋体"/>
                <w:sz w:val="16"/>
              </w:rPr>
              <w:t>三级等保测评费（万元）</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6B12ED54">
            <w:pPr>
              <w:jc w:val="center"/>
            </w:pPr>
            <w:r>
              <w:rPr>
                <w:rFonts w:ascii="宋体" w:hAnsi="宋体" w:eastAsia="宋体"/>
                <w:sz w:val="16"/>
              </w:rPr>
              <w:t>&lt;=9.5万元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0A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5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0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6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EBE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05A4B2">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8E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E93D4">
            <w:pPr>
              <w:jc w:val="center"/>
            </w:pPr>
          </w:p>
        </w:tc>
      </w:tr>
      <w:tr w14:paraId="3925F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4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3C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CF7BC"/>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AEB7C">
            <w:pPr>
              <w:jc w:val="center"/>
            </w:pPr>
            <w:r>
              <w:rPr>
                <w:rFonts w:ascii="宋体" w:hAnsi="宋体" w:eastAsia="宋体"/>
                <w:sz w:val="16"/>
              </w:rPr>
              <w:t>链路费租用金（万元）</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43FC935C">
            <w:pPr>
              <w:jc w:val="center"/>
            </w:pPr>
            <w:r>
              <w:rPr>
                <w:rFonts w:ascii="宋体" w:hAnsi="宋体" w:eastAsia="宋体"/>
                <w:sz w:val="16"/>
              </w:rPr>
              <w:t>&lt;=23.38万元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BD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A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F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6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F7C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6A1000">
            <w:pPr>
              <w:jc w:val="center"/>
            </w:pPr>
            <w:r>
              <w:rPr>
                <w:rFonts w:ascii="宋体" w:hAnsi="宋体" w:eastAsia="宋体"/>
                <w:sz w:val="16"/>
              </w:rPr>
              <w:t>=23.38万元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B0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E8F51">
            <w:pPr>
              <w:jc w:val="center"/>
            </w:pPr>
          </w:p>
        </w:tc>
      </w:tr>
      <w:tr w14:paraId="7BB53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C3C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65A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273DF">
            <w:pPr>
              <w:jc w:val="center"/>
            </w:pPr>
            <w:r>
              <w:rPr>
                <w:rFonts w:ascii="宋体" w:hAnsi="宋体" w:eastAsia="宋体"/>
                <w:sz w:val="16"/>
              </w:rPr>
              <w:t>社会效益指标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10016">
            <w:pPr>
              <w:jc w:val="center"/>
            </w:pPr>
            <w:r>
              <w:rPr>
                <w:rFonts w:ascii="宋体" w:hAnsi="宋体" w:eastAsia="宋体"/>
                <w:sz w:val="16"/>
              </w:rPr>
              <w:t>提升电子政务外网系统安全和网络防护能力</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73EE73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033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91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9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9D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7DA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7F5B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5E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6E71">
            <w:pPr>
              <w:jc w:val="center"/>
            </w:pPr>
          </w:p>
        </w:tc>
      </w:tr>
      <w:tr w14:paraId="53606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87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01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24034"/>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B802D">
            <w:pPr>
              <w:jc w:val="center"/>
            </w:pPr>
            <w:r>
              <w:rPr>
                <w:rFonts w:ascii="宋体" w:hAnsi="宋体" w:eastAsia="宋体"/>
                <w:sz w:val="16"/>
              </w:rPr>
              <w:t>保障平台平稳运转</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37428D4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665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F5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9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E7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C981">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AF5FA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20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5B2D">
            <w:pPr>
              <w:jc w:val="center"/>
            </w:pPr>
          </w:p>
        </w:tc>
      </w:tr>
      <w:tr w14:paraId="3675D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F2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D7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84E2">
            <w:pPr>
              <w:jc w:val="center"/>
            </w:pPr>
            <w:r>
              <w:rPr>
                <w:rFonts w:ascii="宋体" w:hAnsi="宋体" w:eastAsia="宋体"/>
                <w:sz w:val="16"/>
              </w:rPr>
              <w:t>满意度指标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E112">
            <w:pPr>
              <w:jc w:val="center"/>
            </w:pPr>
            <w:r>
              <w:rPr>
                <w:rFonts w:ascii="宋体" w:hAnsi="宋体" w:eastAsia="宋体"/>
                <w:sz w:val="16"/>
              </w:rPr>
              <w:t>使用部门满意度</w:t>
            </w:r>
          </w:p>
        </w:tc>
        <w:tc>
          <w:tcPr>
            <w:tcW w:w="647" w:type="dxa"/>
            <w:tcBorders>
              <w:top w:val="single" w:color="auto" w:sz="10" w:space="0"/>
              <w:left w:val="single" w:color="auto" w:sz="10" w:space="0"/>
              <w:bottom w:val="single" w:color="auto" w:sz="10" w:space="0"/>
              <w:right w:val="single" w:color="auto" w:sz="10" w:space="0"/>
              <w:insideV w:val="single" w:sz="10" w:space="0"/>
            </w:tcBorders>
            <w:vAlign w:val="center"/>
          </w:tcPr>
          <w:p w14:paraId="34D2F2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8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44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13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72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941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2358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7F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99F3">
            <w:pPr>
              <w:jc w:val="center"/>
            </w:pPr>
          </w:p>
        </w:tc>
      </w:tr>
      <w:tr w14:paraId="3935C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F574">
            <w:pPr>
              <w:jc w:val="center"/>
            </w:pPr>
            <w:r>
              <w:rPr>
                <w:rFonts w:ascii="宋体" w:hAnsi="宋体" w:eastAsia="宋体"/>
                <w:sz w:val="16"/>
              </w:rPr>
              <w:t>总分</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A76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93A3">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F8912B">
            <w:pPr>
              <w:jc w:val="center"/>
            </w:pPr>
            <w:r>
              <w:rPr>
                <w:rFonts w:ascii="宋体" w:hAnsi="宋体" w:eastAsia="宋体"/>
                <w:sz w:val="16"/>
              </w:rPr>
              <w:t>100分</w:t>
            </w:r>
          </w:p>
        </w:tc>
      </w:tr>
    </w:tbl>
    <w:p w14:paraId="0775FB88">
      <w:r>
        <w:br w:type="page"/>
      </w:r>
    </w:p>
    <w:p w14:paraId="75B85961">
      <w:pPr>
        <w:spacing w:line="640" w:lineRule="exact"/>
        <w:ind w:firstLine="640"/>
        <w:jc w:val="both"/>
        <w:outlineLvl w:val="2"/>
      </w:pPr>
      <w:r>
        <w:rPr>
          <w:rFonts w:ascii="黑体" w:hAnsi="黑体" w:eastAsia="黑体"/>
          <w:sz w:val="32"/>
        </w:rPr>
        <w:t>十二、其他需说明的事项</w:t>
      </w:r>
    </w:p>
    <w:p w14:paraId="407190B2">
      <w:pPr>
        <w:spacing w:line="580" w:lineRule="exact"/>
        <w:ind w:firstLine="640"/>
        <w:jc w:val="both"/>
      </w:pPr>
      <w:r>
        <w:rPr>
          <w:rFonts w:ascii="仿宋_GB2312" w:hAnsi="仿宋_GB2312" w:eastAsia="仿宋_GB2312"/>
          <w:b w:val="0"/>
          <w:sz w:val="32"/>
        </w:rPr>
        <w:t>本单位无其他需说明的事项。</w:t>
      </w:r>
    </w:p>
    <w:p w14:paraId="1BFE980E">
      <w:r>
        <w:br w:type="page"/>
      </w:r>
    </w:p>
    <w:p w14:paraId="10227DBC">
      <w:pPr>
        <w:spacing w:line="240" w:lineRule="auto"/>
        <w:jc w:val="center"/>
        <w:outlineLvl w:val="1"/>
      </w:pPr>
      <w:r>
        <w:rPr>
          <w:rFonts w:ascii="黑体" w:hAnsi="黑体" w:eastAsia="黑体"/>
          <w:sz w:val="32"/>
        </w:rPr>
        <w:t>第三部分 专业名词解释</w:t>
      </w:r>
    </w:p>
    <w:p w14:paraId="132C4F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5898A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AD06A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38E2A2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237F6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C2B23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C5D6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31593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BE88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90BD6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49E8E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F255C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4D309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018F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E75DE0">
      <w:r>
        <w:br w:type="page"/>
      </w:r>
    </w:p>
    <w:p w14:paraId="1D4F44D1">
      <w:pPr>
        <w:spacing w:line="240" w:lineRule="auto"/>
        <w:jc w:val="center"/>
        <w:outlineLvl w:val="1"/>
      </w:pPr>
      <w:r>
        <w:rPr>
          <w:rFonts w:ascii="黑体" w:hAnsi="黑体" w:eastAsia="黑体"/>
          <w:sz w:val="32"/>
        </w:rPr>
        <w:t>第四部分 部门决算报表（见附表）</w:t>
      </w:r>
    </w:p>
    <w:p w14:paraId="234BE656">
      <w:pPr>
        <w:spacing w:line="240" w:lineRule="auto"/>
        <w:ind w:firstLine="640"/>
        <w:jc w:val="both"/>
      </w:pPr>
      <w:r>
        <w:rPr>
          <w:rFonts w:ascii="仿宋_GB2312" w:hAnsi="仿宋_GB2312" w:eastAsia="仿宋_GB2312"/>
          <w:b w:val="0"/>
          <w:sz w:val="32"/>
        </w:rPr>
        <w:t>一、《收入支出决算总表》</w:t>
      </w:r>
    </w:p>
    <w:p w14:paraId="013CE7FF">
      <w:pPr>
        <w:spacing w:line="240" w:lineRule="auto"/>
        <w:ind w:firstLine="640"/>
        <w:jc w:val="both"/>
      </w:pPr>
      <w:r>
        <w:rPr>
          <w:rFonts w:ascii="仿宋_GB2312" w:hAnsi="仿宋_GB2312" w:eastAsia="仿宋_GB2312"/>
          <w:b w:val="0"/>
          <w:sz w:val="32"/>
        </w:rPr>
        <w:t>二、《收入决算表》</w:t>
      </w:r>
    </w:p>
    <w:p w14:paraId="71A32653">
      <w:pPr>
        <w:spacing w:line="240" w:lineRule="auto"/>
        <w:ind w:firstLine="640"/>
        <w:jc w:val="both"/>
      </w:pPr>
      <w:r>
        <w:rPr>
          <w:rFonts w:ascii="仿宋_GB2312" w:hAnsi="仿宋_GB2312" w:eastAsia="仿宋_GB2312"/>
          <w:b w:val="0"/>
          <w:sz w:val="32"/>
        </w:rPr>
        <w:t>三、《支出决算表》</w:t>
      </w:r>
    </w:p>
    <w:p w14:paraId="235A79CA">
      <w:pPr>
        <w:spacing w:line="240" w:lineRule="auto"/>
        <w:ind w:firstLine="640"/>
        <w:jc w:val="both"/>
      </w:pPr>
      <w:r>
        <w:rPr>
          <w:rFonts w:ascii="仿宋_GB2312" w:hAnsi="仿宋_GB2312" w:eastAsia="仿宋_GB2312"/>
          <w:b w:val="0"/>
          <w:sz w:val="32"/>
        </w:rPr>
        <w:t>四、《财政拨款收入支出决算总表》</w:t>
      </w:r>
    </w:p>
    <w:p w14:paraId="5012CCD2">
      <w:pPr>
        <w:spacing w:line="240" w:lineRule="auto"/>
        <w:ind w:firstLine="640"/>
        <w:jc w:val="both"/>
      </w:pPr>
      <w:r>
        <w:rPr>
          <w:rFonts w:ascii="仿宋_GB2312" w:hAnsi="仿宋_GB2312" w:eastAsia="仿宋_GB2312"/>
          <w:b w:val="0"/>
          <w:sz w:val="32"/>
        </w:rPr>
        <w:t>五、《一般公共预算财政拨款支出决算表》</w:t>
      </w:r>
    </w:p>
    <w:p w14:paraId="6E562261">
      <w:pPr>
        <w:spacing w:line="240" w:lineRule="auto"/>
        <w:ind w:firstLine="640"/>
        <w:jc w:val="both"/>
      </w:pPr>
      <w:r>
        <w:rPr>
          <w:rFonts w:ascii="仿宋_GB2312" w:hAnsi="仿宋_GB2312" w:eastAsia="仿宋_GB2312"/>
          <w:b w:val="0"/>
          <w:sz w:val="32"/>
        </w:rPr>
        <w:t>六、《一般公共预算财政拨款基本支出决算表》</w:t>
      </w:r>
    </w:p>
    <w:p w14:paraId="5D1D61A0">
      <w:pPr>
        <w:spacing w:line="240" w:lineRule="auto"/>
        <w:ind w:firstLine="640"/>
        <w:jc w:val="both"/>
      </w:pPr>
      <w:r>
        <w:rPr>
          <w:rFonts w:ascii="仿宋_GB2312" w:hAnsi="仿宋_GB2312" w:eastAsia="仿宋_GB2312"/>
          <w:b w:val="0"/>
          <w:sz w:val="32"/>
        </w:rPr>
        <w:t>七、《政府性基金预算财政拨款收入支出决算表》</w:t>
      </w:r>
    </w:p>
    <w:p w14:paraId="6F8A72A1">
      <w:pPr>
        <w:spacing w:line="240" w:lineRule="auto"/>
        <w:ind w:firstLine="640"/>
        <w:jc w:val="both"/>
      </w:pPr>
      <w:r>
        <w:rPr>
          <w:rFonts w:ascii="仿宋_GB2312" w:hAnsi="仿宋_GB2312" w:eastAsia="仿宋_GB2312"/>
          <w:b w:val="0"/>
          <w:sz w:val="32"/>
        </w:rPr>
        <w:t>八、《国有资本经营预算财政拨款收入支出决算表》</w:t>
      </w:r>
    </w:p>
    <w:p w14:paraId="4E23CA57">
      <w:pPr>
        <w:spacing w:line="240" w:lineRule="auto"/>
        <w:ind w:firstLine="640"/>
        <w:jc w:val="both"/>
      </w:pPr>
      <w:r>
        <w:rPr>
          <w:rFonts w:ascii="仿宋_GB2312" w:hAnsi="仿宋_GB2312" w:eastAsia="仿宋_GB2312"/>
          <w:b w:val="0"/>
          <w:sz w:val="32"/>
        </w:rPr>
        <w:t>九、《财政拨款“三公”经费支出决算表》</w:t>
      </w:r>
    </w:p>
    <w:p w14:paraId="0C24564A">
      <w:pPr>
        <w:spacing w:line="240" w:lineRule="auto"/>
        <w:ind w:firstLine="640"/>
        <w:jc w:val="both"/>
      </w:pPr>
    </w:p>
    <w:p w14:paraId="6F0DFDD2">
      <w:pPr>
        <w:spacing w:line="240" w:lineRule="auto"/>
        <w:ind w:firstLine="640"/>
        <w:jc w:val="both"/>
      </w:pPr>
    </w:p>
    <w:p w14:paraId="012844ED">
      <w:pPr>
        <w:spacing w:line="240" w:lineRule="auto"/>
        <w:ind w:firstLine="640"/>
        <w:jc w:val="both"/>
      </w:pPr>
    </w:p>
    <w:p w14:paraId="5F1F2CA1">
      <w:pPr>
        <w:spacing w:line="240" w:lineRule="auto"/>
        <w:ind w:firstLine="640"/>
        <w:jc w:val="both"/>
      </w:pPr>
    </w:p>
    <w:p w14:paraId="1638AB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A2BFD8-AF2B-459D-87F1-30FB144EC2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EFFDFAE-23E8-44EB-B701-F15F74005CF0}"/>
  </w:font>
  <w:font w:name="仿宋_GB2312">
    <w:altName w:val="仿宋"/>
    <w:panose1 w:val="02010609030101010101"/>
    <w:charset w:val="86"/>
    <w:family w:val="modern"/>
    <w:pitch w:val="default"/>
    <w:sig w:usb0="00000000" w:usb1="00000000" w:usb2="00000000" w:usb3="00000000" w:csb0="00040000" w:csb1="00000000"/>
    <w:embedRegular r:id="rId3" w:fontKey="{7129B5C3-E5CC-4703-BD99-B544A8E8BF5C}"/>
  </w:font>
  <w:font w:name="楷体_GB2312">
    <w:altName w:val="楷体"/>
    <w:panose1 w:val="00000000000000000000"/>
    <w:charset w:val="00"/>
    <w:family w:val="auto"/>
    <w:pitch w:val="default"/>
    <w:sig w:usb0="00000000" w:usb1="00000000" w:usb2="00000000" w:usb3="00000000" w:csb0="00000000" w:csb1="00000000"/>
    <w:embedRegular r:id="rId4" w:fontKey="{02DEC636-4197-459C-8552-9873F9BF7883}"/>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2FD64D4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1E68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4706</Words>
  <Characters>5324</Characters>
  <Lines>0</Lines>
  <Paragraphs>0</Paragraphs>
  <TotalTime>7</TotalTime>
  <ScaleCrop>false</ScaleCrop>
  <LinksUpToDate>false</LinksUpToDate>
  <CharactersWithSpaces>5332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