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新疆伊斯兰教经学院克孜勒苏分院2024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C45F73B">
      <w:r>
        <w:br w:type="page"/>
      </w:r>
    </w:p>
    <w:p w14:paraId="23941540">
      <w:pPr>
        <w:spacing w:line="640" w:lineRule="exact"/>
        <w:jc w:val="center"/>
        <w:outlineLvl w:val="1"/>
      </w:pPr>
      <w:r>
        <w:rPr>
          <w:rFonts w:ascii="黑体" w:hAnsi="黑体" w:eastAsia="黑体"/>
          <w:sz w:val="32"/>
        </w:rPr>
        <w:t>第一部分 单位概况</w:t>
      </w:r>
    </w:p>
    <w:p w14:paraId="0EDE8AD3">
      <w:pPr>
        <w:spacing w:line="640" w:lineRule="exact"/>
        <w:ind w:firstLine="640"/>
        <w:jc w:val="both"/>
        <w:outlineLvl w:val="2"/>
      </w:pPr>
      <w:r>
        <w:rPr>
          <w:rFonts w:ascii="黑体" w:hAnsi="黑体" w:eastAsia="黑体"/>
          <w:sz w:val="32"/>
        </w:rPr>
        <w:t>一、主要职能</w:t>
      </w:r>
    </w:p>
    <w:p w14:paraId="383AB028">
      <w:pPr>
        <w:spacing w:line="580" w:lineRule="exact"/>
        <w:ind w:firstLine="640"/>
        <w:jc w:val="both"/>
      </w:pPr>
      <w:r>
        <w:rPr>
          <w:rFonts w:ascii="仿宋_GB2312" w:hAnsi="仿宋_GB2312" w:eastAsia="仿宋_GB2312"/>
          <w:sz w:val="32"/>
        </w:rPr>
        <w:t>本单位主要职能SM不予公开。</w:t>
      </w:r>
    </w:p>
    <w:p w14:paraId="1B66D166">
      <w:pPr>
        <w:spacing w:line="640" w:lineRule="exact"/>
        <w:ind w:firstLine="640"/>
        <w:jc w:val="both"/>
        <w:outlineLvl w:val="2"/>
      </w:pPr>
      <w:r>
        <w:rPr>
          <w:rFonts w:ascii="黑体" w:hAnsi="黑体" w:eastAsia="黑体"/>
          <w:sz w:val="32"/>
        </w:rPr>
        <w:t>二、机构设置及人员情况</w:t>
      </w:r>
    </w:p>
    <w:p w14:paraId="426E2DDB">
      <w:pPr>
        <w:spacing w:line="580" w:lineRule="exact"/>
        <w:ind w:firstLine="640"/>
        <w:jc w:val="both"/>
      </w:pPr>
      <w:r>
        <w:rPr>
          <w:rFonts w:ascii="仿宋_GB2312" w:hAnsi="仿宋_GB2312" w:eastAsia="仿宋_GB2312"/>
          <w:sz w:val="32"/>
        </w:rPr>
        <w:t>新疆伊斯兰教经学院克孜勒苏分院2024年度，实有人数6人，其中：在职人员6人，增加1人；离休人员0人，增加0人；退休人员0人</w:t>
      </w:r>
      <w:bookmarkStart w:id="0" w:name="_GoBack"/>
      <w:r>
        <w:rPr>
          <w:rFonts w:ascii="仿宋_GB2312" w:hAnsi="仿宋_GB2312" w:eastAsia="仿宋_GB2312"/>
          <w:sz w:val="32"/>
        </w:rPr>
        <w:t>,</w:t>
      </w:r>
      <w:bookmarkEnd w:id="0"/>
      <w:r>
        <w:rPr>
          <w:rFonts w:ascii="仿宋_GB2312" w:hAnsi="仿宋_GB2312" w:eastAsia="仿宋_GB2312"/>
          <w:sz w:val="32"/>
        </w:rPr>
        <w:t>增加0人。</w:t>
      </w:r>
    </w:p>
    <w:p w14:paraId="497A1030">
      <w:pPr>
        <w:spacing w:line="580" w:lineRule="exact"/>
        <w:ind w:firstLine="640"/>
        <w:jc w:val="both"/>
      </w:pPr>
      <w:r>
        <w:rPr>
          <w:rFonts w:ascii="仿宋_GB2312" w:hAnsi="仿宋_GB2312" w:eastAsia="仿宋_GB2312"/>
          <w:sz w:val="32"/>
        </w:rPr>
        <w:t>新疆伊斯兰教经学院克孜勒苏分院无下属预算单位，下设1个科室，分别是：综合科。</w:t>
      </w:r>
    </w:p>
    <w:p w14:paraId="28A04848">
      <w:r>
        <w:br w:type="page"/>
      </w:r>
    </w:p>
    <w:p w14:paraId="06AE4A6F">
      <w:pPr>
        <w:spacing w:line="240" w:lineRule="auto"/>
        <w:jc w:val="center"/>
        <w:outlineLvl w:val="1"/>
      </w:pPr>
      <w:r>
        <w:rPr>
          <w:rFonts w:ascii="黑体" w:hAnsi="黑体" w:eastAsia="黑体"/>
          <w:sz w:val="32"/>
        </w:rPr>
        <w:t>第二部分 部门决算情况说明</w:t>
      </w:r>
    </w:p>
    <w:p w14:paraId="12F216D5">
      <w:pPr>
        <w:spacing w:line="640" w:lineRule="exact"/>
        <w:ind w:firstLine="640"/>
        <w:jc w:val="both"/>
        <w:outlineLvl w:val="2"/>
      </w:pPr>
      <w:r>
        <w:rPr>
          <w:rFonts w:ascii="黑体" w:hAnsi="黑体" w:eastAsia="黑体"/>
          <w:sz w:val="32"/>
        </w:rPr>
        <w:t>一、收入支出决算总体情况说明</w:t>
      </w:r>
    </w:p>
    <w:p w14:paraId="5B318A8B">
      <w:pPr>
        <w:spacing w:line="580" w:lineRule="exact"/>
        <w:ind w:firstLine="640"/>
        <w:jc w:val="both"/>
      </w:pPr>
      <w:r>
        <w:rPr>
          <w:rFonts w:ascii="仿宋_GB2312" w:hAnsi="仿宋_GB2312" w:eastAsia="仿宋_GB2312"/>
          <w:b/>
          <w:sz w:val="32"/>
        </w:rPr>
        <w:t>2024年度收入总计149.98万元，</w:t>
      </w:r>
      <w:r>
        <w:rPr>
          <w:rFonts w:ascii="仿宋_GB2312" w:hAnsi="仿宋_GB2312" w:eastAsia="仿宋_GB2312"/>
          <w:b w:val="0"/>
          <w:sz w:val="32"/>
        </w:rPr>
        <w:t>其中：本年收入合计136.80万元，使用非财政拨款结余（含专用结余）0.00万元，年初结转和结余13.18万元。</w:t>
      </w:r>
    </w:p>
    <w:p w14:paraId="0AEE447E">
      <w:pPr>
        <w:spacing w:line="580" w:lineRule="exact"/>
        <w:ind w:firstLine="640"/>
        <w:jc w:val="both"/>
      </w:pPr>
      <w:r>
        <w:rPr>
          <w:rFonts w:ascii="仿宋_GB2312" w:hAnsi="仿宋_GB2312" w:eastAsia="仿宋_GB2312"/>
          <w:b/>
          <w:sz w:val="32"/>
        </w:rPr>
        <w:t>2024年度支出总计149.98万元，</w:t>
      </w:r>
      <w:r>
        <w:rPr>
          <w:rFonts w:ascii="仿宋_GB2312" w:hAnsi="仿宋_GB2312" w:eastAsia="仿宋_GB2312"/>
          <w:b w:val="0"/>
          <w:sz w:val="32"/>
        </w:rPr>
        <w:t>其中：本年支出合计108.36万元，结余分配0.00万元，年末结转和结余41.62万元。</w:t>
      </w:r>
    </w:p>
    <w:p w14:paraId="663BD75B">
      <w:pPr>
        <w:spacing w:line="580" w:lineRule="exact"/>
        <w:ind w:firstLine="640"/>
        <w:jc w:val="both"/>
      </w:pPr>
      <w:r>
        <w:rPr>
          <w:rFonts w:ascii="仿宋_GB2312" w:hAnsi="仿宋_GB2312" w:eastAsia="仿宋_GB2312"/>
          <w:b w:val="0"/>
          <w:sz w:val="32"/>
        </w:rPr>
        <w:t>收入支出总体与上年相比，增加45.66万元，增长43.77%，主要原因是：本年在职人员增加，在职人员工资调增、社保、公积金基数调增，人员经费增加。本年培训项目资金较上年增加。</w:t>
      </w:r>
    </w:p>
    <w:p w14:paraId="2327E235">
      <w:pPr>
        <w:spacing w:line="640" w:lineRule="exact"/>
        <w:ind w:firstLine="640"/>
        <w:jc w:val="both"/>
        <w:outlineLvl w:val="2"/>
      </w:pPr>
      <w:r>
        <w:rPr>
          <w:rFonts w:ascii="黑体" w:hAnsi="黑体" w:eastAsia="黑体"/>
          <w:sz w:val="32"/>
        </w:rPr>
        <w:t>二、收入决算情况说明</w:t>
      </w:r>
    </w:p>
    <w:p w14:paraId="7AF49946">
      <w:pPr>
        <w:spacing w:line="580" w:lineRule="exact"/>
        <w:ind w:firstLine="640"/>
        <w:jc w:val="both"/>
      </w:pPr>
      <w:r>
        <w:rPr>
          <w:rFonts w:ascii="仿宋_GB2312" w:hAnsi="仿宋_GB2312" w:eastAsia="仿宋_GB2312"/>
          <w:b/>
          <w:sz w:val="32"/>
        </w:rPr>
        <w:t>本年收入136.80万元，</w:t>
      </w:r>
      <w:r>
        <w:rPr>
          <w:rFonts w:ascii="仿宋_GB2312" w:hAnsi="仿宋_GB2312" w:eastAsia="仿宋_GB2312"/>
          <w:b w:val="0"/>
          <w:sz w:val="32"/>
        </w:rPr>
        <w:t>其中：财政拨款收入88.40万元，占64.62%；上级补助收入0.00万元，占0.00%；事业收入0.00万元，占0.00%；经营收入0.00万元，占0.00%；附属单位上缴收入0.00万元，占0.00%；其他收入48.40万元，占35.38%。</w:t>
      </w:r>
    </w:p>
    <w:p w14:paraId="2A25F419">
      <w:pPr>
        <w:spacing w:line="640" w:lineRule="exact"/>
        <w:ind w:firstLine="640"/>
        <w:jc w:val="both"/>
        <w:outlineLvl w:val="2"/>
      </w:pPr>
      <w:r>
        <w:rPr>
          <w:rFonts w:ascii="黑体" w:hAnsi="黑体" w:eastAsia="黑体"/>
          <w:sz w:val="32"/>
        </w:rPr>
        <w:t>三、支出决算情况说明</w:t>
      </w:r>
    </w:p>
    <w:p w14:paraId="3C71CEA6">
      <w:pPr>
        <w:spacing w:line="580" w:lineRule="exact"/>
        <w:ind w:firstLine="640"/>
        <w:jc w:val="both"/>
      </w:pPr>
      <w:r>
        <w:rPr>
          <w:rFonts w:ascii="仿宋_GB2312" w:hAnsi="仿宋_GB2312" w:eastAsia="仿宋_GB2312"/>
          <w:b/>
          <w:sz w:val="32"/>
        </w:rPr>
        <w:t>本年支出108.36万元，</w:t>
      </w:r>
      <w:r>
        <w:rPr>
          <w:rFonts w:ascii="仿宋_GB2312" w:hAnsi="仿宋_GB2312" w:eastAsia="仿宋_GB2312"/>
          <w:b w:val="0"/>
          <w:sz w:val="32"/>
        </w:rPr>
        <w:t>其中：基本支出89.81万元，占82.88%；项目支出18.55万元，占17.12%；上缴上级支出0.00万元，占0.00%；经营支出0.00万元，占0.00%；对附属单位补助支出0.00万元，占0.00%。</w:t>
      </w:r>
    </w:p>
    <w:p w14:paraId="50AF3BDC">
      <w:pPr>
        <w:spacing w:line="640" w:lineRule="exact"/>
        <w:ind w:firstLine="640"/>
        <w:jc w:val="both"/>
        <w:outlineLvl w:val="2"/>
      </w:pPr>
      <w:r>
        <w:rPr>
          <w:rFonts w:ascii="黑体" w:hAnsi="黑体" w:eastAsia="黑体"/>
          <w:sz w:val="32"/>
        </w:rPr>
        <w:t>四、财政拨款收入支出决算总体情况说明</w:t>
      </w:r>
    </w:p>
    <w:p w14:paraId="614440AD">
      <w:pPr>
        <w:spacing w:line="580" w:lineRule="exact"/>
        <w:ind w:firstLine="640"/>
        <w:jc w:val="both"/>
      </w:pPr>
      <w:r>
        <w:rPr>
          <w:rFonts w:ascii="仿宋_GB2312" w:hAnsi="仿宋_GB2312" w:eastAsia="仿宋_GB2312"/>
          <w:b/>
          <w:sz w:val="32"/>
        </w:rPr>
        <w:t>2024年度财政拨款收入总计88.40万元，</w:t>
      </w:r>
      <w:r>
        <w:rPr>
          <w:rFonts w:ascii="仿宋_GB2312" w:hAnsi="仿宋_GB2312" w:eastAsia="仿宋_GB2312"/>
          <w:b w:val="0"/>
          <w:sz w:val="32"/>
        </w:rPr>
        <w:t>其中：年初财政拨款结转和结余0.00万元，本年财政拨款收入88.40万元。</w:t>
      </w:r>
      <w:r>
        <w:rPr>
          <w:rFonts w:ascii="仿宋_GB2312" w:hAnsi="仿宋_GB2312" w:eastAsia="仿宋_GB2312"/>
          <w:b/>
          <w:sz w:val="32"/>
        </w:rPr>
        <w:t>财政拨款支出总计88.40万元，</w:t>
      </w:r>
      <w:r>
        <w:rPr>
          <w:rFonts w:ascii="仿宋_GB2312" w:hAnsi="仿宋_GB2312" w:eastAsia="仿宋_GB2312"/>
          <w:b w:val="0"/>
          <w:sz w:val="32"/>
        </w:rPr>
        <w:t>其中：年末财政拨款结转和结余0.00万元，本年财政拨款支出88.40万元。</w:t>
      </w:r>
    </w:p>
    <w:p w14:paraId="09DCD5D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增加20.63万元，增长30.44%，主要原因是：本年在职人员增加，在职人员工资调增、社保、公积金基数调增，人员经费增加。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年初预算数80.11万元，决算数88.40万元，预决算差异率10.35%，主要原因是：本年在职人员增加，年中追加人员经费及人员工资、社保、公积金基数调增部分资金，导致预决算存在差异。</w:t>
      </w:r>
    </w:p>
    <w:p w14:paraId="6715DBFE">
      <w:pPr>
        <w:spacing w:line="640" w:lineRule="exact"/>
        <w:ind w:firstLine="640"/>
        <w:jc w:val="both"/>
        <w:outlineLvl w:val="2"/>
      </w:pPr>
      <w:r>
        <w:rPr>
          <w:rFonts w:ascii="黑体" w:hAnsi="黑体" w:eastAsia="黑体"/>
          <w:sz w:val="32"/>
        </w:rPr>
        <w:t>五、一般公共预算财政拨款支出决算情况说明</w:t>
      </w:r>
    </w:p>
    <w:p w14:paraId="6623339F">
      <w:pPr>
        <w:spacing w:line="640" w:lineRule="exact"/>
        <w:ind w:firstLine="640"/>
        <w:jc w:val="both"/>
        <w:outlineLvl w:val="3"/>
      </w:pPr>
      <w:r>
        <w:rPr>
          <w:rFonts w:ascii="楷体_GB2312" w:hAnsi="楷体_GB2312" w:eastAsia="楷体_GB2312"/>
          <w:b/>
          <w:sz w:val="32"/>
        </w:rPr>
        <w:t>（一）一般公共预算财政拨款支出决算总体情况</w:t>
      </w:r>
    </w:p>
    <w:p w14:paraId="44B3F112">
      <w:pPr>
        <w:spacing w:line="580" w:lineRule="exact"/>
        <w:ind w:firstLine="640"/>
        <w:jc w:val="both"/>
      </w:pPr>
      <w:r>
        <w:rPr>
          <w:rFonts w:ascii="仿宋_GB2312" w:hAnsi="仿宋_GB2312" w:eastAsia="仿宋_GB2312"/>
          <w:b/>
          <w:sz w:val="32"/>
        </w:rPr>
        <w:t>2024年度一般公共预算财政拨款支出88.40万元，</w:t>
      </w:r>
      <w:r>
        <w:rPr>
          <w:rFonts w:ascii="仿宋_GB2312" w:hAnsi="仿宋_GB2312" w:eastAsia="仿宋_GB2312"/>
          <w:b w:val="0"/>
          <w:sz w:val="32"/>
        </w:rPr>
        <w:t>占本年支出合计的81.58%。</w:t>
      </w:r>
      <w:r>
        <w:rPr>
          <w:rFonts w:ascii="仿宋_GB2312" w:hAnsi="仿宋_GB2312" w:eastAsia="仿宋_GB2312"/>
          <w:b/>
          <w:sz w:val="32"/>
        </w:rPr>
        <w:t>与上年相比，</w:t>
      </w:r>
      <w:r>
        <w:rPr>
          <w:rFonts w:ascii="仿宋_GB2312" w:hAnsi="仿宋_GB2312" w:eastAsia="仿宋_GB2312"/>
          <w:b w:val="0"/>
          <w:sz w:val="32"/>
        </w:rPr>
        <w:t>增加20.63万元，增长30.44%，主要原因是：本年在职人员增加，在职人员工资调增、社保、公积金基数调增，人员经费增加。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年初预算数80.11万元，决算数88.40万元，预决算差异率10.35%，主要原因是：本年在职人员增加，年中追加人员经费及人员工资、社保、公积金基数调增部分资金，导致预决算存在差异。</w:t>
      </w:r>
    </w:p>
    <w:p w14:paraId="68D42EE5">
      <w:pPr>
        <w:spacing w:line="640" w:lineRule="exact"/>
        <w:ind w:firstLine="640"/>
        <w:jc w:val="both"/>
        <w:outlineLvl w:val="3"/>
      </w:pPr>
      <w:r>
        <w:rPr>
          <w:rFonts w:ascii="楷体_GB2312" w:hAnsi="楷体_GB2312" w:eastAsia="楷体_GB2312"/>
          <w:b/>
          <w:sz w:val="32"/>
        </w:rPr>
        <w:t>（二）一般公共预算财政拨款支出决算结构情况</w:t>
      </w:r>
    </w:p>
    <w:p w14:paraId="0D78A3A0">
      <w:pPr>
        <w:spacing w:line="580" w:lineRule="exact"/>
        <w:ind w:firstLine="640"/>
        <w:jc w:val="both"/>
      </w:pPr>
      <w:r>
        <w:rPr>
          <w:rFonts w:ascii="仿宋_GB2312" w:hAnsi="仿宋_GB2312" w:eastAsia="仿宋_GB2312"/>
          <w:b w:val="0"/>
          <w:sz w:val="32"/>
        </w:rPr>
        <w:t>1.一般公共服务支出(类)80.91万元,占91.53%。</w:t>
      </w:r>
    </w:p>
    <w:p w14:paraId="0D900C19">
      <w:pPr>
        <w:spacing w:line="580" w:lineRule="exact"/>
        <w:ind w:firstLine="640"/>
        <w:jc w:val="both"/>
      </w:pPr>
      <w:r>
        <w:rPr>
          <w:rFonts w:ascii="仿宋_GB2312" w:hAnsi="仿宋_GB2312" w:eastAsia="仿宋_GB2312"/>
          <w:b w:val="0"/>
          <w:sz w:val="32"/>
        </w:rPr>
        <w:t>2.社会保障和就业支出(类)7.49万元,占8.47%。</w:t>
      </w:r>
    </w:p>
    <w:p w14:paraId="0D5A8C19">
      <w:pPr>
        <w:spacing w:line="640" w:lineRule="exact"/>
        <w:ind w:firstLine="640"/>
        <w:jc w:val="both"/>
        <w:outlineLvl w:val="3"/>
      </w:pPr>
      <w:r>
        <w:rPr>
          <w:rFonts w:ascii="楷体_GB2312" w:hAnsi="楷体_GB2312" w:eastAsia="楷体_GB2312"/>
          <w:b/>
          <w:sz w:val="32"/>
        </w:rPr>
        <w:t>（三）一般公共预算财政拨款支出决算具体情况</w:t>
      </w:r>
    </w:p>
    <w:p w14:paraId="40C1DA05">
      <w:pPr>
        <w:spacing w:line="580" w:lineRule="exact"/>
        <w:ind w:firstLine="640"/>
        <w:jc w:val="both"/>
      </w:pPr>
      <w:r>
        <w:rPr>
          <w:rFonts w:ascii="仿宋_GB2312" w:hAnsi="仿宋_GB2312" w:eastAsia="仿宋_GB2312"/>
          <w:b w:val="0"/>
          <w:sz w:val="32"/>
        </w:rPr>
        <w:t>1.一般公共服务支出(类)统战事务(款)事业运行(项):支出决算数为80.91万元，比上年决算增加18.91万元，增长30.50%,主要原因是：本年新增在职人员，人员经费增加，导致经费较上年有所增加。</w:t>
      </w:r>
    </w:p>
    <w:p w14:paraId="2F66593C">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2.社会保障和就业支出(类)行政事业单位养老支出(款)机关事业单位基本养老保险缴费支出(项):支出决算数为7.49万元，比上年决算增加1.72万元，增长29.81%,主要原因是：本年在职人员增加，在职人员工资调增</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养老缴费基数上涨，</w:t>
      </w:r>
      <w:r>
        <w:rPr>
          <w:rFonts w:ascii="仿宋_GB2312" w:hAnsi="仿宋_GB2312" w:eastAsia="仿宋_GB2312"/>
          <w:b w:val="0"/>
          <w:sz w:val="32"/>
        </w:rPr>
        <w:t>养老保险缴费较上年增加。</w:t>
      </w:r>
    </w:p>
    <w:p w14:paraId="1E73AB96">
      <w:pPr>
        <w:spacing w:line="640" w:lineRule="exact"/>
        <w:ind w:firstLine="640"/>
        <w:jc w:val="both"/>
        <w:outlineLvl w:val="2"/>
      </w:pPr>
      <w:r>
        <w:rPr>
          <w:rFonts w:ascii="黑体" w:hAnsi="黑体" w:eastAsia="黑体"/>
          <w:sz w:val="32"/>
        </w:rPr>
        <w:t>六、一般公共预算财政拨款基本支出决算情况说明</w:t>
      </w:r>
    </w:p>
    <w:p w14:paraId="7418FE75">
      <w:pPr>
        <w:spacing w:line="580" w:lineRule="exact"/>
        <w:ind w:firstLine="640"/>
        <w:jc w:val="both"/>
      </w:pPr>
      <w:r>
        <w:rPr>
          <w:rFonts w:ascii="仿宋_GB2312" w:hAnsi="仿宋_GB2312" w:eastAsia="仿宋_GB2312"/>
          <w:b w:val="0"/>
          <w:sz w:val="32"/>
        </w:rPr>
        <w:t>2024年度一般公共预算财政拨款基本支出88.40万元，其中：</w:t>
      </w:r>
      <w:r>
        <w:rPr>
          <w:rFonts w:ascii="仿宋_GB2312" w:hAnsi="仿宋_GB2312" w:eastAsia="仿宋_GB2312"/>
          <w:b/>
          <w:sz w:val="32"/>
        </w:rPr>
        <w:t>人员经费87.19万元，</w:t>
      </w:r>
      <w:r>
        <w:rPr>
          <w:rFonts w:ascii="仿宋_GB2312" w:hAnsi="仿宋_GB2312" w:eastAsia="仿宋_GB2312"/>
          <w:b w:val="0"/>
          <w:sz w:val="32"/>
        </w:rPr>
        <w:t>包括：基本工资、津贴补贴、奖金、机关事业单位基本养老保险缴费、职工基本医疗保险缴费、其他社会保障缴费、住房公积金、奖励金。</w:t>
      </w:r>
    </w:p>
    <w:p w14:paraId="4B8FBFC3">
      <w:pPr>
        <w:spacing w:line="580" w:lineRule="exact"/>
        <w:ind w:firstLine="640"/>
        <w:jc w:val="both"/>
      </w:pPr>
      <w:r>
        <w:rPr>
          <w:rFonts w:ascii="仿宋_GB2312" w:hAnsi="仿宋_GB2312" w:eastAsia="仿宋_GB2312"/>
          <w:b/>
          <w:sz w:val="32"/>
        </w:rPr>
        <w:t>公用经费1.21万元，</w:t>
      </w:r>
      <w:r>
        <w:rPr>
          <w:rFonts w:ascii="仿宋_GB2312" w:hAnsi="仿宋_GB2312" w:eastAsia="仿宋_GB2312"/>
          <w:b w:val="0"/>
          <w:sz w:val="32"/>
        </w:rPr>
        <w:t>包括：办公费、印刷费、差旅费、工会经费、福利费、其他商品和服务支出。</w:t>
      </w:r>
    </w:p>
    <w:p w14:paraId="573FE8A1">
      <w:pPr>
        <w:spacing w:line="640" w:lineRule="exact"/>
        <w:ind w:firstLine="640"/>
        <w:jc w:val="both"/>
        <w:outlineLvl w:val="2"/>
      </w:pPr>
      <w:r>
        <w:rPr>
          <w:rFonts w:ascii="黑体" w:hAnsi="黑体" w:eastAsia="黑体"/>
          <w:sz w:val="32"/>
        </w:rPr>
        <w:t>七、政府性基金预算财政拨款收入支出决算情况说明</w:t>
      </w:r>
    </w:p>
    <w:p w14:paraId="0289E8C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951281E">
      <w:pPr>
        <w:spacing w:line="640" w:lineRule="exact"/>
        <w:ind w:firstLine="640"/>
        <w:jc w:val="both"/>
        <w:outlineLvl w:val="2"/>
      </w:pPr>
      <w:r>
        <w:rPr>
          <w:rFonts w:ascii="黑体" w:hAnsi="黑体" w:eastAsia="黑体"/>
          <w:sz w:val="32"/>
        </w:rPr>
        <w:t>八、国有资本经营预算财政拨款收入支出决算情况说明</w:t>
      </w:r>
    </w:p>
    <w:p w14:paraId="2CCBD1B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0121815">
      <w:pPr>
        <w:spacing w:line="640" w:lineRule="exact"/>
        <w:ind w:firstLine="640"/>
        <w:jc w:val="both"/>
        <w:outlineLvl w:val="2"/>
      </w:pPr>
      <w:r>
        <w:rPr>
          <w:rFonts w:ascii="黑体" w:hAnsi="黑体" w:eastAsia="黑体"/>
          <w:sz w:val="32"/>
        </w:rPr>
        <w:t>九、财政拨款“三公”经费支出决算情况说明</w:t>
      </w:r>
    </w:p>
    <w:p w14:paraId="1858F18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A301B44">
      <w:pPr>
        <w:spacing w:line="580" w:lineRule="exact"/>
        <w:ind w:firstLine="640"/>
        <w:jc w:val="both"/>
      </w:pPr>
      <w:r>
        <w:rPr>
          <w:rFonts w:ascii="仿宋_GB2312" w:hAnsi="仿宋_GB2312" w:eastAsia="仿宋_GB2312"/>
          <w:b/>
          <w:sz w:val="32"/>
        </w:rPr>
        <w:t>具体情况如下：</w:t>
      </w:r>
    </w:p>
    <w:p w14:paraId="00FEA9C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53B43D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90B10C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7F1A9D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BC7958D">
      <w:pPr>
        <w:spacing w:line="640" w:lineRule="exact"/>
        <w:ind w:firstLine="640"/>
        <w:jc w:val="both"/>
        <w:outlineLvl w:val="2"/>
      </w:pPr>
      <w:r>
        <w:rPr>
          <w:rFonts w:ascii="黑体" w:hAnsi="黑体" w:eastAsia="黑体"/>
          <w:sz w:val="32"/>
        </w:rPr>
        <w:t>十、其他重要事项的情况说明</w:t>
      </w:r>
    </w:p>
    <w:p w14:paraId="1D2D321E">
      <w:pPr>
        <w:spacing w:line="640" w:lineRule="exact"/>
        <w:ind w:firstLine="640"/>
        <w:jc w:val="both"/>
        <w:outlineLvl w:val="3"/>
      </w:pPr>
      <w:r>
        <w:rPr>
          <w:rFonts w:ascii="楷体_GB2312" w:hAnsi="楷体_GB2312" w:eastAsia="楷体_GB2312"/>
          <w:b/>
          <w:sz w:val="32"/>
        </w:rPr>
        <w:t>（一）机关运行经费及公用经费支出情况</w:t>
      </w:r>
    </w:p>
    <w:p w14:paraId="0E291C09">
      <w:pPr>
        <w:spacing w:line="580" w:lineRule="exact"/>
        <w:ind w:firstLine="640"/>
        <w:jc w:val="both"/>
      </w:pPr>
      <w:r>
        <w:rPr>
          <w:rFonts w:ascii="仿宋_GB2312" w:hAnsi="仿宋_GB2312" w:eastAsia="仿宋_GB2312"/>
          <w:b w:val="0"/>
          <w:sz w:val="32"/>
        </w:rPr>
        <w:t>2024年度新疆伊斯兰教经学院克孜勒苏分院（事业单位）公用经费支出1.21万元，比上年减少9.78万元，下降88.99%，主要原因是：</w:t>
      </w:r>
      <w:r>
        <w:rPr>
          <w:rFonts w:hint="eastAsia" w:ascii="仿宋_GB2312" w:hAnsi="仿宋_GB2312" w:eastAsia="仿宋_GB2312"/>
          <w:b w:val="0"/>
          <w:sz w:val="32"/>
          <w:lang w:val="en-US" w:eastAsia="zh-CN"/>
        </w:rPr>
        <w:t>本年减少取暖费支出，导致公用经费支出减少</w:t>
      </w:r>
      <w:r>
        <w:rPr>
          <w:rFonts w:ascii="仿宋_GB2312" w:hAnsi="仿宋_GB2312" w:eastAsia="仿宋_GB2312"/>
          <w:b w:val="0"/>
          <w:sz w:val="32"/>
        </w:rPr>
        <w:t>。</w:t>
      </w:r>
    </w:p>
    <w:p w14:paraId="4EF043A9">
      <w:pPr>
        <w:spacing w:line="640" w:lineRule="exact"/>
        <w:ind w:firstLine="640"/>
        <w:jc w:val="both"/>
        <w:outlineLvl w:val="3"/>
      </w:pPr>
      <w:r>
        <w:rPr>
          <w:rFonts w:ascii="楷体_GB2312" w:hAnsi="楷体_GB2312" w:eastAsia="楷体_GB2312"/>
          <w:b/>
          <w:sz w:val="32"/>
        </w:rPr>
        <w:t>（二）政府采购情况</w:t>
      </w:r>
    </w:p>
    <w:p w14:paraId="74485477">
      <w:pPr>
        <w:spacing w:line="580" w:lineRule="exact"/>
        <w:ind w:firstLine="640"/>
        <w:jc w:val="both"/>
      </w:pPr>
      <w:r>
        <w:rPr>
          <w:rFonts w:ascii="仿宋_GB2312" w:hAnsi="仿宋_GB2312" w:eastAsia="仿宋_GB2312"/>
          <w:b w:val="0"/>
          <w:sz w:val="32"/>
        </w:rPr>
        <w:t>2024年度政府采购支出总额28.48万元，其中：政府采购货物支出27.38万元、政府采购工程支出0.00万元、政府采购服务支出1.10万元。</w:t>
      </w:r>
    </w:p>
    <w:p w14:paraId="1EF3CAE1">
      <w:pPr>
        <w:spacing w:line="580" w:lineRule="exact"/>
        <w:ind w:firstLine="640"/>
        <w:jc w:val="both"/>
      </w:pPr>
      <w:r>
        <w:rPr>
          <w:rFonts w:ascii="仿宋_GB2312" w:hAnsi="仿宋_GB2312" w:eastAsia="仿宋_GB2312"/>
          <w:b w:val="0"/>
          <w:sz w:val="32"/>
        </w:rPr>
        <w:t>授予中小企业合同金额28.48万元，占政府采购支出总额的100.00%，其中：授予小微企业合同金额28.48万元，占政府采购支出总额的100.00%。</w:t>
      </w:r>
    </w:p>
    <w:p w14:paraId="5795D559">
      <w:pPr>
        <w:spacing w:line="640" w:lineRule="exact"/>
        <w:ind w:firstLine="640"/>
        <w:jc w:val="both"/>
        <w:outlineLvl w:val="3"/>
      </w:pPr>
      <w:r>
        <w:rPr>
          <w:rFonts w:ascii="楷体_GB2312" w:hAnsi="楷体_GB2312" w:eastAsia="楷体_GB2312"/>
          <w:b/>
          <w:sz w:val="32"/>
        </w:rPr>
        <w:t>（三）国有资产占用情况说明</w:t>
      </w:r>
    </w:p>
    <w:p w14:paraId="0D2D6BBC">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65C2F18">
      <w:pPr>
        <w:spacing w:line="640" w:lineRule="exact"/>
        <w:ind w:firstLine="640"/>
        <w:jc w:val="both"/>
        <w:outlineLvl w:val="2"/>
      </w:pPr>
      <w:r>
        <w:rPr>
          <w:rFonts w:ascii="黑体" w:hAnsi="黑体" w:eastAsia="黑体"/>
          <w:sz w:val="32"/>
        </w:rPr>
        <w:t>十一、预算绩效的情况说明</w:t>
      </w:r>
    </w:p>
    <w:p w14:paraId="3C1B1D6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w:t>
      </w:r>
      <w:r>
        <w:rPr>
          <w:rFonts w:hint="eastAsia" w:ascii="仿宋_GB2312" w:hAnsi="仿宋_GB2312" w:eastAsia="仿宋_GB2312"/>
          <w:b w:val="0"/>
          <w:sz w:val="32"/>
          <w:lang w:val="en-US" w:eastAsia="zh-CN"/>
        </w:rPr>
        <w:t>149.98</w:t>
      </w:r>
      <w:r>
        <w:rPr>
          <w:rFonts w:ascii="仿宋_GB2312" w:hAnsi="仿宋_GB2312" w:eastAsia="仿宋_GB2312"/>
          <w:b w:val="0"/>
          <w:sz w:val="32"/>
        </w:rPr>
        <w:t>万元，实际执行总额</w:t>
      </w:r>
      <w:r>
        <w:rPr>
          <w:rFonts w:hint="eastAsia" w:ascii="仿宋_GB2312" w:hAnsi="仿宋_GB2312" w:eastAsia="仿宋_GB2312"/>
          <w:b w:val="0"/>
          <w:sz w:val="32"/>
          <w:lang w:val="en-US" w:eastAsia="zh-CN"/>
        </w:rPr>
        <w:t>108.36</w:t>
      </w:r>
      <w:r>
        <w:rPr>
          <w:rFonts w:ascii="仿宋_GB2312" w:hAnsi="仿宋_GB2312" w:eastAsia="仿宋_GB2312"/>
          <w:b w:val="0"/>
          <w:sz w:val="32"/>
        </w:rPr>
        <w:t>万元；预算绩效评价项目0个，全年预算数0.00万元，全年执行数0.00万元。预算绩效管理取得的成效：</w:t>
      </w:r>
      <w:r>
        <w:rPr>
          <w:rFonts w:hint="eastAsia" w:ascii="仿宋_GB2312" w:hAnsi="仿宋_GB2312" w:eastAsia="仿宋_GB2312"/>
          <w:b w:val="0"/>
          <w:sz w:val="32"/>
          <w:lang w:val="en-US" w:eastAsia="zh-CN"/>
        </w:rPr>
        <w:t>本</w:t>
      </w:r>
      <w:r>
        <w:rPr>
          <w:rFonts w:ascii="仿宋_GB2312" w:hAnsi="仿宋_GB2312" w:eastAsia="仿宋_GB2312"/>
          <w:b w:val="0"/>
          <w:sz w:val="32"/>
        </w:rPr>
        <w:t>单位无绩效自评项目。发现的问题及原因：</w:t>
      </w:r>
      <w:r>
        <w:rPr>
          <w:rFonts w:hint="eastAsia" w:ascii="仿宋_GB2312" w:hAnsi="仿宋_GB2312" w:eastAsia="仿宋_GB2312"/>
          <w:b w:val="0"/>
          <w:sz w:val="32"/>
          <w:lang w:val="en-US" w:eastAsia="zh-CN"/>
        </w:rPr>
        <w:t>本</w:t>
      </w:r>
      <w:r>
        <w:rPr>
          <w:rFonts w:ascii="仿宋_GB2312" w:hAnsi="仿宋_GB2312" w:eastAsia="仿宋_GB2312"/>
          <w:b w:val="0"/>
          <w:sz w:val="32"/>
        </w:rPr>
        <w:t>单位无绩效自评项目。下一步改进措施：</w:t>
      </w:r>
      <w:r>
        <w:rPr>
          <w:rFonts w:hint="eastAsia" w:ascii="仿宋_GB2312" w:hAnsi="仿宋_GB2312" w:eastAsia="仿宋_GB2312"/>
          <w:b w:val="0"/>
          <w:sz w:val="32"/>
          <w:lang w:val="en-US" w:eastAsia="zh-CN"/>
        </w:rPr>
        <w:t>本</w:t>
      </w:r>
      <w:r>
        <w:rPr>
          <w:rFonts w:ascii="仿宋_GB2312" w:hAnsi="仿宋_GB2312" w:eastAsia="仿宋_GB2312"/>
          <w:b w:val="0"/>
          <w:sz w:val="32"/>
        </w:rPr>
        <w:t>单位无绩效自评项目。</w:t>
      </w:r>
    </w:p>
    <w:p w14:paraId="6B7639CF">
      <w:r>
        <w:br w:type="page"/>
      </w:r>
    </w:p>
    <w:p w14:paraId="0B667E4C">
      <w:pPr>
        <w:spacing w:line="640" w:lineRule="exact"/>
        <w:ind w:firstLine="640"/>
        <w:jc w:val="both"/>
        <w:outlineLvl w:val="2"/>
      </w:pPr>
      <w:r>
        <w:rPr>
          <w:rFonts w:ascii="黑体" w:hAnsi="黑体" w:eastAsia="黑体"/>
          <w:sz w:val="32"/>
        </w:rPr>
        <w:t>十二、其他需说明的事项</w:t>
      </w:r>
    </w:p>
    <w:p w14:paraId="0B620F5C">
      <w:pPr>
        <w:spacing w:line="580" w:lineRule="exact"/>
        <w:ind w:firstLine="640"/>
        <w:jc w:val="both"/>
      </w:pPr>
      <w:r>
        <w:rPr>
          <w:rFonts w:ascii="仿宋_GB2312" w:hAnsi="仿宋_GB2312" w:eastAsia="仿宋_GB2312"/>
          <w:b w:val="0"/>
          <w:sz w:val="32"/>
        </w:rPr>
        <w:t>本年度本单位整体绩效自评表不予公开。</w:t>
      </w:r>
    </w:p>
    <w:p w14:paraId="22AF78A3">
      <w:r>
        <w:br w:type="page"/>
      </w:r>
    </w:p>
    <w:p w14:paraId="3E2683FB">
      <w:pPr>
        <w:spacing w:line="240" w:lineRule="auto"/>
        <w:jc w:val="center"/>
        <w:outlineLvl w:val="1"/>
      </w:pPr>
      <w:r>
        <w:rPr>
          <w:rFonts w:ascii="黑体" w:hAnsi="黑体" w:eastAsia="黑体"/>
          <w:sz w:val="32"/>
        </w:rPr>
        <w:t>第三部分 专业名词解释</w:t>
      </w:r>
    </w:p>
    <w:p w14:paraId="36CD13E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F0AF92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3CAECF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A99182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83127A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B2515D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109811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1005CE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86173D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06FC54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BDD204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C246F3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E93F10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3C00CA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058DBFA">
      <w:r>
        <w:br w:type="page"/>
      </w:r>
    </w:p>
    <w:p w14:paraId="1B0303DA">
      <w:pPr>
        <w:spacing w:line="240" w:lineRule="auto"/>
        <w:jc w:val="center"/>
        <w:outlineLvl w:val="1"/>
      </w:pPr>
      <w:r>
        <w:rPr>
          <w:rFonts w:ascii="黑体" w:hAnsi="黑体" w:eastAsia="黑体"/>
          <w:sz w:val="32"/>
        </w:rPr>
        <w:t>第四部分 部门决算报表（见附表）</w:t>
      </w:r>
    </w:p>
    <w:p w14:paraId="24C6B327">
      <w:pPr>
        <w:spacing w:line="240" w:lineRule="auto"/>
        <w:ind w:firstLine="640"/>
        <w:jc w:val="both"/>
      </w:pPr>
      <w:r>
        <w:rPr>
          <w:rFonts w:ascii="仿宋_GB2312" w:hAnsi="仿宋_GB2312" w:eastAsia="仿宋_GB2312"/>
          <w:b w:val="0"/>
          <w:sz w:val="32"/>
        </w:rPr>
        <w:t>一、《收入支出决算总表》</w:t>
      </w:r>
    </w:p>
    <w:p w14:paraId="7F1872E2">
      <w:pPr>
        <w:spacing w:line="240" w:lineRule="auto"/>
        <w:ind w:firstLine="640"/>
        <w:jc w:val="both"/>
      </w:pPr>
      <w:r>
        <w:rPr>
          <w:rFonts w:ascii="仿宋_GB2312" w:hAnsi="仿宋_GB2312" w:eastAsia="仿宋_GB2312"/>
          <w:b w:val="0"/>
          <w:sz w:val="32"/>
        </w:rPr>
        <w:t>二、《收入决算表》</w:t>
      </w:r>
    </w:p>
    <w:p w14:paraId="0F524A11">
      <w:pPr>
        <w:spacing w:line="240" w:lineRule="auto"/>
        <w:ind w:firstLine="640"/>
        <w:jc w:val="both"/>
      </w:pPr>
      <w:r>
        <w:rPr>
          <w:rFonts w:ascii="仿宋_GB2312" w:hAnsi="仿宋_GB2312" w:eastAsia="仿宋_GB2312"/>
          <w:b w:val="0"/>
          <w:sz w:val="32"/>
        </w:rPr>
        <w:t>三、《支出决算表》</w:t>
      </w:r>
    </w:p>
    <w:p w14:paraId="4B25CA8C">
      <w:pPr>
        <w:spacing w:line="240" w:lineRule="auto"/>
        <w:ind w:firstLine="640"/>
        <w:jc w:val="both"/>
      </w:pPr>
      <w:r>
        <w:rPr>
          <w:rFonts w:ascii="仿宋_GB2312" w:hAnsi="仿宋_GB2312" w:eastAsia="仿宋_GB2312"/>
          <w:b w:val="0"/>
          <w:sz w:val="32"/>
        </w:rPr>
        <w:t>四、《财政拨款收入支出决算总表》</w:t>
      </w:r>
    </w:p>
    <w:p w14:paraId="31D47077">
      <w:pPr>
        <w:spacing w:line="240" w:lineRule="auto"/>
        <w:ind w:firstLine="640"/>
        <w:jc w:val="both"/>
      </w:pPr>
      <w:r>
        <w:rPr>
          <w:rFonts w:ascii="仿宋_GB2312" w:hAnsi="仿宋_GB2312" w:eastAsia="仿宋_GB2312"/>
          <w:b w:val="0"/>
          <w:sz w:val="32"/>
        </w:rPr>
        <w:t>五、《一般公共预算财政拨款支出决算表》</w:t>
      </w:r>
    </w:p>
    <w:p w14:paraId="7B5D4DAA">
      <w:pPr>
        <w:spacing w:line="240" w:lineRule="auto"/>
        <w:ind w:firstLine="640"/>
        <w:jc w:val="both"/>
      </w:pPr>
      <w:r>
        <w:rPr>
          <w:rFonts w:ascii="仿宋_GB2312" w:hAnsi="仿宋_GB2312" w:eastAsia="仿宋_GB2312"/>
          <w:b w:val="0"/>
          <w:sz w:val="32"/>
        </w:rPr>
        <w:t>六、《一般公共预算财政拨款基本支出决算表》</w:t>
      </w:r>
    </w:p>
    <w:p w14:paraId="16FE9AE5">
      <w:pPr>
        <w:spacing w:line="240" w:lineRule="auto"/>
        <w:ind w:firstLine="640"/>
        <w:jc w:val="both"/>
      </w:pPr>
      <w:r>
        <w:rPr>
          <w:rFonts w:ascii="仿宋_GB2312" w:hAnsi="仿宋_GB2312" w:eastAsia="仿宋_GB2312"/>
          <w:b w:val="0"/>
          <w:sz w:val="32"/>
        </w:rPr>
        <w:t>七、《政府性基金预算财政拨款收入支出决算表》</w:t>
      </w:r>
    </w:p>
    <w:p w14:paraId="45D602BC">
      <w:pPr>
        <w:spacing w:line="240" w:lineRule="auto"/>
        <w:ind w:firstLine="640"/>
        <w:jc w:val="both"/>
      </w:pPr>
      <w:r>
        <w:rPr>
          <w:rFonts w:ascii="仿宋_GB2312" w:hAnsi="仿宋_GB2312" w:eastAsia="仿宋_GB2312"/>
          <w:b w:val="0"/>
          <w:sz w:val="32"/>
        </w:rPr>
        <w:t>八、《国有资本经营预算财政拨款收入支出决算表》</w:t>
      </w:r>
    </w:p>
    <w:p w14:paraId="210ADCE5">
      <w:pPr>
        <w:spacing w:line="240" w:lineRule="auto"/>
        <w:ind w:firstLine="640"/>
        <w:jc w:val="both"/>
      </w:pPr>
      <w:r>
        <w:rPr>
          <w:rFonts w:ascii="仿宋_GB2312" w:hAnsi="仿宋_GB2312" w:eastAsia="仿宋_GB2312"/>
          <w:b w:val="0"/>
          <w:sz w:val="32"/>
        </w:rPr>
        <w:t>九、《财政拨款“三公”经费支出决算表》</w:t>
      </w:r>
    </w:p>
    <w:p w14:paraId="2E31261F">
      <w:pPr>
        <w:spacing w:line="240" w:lineRule="auto"/>
        <w:ind w:firstLine="640"/>
        <w:jc w:val="both"/>
      </w:pPr>
    </w:p>
    <w:p w14:paraId="14F83A1C">
      <w:pPr>
        <w:spacing w:line="240" w:lineRule="auto"/>
        <w:ind w:firstLine="640"/>
        <w:jc w:val="both"/>
      </w:pPr>
    </w:p>
    <w:p w14:paraId="39520913">
      <w:pPr>
        <w:spacing w:line="240" w:lineRule="auto"/>
        <w:ind w:firstLine="640"/>
        <w:jc w:val="both"/>
      </w:pPr>
    </w:p>
    <w:p w14:paraId="2DBA5B3E">
      <w:pPr>
        <w:spacing w:line="240" w:lineRule="auto"/>
        <w:ind w:firstLine="640"/>
        <w:jc w:val="both"/>
      </w:pPr>
    </w:p>
    <w:p w14:paraId="2DA7387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0183A7-7C4E-4F40-A945-083049F4A21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79001BB-EBB9-4ADF-BD85-AECA4BF4D5AE}"/>
  </w:font>
  <w:font w:name="仿宋_GB2312">
    <w:panose1 w:val="02010609030101010101"/>
    <w:charset w:val="86"/>
    <w:family w:val="modern"/>
    <w:pitch w:val="default"/>
    <w:sig w:usb0="00000001" w:usb1="080E0000" w:usb2="00000000" w:usb3="00000000" w:csb0="00040000" w:csb1="00000000"/>
    <w:embedRegular r:id="rId3" w:fontKey="{D5BE391B-9558-42DF-BF17-DAE860BC1283}"/>
  </w:font>
  <w:font w:name="楷体_GB2312">
    <w:panose1 w:val="02010609030101010101"/>
    <w:charset w:val="86"/>
    <w:family w:val="auto"/>
    <w:pitch w:val="default"/>
    <w:sig w:usb0="00000001" w:usb1="080E0000" w:usb2="00000000" w:usb3="00000000" w:csb0="00040000" w:csb1="00000000"/>
    <w:embedRegular r:id="rId4" w:fontKey="{28EA5777-97DB-4D27-AEB3-2516FF0FB43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BC867B0"/>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AA6B21"/>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4442</Words>
  <Characters>4955</Characters>
  <Lines>0</Lines>
  <Paragraphs>0</Paragraphs>
  <TotalTime>1</TotalTime>
  <ScaleCrop>false</ScaleCrop>
  <LinksUpToDate>false</LinksUpToDate>
  <CharactersWithSpaces>4965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2025-09-02T04:23:35Z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eyJoZGlkIjoiZTEwMTFjZmI3NWUwMGRmYWEyNzFiMzQ2OTlkZWE5ODAiLCJ1c2VySWQiOiI0MzE2NzY3NzkifQ==</vt:lpwstr>
  </property>
</Properties>
</file>