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克孜勒苏柯尔克孜自治州交通运输综合行政执法局2024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154D03D">
      <w:r>
        <w:br w:type="page"/>
      </w:r>
    </w:p>
    <w:p w14:paraId="2DA33AC2">
      <w:pPr>
        <w:spacing w:line="640" w:lineRule="exact"/>
        <w:jc w:val="center"/>
        <w:outlineLvl w:val="1"/>
      </w:pPr>
      <w:r>
        <w:rPr>
          <w:rFonts w:ascii="黑体" w:hAnsi="黑体" w:eastAsia="黑体"/>
          <w:sz w:val="32"/>
        </w:rPr>
        <w:t>第一部分 单位概况</w:t>
      </w:r>
    </w:p>
    <w:p w14:paraId="76BA40D6">
      <w:pPr>
        <w:spacing w:line="640" w:lineRule="exact"/>
        <w:ind w:firstLine="640"/>
        <w:jc w:val="both"/>
        <w:outlineLvl w:val="2"/>
      </w:pPr>
      <w:r>
        <w:rPr>
          <w:rFonts w:ascii="黑体" w:hAnsi="黑体" w:eastAsia="黑体"/>
          <w:sz w:val="32"/>
        </w:rPr>
        <w:t>一、主要职能</w:t>
      </w:r>
    </w:p>
    <w:p w14:paraId="4EC75D2C">
      <w:pPr>
        <w:spacing w:line="580" w:lineRule="exact"/>
        <w:ind w:firstLine="640"/>
        <w:jc w:val="both"/>
      </w:pPr>
      <w:r>
        <w:rPr>
          <w:rFonts w:ascii="仿宋_GB2312" w:hAnsi="仿宋_GB2312" w:eastAsia="仿宋_GB2312"/>
          <w:sz w:val="32"/>
        </w:rPr>
        <w:t>（1）贯彻执行国家、自治区及自治州有关交通运输工作的方针、政策和法律、法规。</w:t>
      </w:r>
    </w:p>
    <w:p w14:paraId="2460633A">
      <w:pPr>
        <w:spacing w:line="580" w:lineRule="exact"/>
        <w:ind w:firstLine="640"/>
        <w:jc w:val="both"/>
      </w:pPr>
      <w:r>
        <w:rPr>
          <w:rFonts w:ascii="仿宋_GB2312" w:hAnsi="仿宋_GB2312" w:eastAsia="仿宋_GB2312"/>
          <w:sz w:val="32"/>
        </w:rPr>
        <w:t>（2）负责职责范围内的道路运输经营、地方海事、农村公路路政等方面的行政执法工作。</w:t>
      </w:r>
    </w:p>
    <w:p w14:paraId="6C048376">
      <w:pPr>
        <w:spacing w:line="580" w:lineRule="exact"/>
        <w:ind w:firstLine="640"/>
        <w:jc w:val="both"/>
      </w:pPr>
      <w:r>
        <w:rPr>
          <w:rFonts w:ascii="仿宋_GB2312" w:hAnsi="仿宋_GB2312" w:eastAsia="仿宋_GB2312"/>
          <w:sz w:val="32"/>
        </w:rPr>
        <w:t>（3）负责对职责范围内公民、法人或者其他组织遵守交通行政管理法律、法规、规章的情况进行监督检查，受理投诉举报，依法纠正和查处违法违规行为。</w:t>
      </w:r>
    </w:p>
    <w:p w14:paraId="35795A2D">
      <w:pPr>
        <w:spacing w:line="580" w:lineRule="exact"/>
        <w:ind w:firstLine="640"/>
        <w:jc w:val="both"/>
      </w:pPr>
      <w:r>
        <w:rPr>
          <w:rFonts w:ascii="仿宋_GB2312" w:hAnsi="仿宋_GB2312" w:eastAsia="仿宋_GB2312"/>
          <w:sz w:val="32"/>
        </w:rPr>
        <w:t>（4）承担公路工程质量监督行政执法工作，参与公路工程质量事故的调查处理。</w:t>
      </w:r>
    </w:p>
    <w:p w14:paraId="0C95E9B8">
      <w:pPr>
        <w:spacing w:line="580" w:lineRule="exact"/>
        <w:ind w:firstLine="640"/>
        <w:jc w:val="both"/>
      </w:pPr>
      <w:r>
        <w:rPr>
          <w:rFonts w:ascii="仿宋_GB2312" w:hAnsi="仿宋_GB2312" w:eastAsia="仿宋_GB2312"/>
          <w:sz w:val="32"/>
        </w:rPr>
        <w:t>（5）统筹组织、指挥协调全州交通运输行业的专项整治;负责组织查处跨区域、上级交办和具有重大影响的复杂案件。</w:t>
      </w:r>
    </w:p>
    <w:p w14:paraId="39D614FD">
      <w:pPr>
        <w:spacing w:line="580" w:lineRule="exact"/>
        <w:ind w:firstLine="640"/>
        <w:jc w:val="both"/>
      </w:pPr>
      <w:r>
        <w:rPr>
          <w:rFonts w:ascii="仿宋_GB2312" w:hAnsi="仿宋_GB2312" w:eastAsia="仿宋_GB2312"/>
          <w:sz w:val="32"/>
        </w:rPr>
        <w:t>（6）负责交通运输行业安全生产执法工作;参与交通运输安全事故调查和应急处置工作;参与保障国家重点物资道路运输、紧急客货运输、军事和抢险救灾物资等运输有关工作。</w:t>
      </w:r>
    </w:p>
    <w:p w14:paraId="453D4015">
      <w:pPr>
        <w:spacing w:line="580" w:lineRule="exact"/>
        <w:ind w:firstLine="640"/>
        <w:jc w:val="both"/>
      </w:pPr>
      <w:r>
        <w:rPr>
          <w:rFonts w:ascii="仿宋_GB2312" w:hAnsi="仿宋_GB2312" w:eastAsia="仿宋_GB2312"/>
          <w:sz w:val="32"/>
        </w:rPr>
        <w:t>（7）承担交通运输行政执法队伍的教育培训、考核、监督和行风建设工作;指导县(市)交通运输综合行政执法工作。</w:t>
      </w:r>
    </w:p>
    <w:p w14:paraId="22128EB7">
      <w:pPr>
        <w:spacing w:line="580" w:lineRule="exact"/>
        <w:ind w:firstLine="640"/>
        <w:jc w:val="both"/>
      </w:pPr>
      <w:r>
        <w:rPr>
          <w:rFonts w:ascii="仿宋_GB2312" w:hAnsi="仿宋_GB2312" w:eastAsia="仿宋_GB2312"/>
          <w:sz w:val="32"/>
        </w:rPr>
        <w:t>（8）依法履行法律法规赋予的其他职责。</w:t>
      </w:r>
    </w:p>
    <w:p w14:paraId="115EE74A">
      <w:pPr>
        <w:spacing w:line="640" w:lineRule="exact"/>
        <w:ind w:firstLine="640"/>
        <w:jc w:val="both"/>
        <w:outlineLvl w:val="2"/>
      </w:pPr>
      <w:r>
        <w:rPr>
          <w:rFonts w:ascii="黑体" w:hAnsi="黑体" w:eastAsia="黑体"/>
          <w:sz w:val="32"/>
        </w:rPr>
        <w:t>二、机构设置及人员情况</w:t>
      </w:r>
    </w:p>
    <w:p w14:paraId="6FA8FEA5">
      <w:pPr>
        <w:spacing w:line="580" w:lineRule="exact"/>
        <w:ind w:firstLine="640"/>
        <w:jc w:val="both"/>
      </w:pPr>
      <w:r>
        <w:rPr>
          <w:rFonts w:ascii="仿宋_GB2312" w:hAnsi="仿宋_GB2312" w:eastAsia="仿宋_GB2312"/>
          <w:sz w:val="32"/>
        </w:rPr>
        <w:t>克孜勒苏柯尔克孜自治州交通运输综合行政执法局2024年度，实有人数21人，其中：在职人员17人，减少1人；离休人员0人，增加0人；退休人员4人,增加2人。</w:t>
      </w:r>
    </w:p>
    <w:p w14:paraId="1DD9ABD6">
      <w:pPr>
        <w:spacing w:line="580" w:lineRule="exact"/>
        <w:ind w:firstLine="640"/>
        <w:jc w:val="both"/>
      </w:pPr>
      <w:r>
        <w:rPr>
          <w:rFonts w:ascii="仿宋_GB2312" w:hAnsi="仿宋_GB2312" w:eastAsia="仿宋_GB2312"/>
          <w:sz w:val="32"/>
        </w:rPr>
        <w:t>克孜勒苏柯尔克孜自治州交通运输综合行政执法局无下属预算单位，下设5个科室，分别是：综合科、科技信息科、法制督查科、执法协调科、工程质量监督科。</w:t>
      </w:r>
    </w:p>
    <w:p w14:paraId="4E1CD068">
      <w:r>
        <w:br w:type="page"/>
      </w:r>
    </w:p>
    <w:p w14:paraId="528C9FB1">
      <w:pPr>
        <w:spacing w:line="240" w:lineRule="auto"/>
        <w:jc w:val="center"/>
        <w:outlineLvl w:val="1"/>
      </w:pPr>
      <w:r>
        <w:rPr>
          <w:rFonts w:ascii="黑体" w:hAnsi="黑体" w:eastAsia="黑体"/>
          <w:sz w:val="32"/>
        </w:rPr>
        <w:t>第二部分 部门决算情况说明</w:t>
      </w:r>
    </w:p>
    <w:p w14:paraId="675F42BE">
      <w:pPr>
        <w:spacing w:line="640" w:lineRule="exact"/>
        <w:ind w:firstLine="640"/>
        <w:jc w:val="both"/>
        <w:outlineLvl w:val="2"/>
      </w:pPr>
      <w:r>
        <w:rPr>
          <w:rFonts w:ascii="黑体" w:hAnsi="黑体" w:eastAsia="黑体"/>
          <w:sz w:val="32"/>
        </w:rPr>
        <w:t>一、收入支出决算总体情况说明</w:t>
      </w:r>
    </w:p>
    <w:p w14:paraId="5731E67D">
      <w:pPr>
        <w:spacing w:line="580" w:lineRule="exact"/>
        <w:ind w:firstLine="640"/>
        <w:jc w:val="both"/>
      </w:pPr>
      <w:r>
        <w:rPr>
          <w:rFonts w:ascii="仿宋_GB2312" w:hAnsi="仿宋_GB2312" w:eastAsia="仿宋_GB2312"/>
          <w:b/>
          <w:sz w:val="32"/>
        </w:rPr>
        <w:t>2024年度收入总计392.77万元，</w:t>
      </w:r>
      <w:r>
        <w:rPr>
          <w:rFonts w:ascii="仿宋_GB2312" w:hAnsi="仿宋_GB2312" w:eastAsia="仿宋_GB2312"/>
          <w:b w:val="0"/>
          <w:sz w:val="32"/>
        </w:rPr>
        <w:t>其中：本年收入合计376.24万元，使用非财政拨款结余（含专用结余）0.00万元，年初结转和结余16.53万元。</w:t>
      </w:r>
    </w:p>
    <w:p w14:paraId="4087B38C">
      <w:pPr>
        <w:spacing w:line="580" w:lineRule="exact"/>
        <w:ind w:firstLine="640"/>
        <w:jc w:val="both"/>
      </w:pPr>
      <w:r>
        <w:rPr>
          <w:rFonts w:ascii="仿宋_GB2312" w:hAnsi="仿宋_GB2312" w:eastAsia="仿宋_GB2312"/>
          <w:b/>
          <w:sz w:val="32"/>
        </w:rPr>
        <w:t>2024年度支出总计392.77万元，</w:t>
      </w:r>
      <w:r>
        <w:rPr>
          <w:rFonts w:ascii="仿宋_GB2312" w:hAnsi="仿宋_GB2312" w:eastAsia="仿宋_GB2312"/>
          <w:b w:val="0"/>
          <w:sz w:val="32"/>
        </w:rPr>
        <w:t>其中：本年支出合计379.15万元，结余分配0.00万元，年末结转和结余13.61万元。</w:t>
      </w:r>
    </w:p>
    <w:p w14:paraId="1973A965">
      <w:pPr>
        <w:spacing w:line="580" w:lineRule="exact"/>
        <w:ind w:firstLine="640"/>
        <w:jc w:val="both"/>
      </w:pPr>
      <w:r>
        <w:rPr>
          <w:rFonts w:ascii="仿宋_GB2312" w:hAnsi="仿宋_GB2312" w:eastAsia="仿宋_GB2312"/>
          <w:b w:val="0"/>
          <w:sz w:val="32"/>
        </w:rPr>
        <w:t>收入支出总体与上年相比，减少92.26万元，下降19.02%，主要原因是：本年减少为民办实事经费，减少免费发放票证成本核销资金。</w:t>
      </w:r>
    </w:p>
    <w:p w14:paraId="1F196378">
      <w:pPr>
        <w:spacing w:line="640" w:lineRule="exact"/>
        <w:ind w:firstLine="640"/>
        <w:jc w:val="both"/>
        <w:outlineLvl w:val="2"/>
      </w:pPr>
      <w:r>
        <w:rPr>
          <w:rFonts w:ascii="黑体" w:hAnsi="黑体" w:eastAsia="黑体"/>
          <w:sz w:val="32"/>
        </w:rPr>
        <w:t>二、收入决算情况说明</w:t>
      </w:r>
    </w:p>
    <w:p w14:paraId="72990055">
      <w:pPr>
        <w:spacing w:line="580" w:lineRule="exact"/>
        <w:ind w:firstLine="640"/>
        <w:jc w:val="both"/>
      </w:pPr>
      <w:r>
        <w:rPr>
          <w:rFonts w:ascii="仿宋_GB2312" w:hAnsi="仿宋_GB2312" w:eastAsia="仿宋_GB2312"/>
          <w:b/>
          <w:sz w:val="32"/>
        </w:rPr>
        <w:t>本年收入376.24万元，</w:t>
      </w:r>
      <w:r>
        <w:rPr>
          <w:rFonts w:ascii="仿宋_GB2312" w:hAnsi="仿宋_GB2312" w:eastAsia="仿宋_GB2312"/>
          <w:b w:val="0"/>
          <w:sz w:val="32"/>
        </w:rPr>
        <w:t>其中：财政拨款收入369.25万元，占98.14%；上级补助收入0.00万元，占0.00%；事业收入0.00万元，占0.00%；经营收入0.00万元，占0.00%；附属单位上缴收入0.00万元，占0.00%；其他收入6.99万元，占1.86%。</w:t>
      </w:r>
    </w:p>
    <w:p w14:paraId="32789D87">
      <w:pPr>
        <w:spacing w:line="640" w:lineRule="exact"/>
        <w:ind w:firstLine="640"/>
        <w:jc w:val="both"/>
        <w:outlineLvl w:val="2"/>
      </w:pPr>
      <w:r>
        <w:rPr>
          <w:rFonts w:ascii="黑体" w:hAnsi="黑体" w:eastAsia="黑体"/>
          <w:sz w:val="32"/>
        </w:rPr>
        <w:t>三、支出决算情况说明</w:t>
      </w:r>
    </w:p>
    <w:p w14:paraId="526D5FB5">
      <w:pPr>
        <w:spacing w:line="580" w:lineRule="exact"/>
        <w:ind w:firstLine="640"/>
        <w:jc w:val="both"/>
      </w:pPr>
      <w:r>
        <w:rPr>
          <w:rFonts w:ascii="仿宋_GB2312" w:hAnsi="仿宋_GB2312" w:eastAsia="仿宋_GB2312"/>
          <w:b/>
          <w:sz w:val="32"/>
        </w:rPr>
        <w:t>本年支出379.15万元，</w:t>
      </w:r>
      <w:r>
        <w:rPr>
          <w:rFonts w:ascii="仿宋_GB2312" w:hAnsi="仿宋_GB2312" w:eastAsia="仿宋_GB2312"/>
          <w:b w:val="0"/>
          <w:sz w:val="32"/>
        </w:rPr>
        <w:t>其中：基本支出347.93万元，占91.77%；项目支出31.22万元，占8.23%；上缴上级支出0.00万元，占0.00%；经营支出0.00万元，占0.00%；对附属单位补助支出0.00万元，占0.00%。</w:t>
      </w:r>
    </w:p>
    <w:p w14:paraId="7BBE10B1">
      <w:pPr>
        <w:spacing w:line="640" w:lineRule="exact"/>
        <w:ind w:firstLine="640"/>
        <w:jc w:val="both"/>
        <w:outlineLvl w:val="2"/>
      </w:pPr>
      <w:r>
        <w:rPr>
          <w:rFonts w:ascii="黑体" w:hAnsi="黑体" w:eastAsia="黑体"/>
          <w:sz w:val="32"/>
        </w:rPr>
        <w:t>四、财政拨款收入支出决算总体情况说明</w:t>
      </w:r>
    </w:p>
    <w:p w14:paraId="67F111DA">
      <w:pPr>
        <w:spacing w:line="580" w:lineRule="exact"/>
        <w:ind w:firstLine="640"/>
        <w:jc w:val="both"/>
      </w:pPr>
      <w:r>
        <w:rPr>
          <w:rFonts w:ascii="仿宋_GB2312" w:hAnsi="仿宋_GB2312" w:eastAsia="仿宋_GB2312"/>
          <w:b/>
          <w:sz w:val="32"/>
        </w:rPr>
        <w:t>2024年度财政拨款收入总计369.25万元，</w:t>
      </w:r>
      <w:r>
        <w:rPr>
          <w:rFonts w:ascii="仿宋_GB2312" w:hAnsi="仿宋_GB2312" w:eastAsia="仿宋_GB2312"/>
          <w:b w:val="0"/>
          <w:sz w:val="32"/>
        </w:rPr>
        <w:t>其中：年初财政拨款结转和结余0.00万元，本年财政拨款收入369.25万元。</w:t>
      </w:r>
      <w:r>
        <w:rPr>
          <w:rFonts w:ascii="仿宋_GB2312" w:hAnsi="仿宋_GB2312" w:eastAsia="仿宋_GB2312"/>
          <w:b/>
          <w:sz w:val="32"/>
        </w:rPr>
        <w:t>财政拨款支出总计369.25万元，</w:t>
      </w:r>
      <w:r>
        <w:rPr>
          <w:rFonts w:ascii="仿宋_GB2312" w:hAnsi="仿宋_GB2312" w:eastAsia="仿宋_GB2312"/>
          <w:b w:val="0"/>
          <w:sz w:val="32"/>
        </w:rPr>
        <w:t>其中：年末财政拨款结转和结余0.00万元，本年财政拨款支出369.25万元。</w:t>
      </w:r>
    </w:p>
    <w:p w14:paraId="1CAA64E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减少39.46万元，下降9.65%，主要原因是：本年在职人员减少，人员经费减少；减少为民办实事经费。</w:t>
      </w:r>
      <w:r>
        <w:rPr>
          <w:rFonts w:ascii="仿宋_GB2312" w:hAnsi="仿宋_GB2312" w:eastAsia="仿宋_GB2312"/>
          <w:b/>
          <w:sz w:val="32"/>
        </w:rPr>
        <w:t>与年初预算相比，</w:t>
      </w:r>
      <w:r>
        <w:rPr>
          <w:rFonts w:ascii="仿宋_GB2312" w:hAnsi="仿宋_GB2312" w:eastAsia="仿宋_GB2312"/>
          <w:b w:val="0"/>
          <w:sz w:val="32"/>
        </w:rPr>
        <w:t>年初预算数403.92万元，决算数369.25万元，预决算差异率-8.58%，主要原因是：年中调减为民办实事经费。</w:t>
      </w:r>
    </w:p>
    <w:p w14:paraId="6A514376">
      <w:pPr>
        <w:spacing w:line="640" w:lineRule="exact"/>
        <w:ind w:firstLine="640"/>
        <w:jc w:val="both"/>
        <w:outlineLvl w:val="2"/>
      </w:pPr>
      <w:r>
        <w:rPr>
          <w:rFonts w:ascii="黑体" w:hAnsi="黑体" w:eastAsia="黑体"/>
          <w:sz w:val="32"/>
        </w:rPr>
        <w:t>五、一般公共预算财政拨款支出决算情况说明</w:t>
      </w:r>
    </w:p>
    <w:p w14:paraId="435C939E">
      <w:pPr>
        <w:spacing w:line="640" w:lineRule="exact"/>
        <w:ind w:firstLine="640"/>
        <w:jc w:val="both"/>
        <w:outlineLvl w:val="3"/>
      </w:pPr>
      <w:r>
        <w:rPr>
          <w:rFonts w:ascii="楷体_GB2312" w:hAnsi="楷体_GB2312" w:eastAsia="楷体_GB2312"/>
          <w:b/>
          <w:sz w:val="32"/>
        </w:rPr>
        <w:t>（一）一般公共预算财政拨款支出决算总体情况</w:t>
      </w:r>
    </w:p>
    <w:p w14:paraId="232FC4A8">
      <w:pPr>
        <w:spacing w:line="580" w:lineRule="exact"/>
        <w:ind w:firstLine="640"/>
        <w:jc w:val="both"/>
      </w:pPr>
      <w:r>
        <w:rPr>
          <w:rFonts w:ascii="仿宋_GB2312" w:hAnsi="仿宋_GB2312" w:eastAsia="仿宋_GB2312"/>
          <w:b/>
          <w:sz w:val="32"/>
        </w:rPr>
        <w:t>2024年度一般公共预算财政拨款支出369.25万元，</w:t>
      </w:r>
      <w:r>
        <w:rPr>
          <w:rFonts w:ascii="仿宋_GB2312" w:hAnsi="仿宋_GB2312" w:eastAsia="仿宋_GB2312"/>
          <w:b w:val="0"/>
          <w:sz w:val="32"/>
        </w:rPr>
        <w:t>占本年支出合计的97.39%。</w:t>
      </w:r>
      <w:r>
        <w:rPr>
          <w:rFonts w:ascii="仿宋_GB2312" w:hAnsi="仿宋_GB2312" w:eastAsia="仿宋_GB2312"/>
          <w:b/>
          <w:sz w:val="32"/>
        </w:rPr>
        <w:t>与上年相比，</w:t>
      </w:r>
      <w:r>
        <w:rPr>
          <w:rFonts w:ascii="仿宋_GB2312" w:hAnsi="仿宋_GB2312" w:eastAsia="仿宋_GB2312"/>
          <w:b w:val="0"/>
          <w:sz w:val="32"/>
        </w:rPr>
        <w:t>减少39.46万元，下降9.65%，主要原因是：本年在职人员减少，人员经费减少；减少为民办实事经费。</w:t>
      </w:r>
      <w:r>
        <w:rPr>
          <w:rFonts w:ascii="仿宋_GB2312" w:hAnsi="仿宋_GB2312" w:eastAsia="仿宋_GB2312"/>
          <w:b/>
          <w:sz w:val="32"/>
        </w:rPr>
        <w:t>与年初预算相比,</w:t>
      </w:r>
      <w:r>
        <w:rPr>
          <w:rFonts w:ascii="仿宋_GB2312" w:hAnsi="仿宋_GB2312" w:eastAsia="仿宋_GB2312"/>
          <w:b w:val="0"/>
          <w:sz w:val="32"/>
        </w:rPr>
        <w:t>年初预算数403.92万元，决算数369.25万元，预决算差异率-8.58%，主要原因是：年中调减为民办实事经费。</w:t>
      </w:r>
    </w:p>
    <w:p w14:paraId="640F396E">
      <w:pPr>
        <w:spacing w:line="640" w:lineRule="exact"/>
        <w:ind w:firstLine="640"/>
        <w:jc w:val="both"/>
        <w:outlineLvl w:val="3"/>
      </w:pPr>
      <w:r>
        <w:rPr>
          <w:rFonts w:ascii="楷体_GB2312" w:hAnsi="楷体_GB2312" w:eastAsia="楷体_GB2312"/>
          <w:b/>
          <w:sz w:val="32"/>
        </w:rPr>
        <w:t>（二）一般公共预算财政拨款支出决算结构情况</w:t>
      </w:r>
    </w:p>
    <w:p w14:paraId="6CB9D9AA">
      <w:pPr>
        <w:spacing w:line="580" w:lineRule="exact"/>
        <w:ind w:firstLine="640"/>
        <w:jc w:val="both"/>
      </w:pPr>
      <w:r>
        <w:rPr>
          <w:rFonts w:ascii="仿宋_GB2312" w:hAnsi="仿宋_GB2312" w:eastAsia="仿宋_GB2312"/>
          <w:b w:val="0"/>
          <w:sz w:val="32"/>
        </w:rPr>
        <w:t>1.社会保障和就业支出(类)43.17万元,占11.69%。</w:t>
      </w:r>
    </w:p>
    <w:p w14:paraId="0BF71008">
      <w:pPr>
        <w:spacing w:line="580" w:lineRule="exact"/>
        <w:ind w:firstLine="640"/>
        <w:jc w:val="both"/>
      </w:pPr>
      <w:r>
        <w:rPr>
          <w:rFonts w:ascii="仿宋_GB2312" w:hAnsi="仿宋_GB2312" w:eastAsia="仿宋_GB2312"/>
          <w:b w:val="0"/>
          <w:sz w:val="32"/>
        </w:rPr>
        <w:t>2.交通运输支出(类)326.08万元,占88.31%。</w:t>
      </w:r>
    </w:p>
    <w:p w14:paraId="1A5A4132">
      <w:pPr>
        <w:spacing w:line="640" w:lineRule="exact"/>
        <w:ind w:firstLine="640"/>
        <w:jc w:val="both"/>
        <w:outlineLvl w:val="3"/>
      </w:pPr>
      <w:r>
        <w:rPr>
          <w:rFonts w:ascii="楷体_GB2312" w:hAnsi="楷体_GB2312" w:eastAsia="楷体_GB2312"/>
          <w:b/>
          <w:sz w:val="32"/>
        </w:rPr>
        <w:t>（三）一般公共预算财政拨款支出决算具体情况</w:t>
      </w:r>
    </w:p>
    <w:p w14:paraId="06C2F870">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1.社会保障和就业支出(类)行政事业单位养老支出(款)行政单位离退休(项):支出决算数为4.96万元，比上年决算增加3.64万元，增长275.76%,主要原因是：本年退休人员增加，退休费支出增加。</w:t>
      </w:r>
    </w:p>
    <w:p w14:paraId="5860605E">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31.39万元，比上年决算减少0.38万元，下降1.20%,主要原因是：本年在职人员减少，单位基本养老保险缴费较上年减少。</w:t>
      </w:r>
    </w:p>
    <w:p w14:paraId="3CFC6E59">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6.82万元，比上年决算减少2.77万元，下降28.88%,主要原因是：本年新增退休人员较上年减少，职业年金缴费较上年减少。</w:t>
      </w:r>
    </w:p>
    <w:p w14:paraId="63F4B3E7">
      <w:pPr>
        <w:spacing w:line="580" w:lineRule="exact"/>
        <w:ind w:firstLine="640"/>
        <w:jc w:val="both"/>
      </w:pPr>
      <w:r>
        <w:rPr>
          <w:rFonts w:ascii="仿宋_GB2312" w:hAnsi="仿宋_GB2312" w:eastAsia="仿宋_GB2312"/>
          <w:b w:val="0"/>
          <w:sz w:val="32"/>
        </w:rPr>
        <w:t>4.交通运输支出(类)公路水路运输(款)行政运行(项):支出决算数为304.76万元，比上年决算减少27.02万元，下降8.14%,主要原因是：本年在职人员减少，人员经费减少。</w:t>
      </w:r>
    </w:p>
    <w:p w14:paraId="7E8FB77B">
      <w:pPr>
        <w:spacing w:line="580" w:lineRule="exact"/>
        <w:ind w:firstLine="640"/>
        <w:jc w:val="both"/>
      </w:pPr>
      <w:r>
        <w:rPr>
          <w:rFonts w:ascii="仿宋_GB2312" w:hAnsi="仿宋_GB2312" w:eastAsia="仿宋_GB2312"/>
          <w:b w:val="0"/>
          <w:sz w:val="32"/>
        </w:rPr>
        <w:t>5.交通运输支出(类)公路水路运输(款)其他公路水路运输支出(项):支出决算数为21.32万元，比上年决算减少12.93万元，下降37.75%,主要原因是：本年减少为民办事经费项目。</w:t>
      </w:r>
    </w:p>
    <w:p w14:paraId="62B98D26">
      <w:pPr>
        <w:spacing w:line="640" w:lineRule="exact"/>
        <w:ind w:firstLine="640"/>
        <w:jc w:val="both"/>
        <w:outlineLvl w:val="2"/>
      </w:pPr>
      <w:r>
        <w:rPr>
          <w:rFonts w:ascii="黑体" w:hAnsi="黑体" w:eastAsia="黑体"/>
          <w:sz w:val="32"/>
        </w:rPr>
        <w:t>六、一般公共预算财政拨款基本支出决算情况说明</w:t>
      </w:r>
    </w:p>
    <w:p w14:paraId="49E12C76">
      <w:pPr>
        <w:spacing w:line="580" w:lineRule="exact"/>
        <w:ind w:firstLine="640"/>
        <w:jc w:val="both"/>
      </w:pPr>
      <w:r>
        <w:rPr>
          <w:rFonts w:ascii="仿宋_GB2312" w:hAnsi="仿宋_GB2312" w:eastAsia="仿宋_GB2312"/>
          <w:b w:val="0"/>
          <w:sz w:val="32"/>
        </w:rPr>
        <w:t>2024年度一般公共预算财政拨款基本支出347.93万元，其中：</w:t>
      </w:r>
      <w:r>
        <w:rPr>
          <w:rFonts w:ascii="仿宋_GB2312" w:hAnsi="仿宋_GB2312" w:eastAsia="仿宋_GB2312"/>
          <w:b/>
          <w:sz w:val="32"/>
        </w:rPr>
        <w:t>人员经费325.50万元，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包括：基本工资、津贴补贴、奖金、机关事业单位基本养老保险缴费、职业年金缴费、职工基本医疗保险缴费、其他社会保障缴费、住房公积金、退休费、生活补助。</w:t>
      </w:r>
    </w:p>
    <w:p w14:paraId="4D1CF8E7">
      <w:pPr>
        <w:spacing w:line="580" w:lineRule="exact"/>
        <w:ind w:firstLine="640"/>
        <w:jc w:val="both"/>
      </w:pPr>
      <w:r>
        <w:rPr>
          <w:rFonts w:ascii="仿宋_GB2312" w:hAnsi="仿宋_GB2312" w:eastAsia="仿宋_GB2312"/>
          <w:b/>
          <w:sz w:val="32"/>
        </w:rPr>
        <w:t>公用经费22.43万元，</w:t>
      </w:r>
      <w:r>
        <w:rPr>
          <w:rFonts w:ascii="仿宋_GB2312" w:hAnsi="仿宋_GB2312" w:eastAsia="仿宋_GB2312"/>
          <w:b w:val="0"/>
          <w:sz w:val="32"/>
        </w:rPr>
        <w:t>包括：办公费、水费、电费、邮电费、取暖费、物业管理费、维修（护）费、劳务费、工会经费、福利费、其他商品和服务支出。</w:t>
      </w:r>
    </w:p>
    <w:p w14:paraId="59BA7FFC">
      <w:pPr>
        <w:spacing w:line="640" w:lineRule="exact"/>
        <w:ind w:firstLine="640"/>
        <w:jc w:val="both"/>
        <w:outlineLvl w:val="2"/>
      </w:pPr>
      <w:r>
        <w:rPr>
          <w:rFonts w:ascii="黑体" w:hAnsi="黑体" w:eastAsia="黑体"/>
          <w:sz w:val="32"/>
        </w:rPr>
        <w:t>七、政府性基金预算财政拨款收入支出决算情况说明</w:t>
      </w:r>
    </w:p>
    <w:p w14:paraId="33CD909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0DAE8FC">
      <w:pPr>
        <w:spacing w:line="640" w:lineRule="exact"/>
        <w:ind w:firstLine="640"/>
        <w:jc w:val="both"/>
        <w:outlineLvl w:val="2"/>
      </w:pPr>
      <w:r>
        <w:rPr>
          <w:rFonts w:ascii="黑体" w:hAnsi="黑体" w:eastAsia="黑体"/>
          <w:sz w:val="32"/>
        </w:rPr>
        <w:t>八、国有资本经营预算财政拨款收入支出决算情况说明</w:t>
      </w:r>
    </w:p>
    <w:p w14:paraId="6F8A7AE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48B04A2">
      <w:pPr>
        <w:spacing w:line="640" w:lineRule="exact"/>
        <w:ind w:firstLine="640"/>
        <w:jc w:val="both"/>
        <w:outlineLvl w:val="2"/>
      </w:pPr>
      <w:r>
        <w:rPr>
          <w:rFonts w:ascii="黑体" w:hAnsi="黑体" w:eastAsia="黑体"/>
          <w:sz w:val="32"/>
        </w:rPr>
        <w:t>九、财政拨款“三公”经费支出决算情况说明</w:t>
      </w:r>
    </w:p>
    <w:p w14:paraId="1A7D1E3C">
      <w:pPr>
        <w:spacing w:line="580" w:lineRule="exact"/>
        <w:ind w:firstLine="640"/>
        <w:jc w:val="both"/>
      </w:pPr>
      <w:r>
        <w:rPr>
          <w:rFonts w:ascii="仿宋_GB2312" w:hAnsi="仿宋_GB2312" w:eastAsia="仿宋_GB2312"/>
          <w:b/>
          <w:sz w:val="32"/>
        </w:rPr>
        <w:t>2024年度财政拨款“三公”经费支出12.50万元，</w:t>
      </w:r>
      <w:r>
        <w:rPr>
          <w:rFonts w:ascii="仿宋_GB2312" w:hAnsi="仿宋_GB2312" w:eastAsia="仿宋_GB2312"/>
          <w:b w:val="0"/>
          <w:sz w:val="32"/>
        </w:rPr>
        <w:t>比上年增加0.57万元，增长4.78%，主要原因是：本年执法领域和安全生产业务督导检查次数增加，车辆使用次数增加，车辆燃油费增加。其中：因公出国（境）费支出0.00万元，占0.00%，比上年增加0.00万元，增长0.00%，主要原因是：2023年与2024年均未安排因公出国（境）费支出。公务用车购置及运行维护费支出12.50万元，占100.00%，比上年增加0.64万元，增长5.40%，主要原因是：本年执法领域和安全生产业务督导检查次数增加，车辆使用次数增加，车辆燃油费增加。公务接待费支出0.00万元，占0.00%，比上年减少0.07万元，下降100.00%，主要原因是：严格落实中央八项规定精神，厉行节约，减少公务接待费。</w:t>
      </w:r>
    </w:p>
    <w:p w14:paraId="5E6368E6">
      <w:pPr>
        <w:spacing w:line="580" w:lineRule="exact"/>
        <w:ind w:firstLine="640"/>
        <w:jc w:val="both"/>
      </w:pPr>
      <w:r>
        <w:rPr>
          <w:rFonts w:ascii="仿宋_GB2312" w:hAnsi="仿宋_GB2312" w:eastAsia="仿宋_GB2312"/>
          <w:b/>
          <w:sz w:val="32"/>
        </w:rPr>
        <w:t>具体情况如下：</w:t>
      </w:r>
    </w:p>
    <w:p w14:paraId="4CE33B3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2FF2C72">
      <w:pPr>
        <w:spacing w:line="580" w:lineRule="exact"/>
        <w:ind w:firstLine="640"/>
        <w:jc w:val="both"/>
      </w:pPr>
      <w:r>
        <w:rPr>
          <w:rFonts w:ascii="仿宋_GB2312" w:hAnsi="仿宋_GB2312" w:eastAsia="仿宋_GB2312"/>
          <w:b w:val="0"/>
          <w:sz w:val="32"/>
        </w:rPr>
        <w:t>公务用车购置及运行维护费12.50万元，其中：公务用车购置费0.00万元，公务用车运行维护费12.50万元。公务用车运行维护费开支内容包括车辆加油费、维修费、保险费、审车费、过路费等。公务用车购置数0辆，公务用车保有量4辆。国有资产占用情况中固定资产车辆8辆，与公务用车保有量差异原因是：差异车辆为一般业务用车，预算未安排公务用车运行维护费。</w:t>
      </w:r>
    </w:p>
    <w:p w14:paraId="0F5F16D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39AEC0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12.50万元，决算数12.50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12.50万元，决算数12.50万元，预决算差异率0.00%，主要原因是：严格按照预算执行，预决算无差异。公务接待费全年预算数0.00万元，决算数0.00万元，预决算差异率0.00%，主要原因是：本单位无公务接待费。</w:t>
      </w:r>
    </w:p>
    <w:p w14:paraId="1BC895BA">
      <w:pPr>
        <w:spacing w:line="640" w:lineRule="exact"/>
        <w:ind w:firstLine="640"/>
        <w:jc w:val="both"/>
        <w:outlineLvl w:val="2"/>
      </w:pPr>
      <w:r>
        <w:rPr>
          <w:rFonts w:ascii="黑体" w:hAnsi="黑体" w:eastAsia="黑体"/>
          <w:sz w:val="32"/>
        </w:rPr>
        <w:t>十、其他重要事项的情况说明</w:t>
      </w:r>
    </w:p>
    <w:p w14:paraId="6B935306">
      <w:pPr>
        <w:spacing w:line="640" w:lineRule="exact"/>
        <w:ind w:firstLine="640"/>
        <w:jc w:val="both"/>
        <w:outlineLvl w:val="3"/>
      </w:pPr>
      <w:r>
        <w:rPr>
          <w:rFonts w:ascii="楷体_GB2312" w:hAnsi="楷体_GB2312" w:eastAsia="楷体_GB2312"/>
          <w:b/>
          <w:sz w:val="32"/>
        </w:rPr>
        <w:t>（一）机关运行经费及公用经费支出情况</w:t>
      </w:r>
    </w:p>
    <w:p w14:paraId="65AE54F4">
      <w:pPr>
        <w:spacing w:line="580" w:lineRule="exact"/>
        <w:ind w:firstLine="640"/>
        <w:jc w:val="both"/>
      </w:pPr>
      <w:r>
        <w:rPr>
          <w:rFonts w:ascii="仿宋_GB2312" w:hAnsi="仿宋_GB2312" w:eastAsia="仿宋_GB2312"/>
          <w:b w:val="0"/>
          <w:sz w:val="32"/>
        </w:rPr>
        <w:t>2024年度克孜勒苏柯尔克孜自治州交通运输综合行政执法局（行政单位和参照公务员法管理事业单位）机关运行经费支出22.43万元，比上年增加0.99万元，增长4.62%，主要原因是：本年更新、维护补充办公用品，导致机关运行经费较上年增加。</w:t>
      </w:r>
    </w:p>
    <w:p w14:paraId="3A279284">
      <w:pPr>
        <w:spacing w:line="640" w:lineRule="exact"/>
        <w:ind w:firstLine="640"/>
        <w:jc w:val="both"/>
        <w:outlineLvl w:val="3"/>
      </w:pPr>
      <w:r>
        <w:rPr>
          <w:rFonts w:ascii="楷体_GB2312" w:hAnsi="楷体_GB2312" w:eastAsia="楷体_GB2312"/>
          <w:b/>
          <w:sz w:val="32"/>
        </w:rPr>
        <w:t>（二）政府采购情况</w:t>
      </w:r>
    </w:p>
    <w:p w14:paraId="5C275AA2">
      <w:pPr>
        <w:spacing w:line="580" w:lineRule="exact"/>
        <w:ind w:firstLine="640"/>
        <w:jc w:val="both"/>
      </w:pPr>
      <w:r>
        <w:rPr>
          <w:rFonts w:ascii="仿宋_GB2312" w:hAnsi="仿宋_GB2312" w:eastAsia="仿宋_GB2312"/>
          <w:b w:val="0"/>
          <w:sz w:val="32"/>
        </w:rPr>
        <w:t>2024年度政府采购支出总额18.87万元，其中：政府采购货物支出2.27万元、政府采购工程支出0.47万元、政府采购服务支出16.14万元。</w:t>
      </w:r>
    </w:p>
    <w:p w14:paraId="28E8CC3C">
      <w:pPr>
        <w:spacing w:line="580" w:lineRule="exact"/>
        <w:ind w:firstLine="640"/>
        <w:jc w:val="both"/>
      </w:pPr>
      <w:r>
        <w:rPr>
          <w:rFonts w:ascii="仿宋_GB2312" w:hAnsi="仿宋_GB2312" w:eastAsia="仿宋_GB2312"/>
          <w:b w:val="0"/>
          <w:sz w:val="32"/>
        </w:rPr>
        <w:t>授予中小企业合同金额17.04万元，占政府采购支出总额的90.30%，其中：授予小微企业合同金额6.04万元，占政府采购支出总额的32.01%。</w:t>
      </w:r>
    </w:p>
    <w:p w14:paraId="452B83C6">
      <w:pPr>
        <w:spacing w:line="640" w:lineRule="exact"/>
        <w:ind w:firstLine="640"/>
        <w:jc w:val="both"/>
        <w:outlineLvl w:val="3"/>
      </w:pPr>
      <w:r>
        <w:rPr>
          <w:rFonts w:ascii="楷体_GB2312" w:hAnsi="楷体_GB2312" w:eastAsia="楷体_GB2312"/>
          <w:b/>
          <w:sz w:val="32"/>
        </w:rPr>
        <w:t>（三）国有资产占用情况说明</w:t>
      </w:r>
    </w:p>
    <w:p w14:paraId="7A3D6753">
      <w:pPr>
        <w:spacing w:line="580" w:lineRule="exact"/>
        <w:ind w:firstLine="640"/>
        <w:jc w:val="both"/>
      </w:pPr>
      <w:r>
        <w:rPr>
          <w:rFonts w:ascii="仿宋_GB2312" w:hAnsi="仿宋_GB2312" w:eastAsia="仿宋_GB2312"/>
          <w:b w:val="0"/>
          <w:sz w:val="32"/>
        </w:rPr>
        <w:t>截至2024年12月31日，房屋5,405.03平方米，价值1,128.51万元。车辆8辆，价值158.60万元，其中：副部（省）级及以上领导用车0辆、主要负责人用车0辆、机要通信用车0辆、应急保障用车0辆、执法执勤用车3辆、特种专业技术用车0辆、离退休干部服务用车0辆、其他用车5辆，其他用车主要是：一般公务用车。单价100万元（含）以上设备（不含车辆）0台（套）。</w:t>
      </w:r>
    </w:p>
    <w:p w14:paraId="2F95DCD6">
      <w:pPr>
        <w:spacing w:line="640" w:lineRule="exact"/>
        <w:ind w:firstLine="640"/>
        <w:jc w:val="both"/>
        <w:outlineLvl w:val="2"/>
      </w:pPr>
      <w:r>
        <w:rPr>
          <w:rFonts w:ascii="黑体" w:hAnsi="黑体" w:eastAsia="黑体"/>
          <w:sz w:val="32"/>
        </w:rPr>
        <w:t>十一、预算绩效的情况说明</w:t>
      </w:r>
    </w:p>
    <w:p w14:paraId="0581B65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392.77万元，实际执行总额379.15万元；预算绩效评价项目3个，全年预算数31.22万元，全年执行数31.22万元。预算绩效管理取得的成效：一是保障了我单位28名职工的工资、福利及社保正常发放及缴纳，确保民生工作落实到位；二是保障我单位3辆公务用车的运行及维护，保障单位各项工作的顺利开展，确保机构运转正常；三是贯彻落实自治区、自治州党委和政府各项决策部署，按照州委“三大布局”、“四大产业”等经济发展战略布局以及“以思想大解放推动克州大发展比拼活动”确定的目标任务，坚持问题导向、结果导向、目标导向，狠抓重点工作任务落实。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三是部分工作任务存在较大的不可预见性，导致工作任务与实际工作开展情况之间存在偏差。下一步改进措施：一是继续加大绩效工作宣传力度，强化绩效理念；二是继续完善绩效指标，提高整体绩效目标质量。提升预算精细化管理水平；三是继续完善预算绩效管理相关工作制度，建立全过程预算绩效管理链条，有效贯彻落实全面实施绩效管理的精神。具体附整体支出绩效自评表，项目支出绩效自评表和评价报告。</w:t>
      </w:r>
    </w:p>
    <w:p w14:paraId="2037C9A6">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D60F56C">
        <w:tblPrEx>
          <w:tblCellMar>
            <w:top w:w="0" w:type="dxa"/>
            <w:left w:w="108" w:type="dxa"/>
            <w:bottom w:w="0" w:type="dxa"/>
            <w:right w:w="108" w:type="dxa"/>
          </w:tblCellMar>
        </w:tblPrEx>
        <w:tc>
          <w:tcPr>
            <w:tcW w:w="8840" w:type="dxa"/>
            <w:gridSpan w:val="8"/>
            <w:vAlign w:val="center"/>
          </w:tcPr>
          <w:p w14:paraId="26021A90">
            <w:pPr>
              <w:jc w:val="center"/>
            </w:pPr>
            <w:r>
              <w:rPr>
                <w:rFonts w:ascii="宋体" w:hAnsi="宋体" w:eastAsia="宋体"/>
                <w:sz w:val="24"/>
              </w:rPr>
              <w:t>单位整体支出绩效自评表</w:t>
            </w:r>
          </w:p>
        </w:tc>
      </w:tr>
      <w:tr w14:paraId="73C460EC">
        <w:tblPrEx>
          <w:tblCellMar>
            <w:top w:w="0" w:type="dxa"/>
            <w:left w:w="108" w:type="dxa"/>
            <w:bottom w:w="0" w:type="dxa"/>
            <w:right w:w="108" w:type="dxa"/>
          </w:tblCellMar>
        </w:tblPrEx>
        <w:tc>
          <w:tcPr>
            <w:tcW w:w="8840" w:type="dxa"/>
            <w:gridSpan w:val="8"/>
            <w:vAlign w:val="center"/>
          </w:tcPr>
          <w:p w14:paraId="786E688F">
            <w:pPr>
              <w:jc w:val="center"/>
            </w:pPr>
            <w:r>
              <w:rPr>
                <w:rFonts w:ascii="宋体" w:hAnsi="宋体" w:eastAsia="宋体"/>
                <w:sz w:val="24"/>
              </w:rPr>
              <w:t>（2024年度）</w:t>
            </w:r>
          </w:p>
        </w:tc>
      </w:tr>
      <w:tr w14:paraId="3611183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EECA3F">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3678C0">
            <w:pPr>
              <w:jc w:val="center"/>
            </w:pPr>
            <w:r>
              <w:rPr>
                <w:rFonts w:ascii="宋体" w:hAnsi="宋体" w:eastAsia="宋体"/>
                <w:sz w:val="16"/>
              </w:rPr>
              <w:t>克孜勒苏柯尔克孜自治州交通运输综合行政执法局</w:t>
            </w:r>
          </w:p>
        </w:tc>
      </w:tr>
      <w:tr w14:paraId="5185879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B4173F">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36563F">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1722FB">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63EE7F">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E90FF3">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FBDA0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9B821D">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13CE09">
            <w:pPr>
              <w:jc w:val="center"/>
            </w:pPr>
            <w:r>
              <w:rPr>
                <w:rFonts w:ascii="宋体" w:hAnsi="宋体" w:eastAsia="宋体"/>
                <w:sz w:val="16"/>
              </w:rPr>
              <w:t>得分</w:t>
            </w:r>
          </w:p>
        </w:tc>
      </w:tr>
      <w:tr w14:paraId="5B3694B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40A782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7630DC">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9F2146">
            <w:pPr>
              <w:jc w:val="center"/>
            </w:pPr>
            <w:r>
              <w:rPr>
                <w:rFonts w:ascii="宋体" w:hAnsi="宋体" w:eastAsia="宋体"/>
                <w:sz w:val="16"/>
              </w:rPr>
              <w:t>423.92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195810">
            <w:pPr>
              <w:jc w:val="center"/>
            </w:pPr>
            <w:r>
              <w:rPr>
                <w:rFonts w:ascii="宋体" w:hAnsi="宋体" w:eastAsia="宋体"/>
                <w:sz w:val="16"/>
              </w:rPr>
              <w:t>392.77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69CA4E">
            <w:pPr>
              <w:jc w:val="center"/>
            </w:pPr>
            <w:r>
              <w:rPr>
                <w:rFonts w:ascii="宋体" w:hAnsi="宋体" w:eastAsia="宋体"/>
                <w:sz w:val="16"/>
              </w:rPr>
              <w:t>379.15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A9DBD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79E334">
            <w:pPr>
              <w:jc w:val="center"/>
            </w:pPr>
            <w:r>
              <w:rPr>
                <w:rFonts w:ascii="宋体" w:hAnsi="宋体" w:eastAsia="宋体"/>
                <w:sz w:val="16"/>
              </w:rPr>
              <w:t>96.53%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E2E7EA">
            <w:pPr>
              <w:jc w:val="center"/>
              <w:rPr>
                <w:rFonts w:hint="default" w:eastAsia="宋体"/>
                <w:lang w:val="en-US" w:eastAsia="zh-CN"/>
              </w:rPr>
            </w:pPr>
            <w:r>
              <w:rPr>
                <w:rFonts w:hint="eastAsia" w:ascii="宋体" w:hAnsi="宋体"/>
                <w:sz w:val="16"/>
                <w:lang w:val="en-US" w:eastAsia="zh-CN"/>
              </w:rPr>
              <w:t>9.65</w:t>
            </w:r>
            <w:bookmarkStart w:id="0" w:name="_GoBack"/>
            <w:bookmarkEnd w:id="0"/>
          </w:p>
        </w:tc>
      </w:tr>
      <w:tr w14:paraId="4F1AF75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E8768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BEFB05">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4726A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4C74B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A09C6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E2E55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59B30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18BC05">
            <w:pPr>
              <w:jc w:val="center"/>
            </w:pPr>
            <w:r>
              <w:rPr>
                <w:rFonts w:ascii="宋体" w:hAnsi="宋体" w:eastAsia="宋体"/>
                <w:sz w:val="16"/>
              </w:rPr>
              <w:t>—</w:t>
            </w:r>
          </w:p>
        </w:tc>
      </w:tr>
      <w:tr w14:paraId="7B359A5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A847E2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E38B2B">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815B9F">
            <w:pPr>
              <w:jc w:val="center"/>
            </w:pPr>
            <w:r>
              <w:rPr>
                <w:rFonts w:ascii="宋体" w:hAnsi="宋体" w:eastAsia="宋体"/>
                <w:sz w:val="16"/>
              </w:rPr>
              <w:t>403.92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53998B">
            <w:pPr>
              <w:jc w:val="center"/>
            </w:pPr>
            <w:r>
              <w:rPr>
                <w:rFonts w:ascii="宋体" w:hAnsi="宋体" w:eastAsia="宋体"/>
                <w:sz w:val="16"/>
              </w:rPr>
              <w:t>382.87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2CBCA5">
            <w:pPr>
              <w:jc w:val="center"/>
            </w:pPr>
            <w:r>
              <w:rPr>
                <w:rFonts w:ascii="宋体" w:hAnsi="宋体" w:eastAsia="宋体"/>
                <w:sz w:val="16"/>
              </w:rPr>
              <w:t>369.25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2FF1D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00C24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AD0C85">
            <w:pPr>
              <w:jc w:val="center"/>
            </w:pPr>
            <w:r>
              <w:rPr>
                <w:rFonts w:ascii="宋体" w:hAnsi="宋体" w:eastAsia="宋体"/>
                <w:sz w:val="16"/>
              </w:rPr>
              <w:t>—</w:t>
            </w:r>
          </w:p>
        </w:tc>
      </w:tr>
      <w:tr w14:paraId="7A265D6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72AAA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11D90F">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7271C7">
            <w:pPr>
              <w:jc w:val="center"/>
            </w:pPr>
            <w:r>
              <w:rPr>
                <w:rFonts w:ascii="宋体" w:hAnsi="宋体" w:eastAsia="宋体"/>
                <w:sz w:val="16"/>
              </w:rPr>
              <w:t>20.00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D88943">
            <w:pPr>
              <w:jc w:val="center"/>
            </w:pPr>
            <w:r>
              <w:rPr>
                <w:rFonts w:ascii="宋体" w:hAnsi="宋体" w:eastAsia="宋体"/>
                <w:sz w:val="16"/>
              </w:rPr>
              <w:t>9.90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B01D39">
            <w:pPr>
              <w:jc w:val="center"/>
            </w:pPr>
            <w:r>
              <w:rPr>
                <w:rFonts w:ascii="宋体" w:hAnsi="宋体" w:eastAsia="宋体"/>
                <w:sz w:val="16"/>
              </w:rPr>
              <w:t>9.90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F358F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5438A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9AF149">
            <w:pPr>
              <w:jc w:val="center"/>
            </w:pPr>
            <w:r>
              <w:rPr>
                <w:rFonts w:ascii="宋体" w:hAnsi="宋体" w:eastAsia="宋体"/>
                <w:sz w:val="16"/>
              </w:rPr>
              <w:t>—</w:t>
            </w:r>
          </w:p>
        </w:tc>
      </w:tr>
      <w:tr w14:paraId="09C645A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FD1A7">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C9AE8F">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5498BB">
            <w:pPr>
              <w:jc w:val="center"/>
              <w:rPr>
                <w:rFonts w:hint="eastAsia" w:eastAsia="宋体"/>
                <w:lang w:eastAsia="zh-CN"/>
              </w:rPr>
            </w:pPr>
            <w:r>
              <w:rPr>
                <w:rFonts w:ascii="宋体" w:hAnsi="宋体" w:eastAsia="宋体"/>
                <w:sz w:val="16"/>
              </w:rPr>
              <w:t>实际完成</w:t>
            </w:r>
            <w:r>
              <w:rPr>
                <w:rFonts w:hint="eastAsia" w:ascii="宋体" w:hAnsi="宋体"/>
                <w:sz w:val="16"/>
                <w:lang w:val="en-US" w:eastAsia="zh-CN"/>
              </w:rPr>
              <w:t>情况</w:t>
            </w:r>
          </w:p>
        </w:tc>
      </w:tr>
      <w:tr w14:paraId="266B7A1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F443F7F"/>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DCA4E8">
            <w:pPr>
              <w:jc w:val="both"/>
            </w:pPr>
            <w:r>
              <w:rPr>
                <w:rFonts w:ascii="宋体" w:hAnsi="宋体" w:eastAsia="宋体"/>
                <w:sz w:val="16"/>
              </w:rPr>
              <w:t>以深化交通执法领域安全生产工作为</w:t>
            </w:r>
            <w:r>
              <w:rPr>
                <w:rFonts w:hint="eastAsia" w:ascii="宋体" w:hAnsi="宋体"/>
                <w:sz w:val="16"/>
                <w:lang w:eastAsia="zh-CN"/>
              </w:rPr>
              <w:t>抓手</w:t>
            </w:r>
            <w:r>
              <w:rPr>
                <w:rFonts w:ascii="宋体" w:hAnsi="宋体" w:eastAsia="宋体"/>
                <w:sz w:val="16"/>
              </w:rPr>
              <w:t>，落实安全生产执法履责工作。监督指导行业监管责任落实，开展“打非治违”专项行动，超限超载治理，“双随机、一公开”监管工作，确保交通安全生产及运输执法领域</w:t>
            </w:r>
            <w:r>
              <w:rPr>
                <w:rFonts w:hint="eastAsia" w:ascii="宋体" w:hAnsi="宋体"/>
                <w:sz w:val="16"/>
                <w:lang w:eastAsia="zh-CN"/>
              </w:rPr>
              <w:t>形势</w:t>
            </w:r>
            <w:r>
              <w:rPr>
                <w:rFonts w:ascii="宋体" w:hAnsi="宋体" w:eastAsia="宋体"/>
                <w:sz w:val="16"/>
              </w:rPr>
              <w:t>平稳。</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27DD27">
            <w:pPr>
              <w:jc w:val="both"/>
            </w:pPr>
            <w:r>
              <w:rPr>
                <w:rFonts w:hint="eastAsia" w:ascii="宋体" w:hAnsi="宋体"/>
                <w:sz w:val="16"/>
                <w:lang w:eastAsia="zh-CN"/>
              </w:rPr>
              <w:t>截至</w:t>
            </w:r>
            <w:r>
              <w:rPr>
                <w:rFonts w:ascii="宋体" w:hAnsi="宋体" w:eastAsia="宋体"/>
                <w:sz w:val="16"/>
              </w:rPr>
              <w:t>2024年12月31日，1、推动道路运输安全执法检查，强化安全监管工作。实现“进一次门、查多项事”，切实减轻企业负担。落实“双随机、一公开”工作，制定2024年“双随机、一公开”内部和联合跨部门抽查计划，联合州公安局交警支队、州文旅局、生态环境局、市场监督管理局等部门，完成内部任务8次，跨部门联合任务5次，共抽查全州道路运输领域的92家企业，强化了安全生产执法工作事前事中事后监督力度。</w:t>
            </w:r>
            <w:r>
              <w:rPr>
                <w:rFonts w:ascii="宋体" w:hAnsi="宋体" w:eastAsia="宋体"/>
                <w:sz w:val="16"/>
              </w:rPr>
              <w:br w:type="textWrapping"/>
            </w:r>
            <w:r>
              <w:rPr>
                <w:rFonts w:ascii="宋体" w:hAnsi="宋体" w:eastAsia="宋体"/>
                <w:sz w:val="16"/>
              </w:rPr>
              <w:t>2、全面开展克州交通运输系统常态化扫黑除恶斗争工作，切实加强道路运输非法营运和非法营运查处力度。截至目前：克州交通运输系统共出动小组76组，检查企业数量207家、执法人员112人次，州本级出动执法车辆3辆，联合出动执法车辆273辆次，设立执法点59个，检查各类车辆6849辆；执法处罚596起，结案563起。</w:t>
            </w:r>
            <w:r>
              <w:rPr>
                <w:rFonts w:ascii="宋体" w:hAnsi="宋体" w:eastAsia="宋体"/>
                <w:sz w:val="16"/>
              </w:rPr>
              <w:br w:type="textWrapping"/>
            </w:r>
            <w:r>
              <w:rPr>
                <w:rFonts w:ascii="宋体" w:hAnsi="宋体" w:eastAsia="宋体"/>
                <w:sz w:val="16"/>
              </w:rPr>
              <w:t>3、加强法治宣传教育，着力提高规范执法能力。2024年以来，联合公安交警、文旅、交通运输执法部门开展安全生产警示教育会议和活动9场次，受教育2050余人次，悬挂横幅312余条、设置咨询台9台、制作展板23个、张贴海报200余张，发放宣传手册1200余册，张贴海报300余张，发放法律法规宣传单8200余份。通过以上工作的实施，保障了我单位17名职工的工资、福利及社保正常发放及缴纳，确保民生工作落实到位；保障我单位4辆公务用车的运行及维护，保障单位各项工作的正常运转，确保机构运转正常</w:t>
            </w:r>
          </w:p>
        </w:tc>
      </w:tr>
      <w:tr w14:paraId="34B8EB7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3EFC0A">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79E30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0708A4">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6BF36D">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6A4F6E">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11F27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51553F">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908A3F">
            <w:pPr>
              <w:jc w:val="center"/>
            </w:pPr>
            <w:r>
              <w:rPr>
                <w:rFonts w:ascii="宋体" w:hAnsi="宋体" w:eastAsia="宋体"/>
                <w:sz w:val="16"/>
              </w:rPr>
              <w:t>得分</w:t>
            </w:r>
          </w:p>
        </w:tc>
      </w:tr>
      <w:tr w14:paraId="2FF3A68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032F1E">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16132F">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4AF9FA">
            <w:pPr>
              <w:jc w:val="center"/>
            </w:pPr>
            <w:r>
              <w:rPr>
                <w:rFonts w:hint="eastAsia" w:ascii="宋体" w:hAnsi="宋体"/>
                <w:sz w:val="16"/>
                <w:lang w:eastAsia="zh-CN"/>
              </w:rPr>
              <w:t>“双随机、一公开”</w:t>
            </w:r>
            <w:r>
              <w:rPr>
                <w:rFonts w:ascii="宋体" w:hAnsi="宋体" w:eastAsia="宋体"/>
                <w:sz w:val="16"/>
              </w:rPr>
              <w:t>检查交通运输企业（家）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1426A5">
            <w:pPr>
              <w:jc w:val="center"/>
            </w:pPr>
            <w:r>
              <w:rPr>
                <w:rFonts w:ascii="宋体" w:hAnsi="宋体" w:eastAsia="宋体"/>
                <w:sz w:val="16"/>
              </w:rPr>
              <w:t>&gt;=50家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79B000">
            <w:pPr>
              <w:jc w:val="center"/>
            </w:pPr>
            <w:r>
              <w:rPr>
                <w:rFonts w:ascii="宋体" w:hAnsi="宋体" w:eastAsia="宋体"/>
                <w:sz w:val="16"/>
              </w:rPr>
              <w:t>2024年克州交通运输综合行政执法局安全生产和行政执法工作计划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30840D">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B13532">
            <w:pPr>
              <w:jc w:val="center"/>
            </w:pPr>
            <w:r>
              <w:rPr>
                <w:rFonts w:ascii="宋体" w:hAnsi="宋体" w:eastAsia="宋体"/>
                <w:sz w:val="16"/>
              </w:rPr>
              <w:t>92家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045E4D">
            <w:pPr>
              <w:jc w:val="center"/>
            </w:pPr>
            <w:r>
              <w:rPr>
                <w:rFonts w:ascii="宋体" w:hAnsi="宋体" w:eastAsia="宋体"/>
                <w:sz w:val="16"/>
              </w:rPr>
              <w:t>25</w:t>
            </w:r>
          </w:p>
        </w:tc>
      </w:tr>
      <w:tr w14:paraId="5B63457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651C3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0B157C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E991D0">
            <w:pPr>
              <w:jc w:val="center"/>
            </w:pPr>
            <w:r>
              <w:rPr>
                <w:rFonts w:ascii="宋体" w:hAnsi="宋体" w:eastAsia="宋体"/>
                <w:sz w:val="16"/>
              </w:rPr>
              <w:t>开展安全生产、</w:t>
            </w:r>
            <w:r>
              <w:rPr>
                <w:rFonts w:hint="eastAsia" w:ascii="宋体" w:hAnsi="宋体"/>
                <w:sz w:val="16"/>
                <w:lang w:eastAsia="zh-CN"/>
              </w:rPr>
              <w:t>法治宣传</w:t>
            </w:r>
            <w:r>
              <w:rPr>
                <w:rFonts w:ascii="宋体" w:hAnsi="宋体" w:eastAsia="宋体"/>
                <w:sz w:val="16"/>
              </w:rPr>
              <w:t>、防灾减灾等宣传教育（次）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CC0614">
            <w:pPr>
              <w:jc w:val="center"/>
            </w:pPr>
            <w:r>
              <w:rPr>
                <w:rFonts w:ascii="宋体" w:hAnsi="宋体" w:eastAsia="宋体"/>
                <w:sz w:val="16"/>
              </w:rPr>
              <w:t>&gt;=7次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966836">
            <w:pPr>
              <w:jc w:val="center"/>
            </w:pPr>
            <w:r>
              <w:rPr>
                <w:rFonts w:ascii="宋体" w:hAnsi="宋体" w:eastAsia="宋体"/>
                <w:sz w:val="16"/>
              </w:rPr>
              <w:t>2024年克州交通运输综合行政执法局安全生产和行政执法工作计划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3990C2">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11C384">
            <w:pPr>
              <w:jc w:val="center"/>
            </w:pPr>
            <w:r>
              <w:rPr>
                <w:rFonts w:ascii="宋体" w:hAnsi="宋体" w:eastAsia="宋体"/>
                <w:sz w:val="16"/>
              </w:rPr>
              <w:t>9次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951409">
            <w:pPr>
              <w:jc w:val="center"/>
            </w:pPr>
            <w:r>
              <w:rPr>
                <w:rFonts w:ascii="宋体" w:hAnsi="宋体" w:eastAsia="宋体"/>
                <w:sz w:val="16"/>
              </w:rPr>
              <w:t>20</w:t>
            </w:r>
          </w:p>
        </w:tc>
      </w:tr>
      <w:tr w14:paraId="61731DD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CA120A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8C9D3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F110DD">
            <w:pPr>
              <w:jc w:val="center"/>
            </w:pPr>
            <w:r>
              <w:rPr>
                <w:rFonts w:ascii="宋体" w:hAnsi="宋体" w:eastAsia="宋体"/>
                <w:sz w:val="16"/>
              </w:rPr>
              <w:t>开展“打非治违”工作检查车辆数（辆）</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61BBCD">
            <w:pPr>
              <w:jc w:val="center"/>
            </w:pPr>
            <w:r>
              <w:rPr>
                <w:rFonts w:ascii="宋体" w:hAnsi="宋体" w:eastAsia="宋体"/>
                <w:sz w:val="16"/>
              </w:rPr>
              <w:t>&gt;=500辆</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12C5DC">
            <w:pPr>
              <w:jc w:val="center"/>
            </w:pPr>
            <w:r>
              <w:rPr>
                <w:rFonts w:ascii="宋体" w:hAnsi="宋体" w:eastAsia="宋体"/>
                <w:sz w:val="16"/>
              </w:rPr>
              <w:t>2024年克州交通运输综合行政执法局安全生产和行政执法工作计划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3348F7">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525F15">
            <w:pPr>
              <w:jc w:val="center"/>
            </w:pPr>
            <w:r>
              <w:rPr>
                <w:rFonts w:ascii="宋体" w:hAnsi="宋体" w:eastAsia="宋体"/>
                <w:sz w:val="16"/>
              </w:rPr>
              <w:t>563辆</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38A830">
            <w:pPr>
              <w:jc w:val="center"/>
            </w:pPr>
            <w:r>
              <w:rPr>
                <w:rFonts w:ascii="宋体" w:hAnsi="宋体" w:eastAsia="宋体"/>
                <w:sz w:val="16"/>
              </w:rPr>
              <w:t>25</w:t>
            </w:r>
          </w:p>
        </w:tc>
      </w:tr>
      <w:tr w14:paraId="098C1F2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163334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7A1EA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BB9E99">
            <w:pPr>
              <w:jc w:val="center"/>
            </w:pPr>
            <w:r>
              <w:rPr>
                <w:rFonts w:ascii="宋体" w:hAnsi="宋体" w:eastAsia="宋体"/>
                <w:sz w:val="16"/>
              </w:rPr>
              <w:t>开展道路运输企业监督检查工作（家）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D6BEFB">
            <w:pPr>
              <w:jc w:val="center"/>
            </w:pPr>
            <w:r>
              <w:rPr>
                <w:rFonts w:ascii="宋体" w:hAnsi="宋体" w:eastAsia="宋体"/>
                <w:sz w:val="16"/>
              </w:rPr>
              <w:t>&gt;=200家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A0888D">
            <w:pPr>
              <w:jc w:val="center"/>
            </w:pPr>
            <w:r>
              <w:rPr>
                <w:rFonts w:ascii="宋体" w:hAnsi="宋体" w:eastAsia="宋体"/>
                <w:sz w:val="16"/>
              </w:rPr>
              <w:t>2024年克州交通运输综合行政执法局安全生产和行政执法工作计划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18B53F">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635031">
            <w:pPr>
              <w:jc w:val="center"/>
            </w:pPr>
            <w:r>
              <w:rPr>
                <w:rFonts w:ascii="宋体" w:hAnsi="宋体" w:eastAsia="宋体"/>
                <w:sz w:val="16"/>
              </w:rPr>
              <w:t>207家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ABA262">
            <w:pPr>
              <w:jc w:val="center"/>
            </w:pPr>
            <w:r>
              <w:rPr>
                <w:rFonts w:ascii="宋体" w:hAnsi="宋体" w:eastAsia="宋体"/>
                <w:sz w:val="16"/>
              </w:rPr>
              <w:t>20</w:t>
            </w:r>
          </w:p>
        </w:tc>
      </w:tr>
    </w:tbl>
    <w:p w14:paraId="06399B7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C471A7E">
        <w:tblPrEx>
          <w:tblCellMar>
            <w:top w:w="0" w:type="dxa"/>
            <w:left w:w="108" w:type="dxa"/>
            <w:bottom w:w="0" w:type="dxa"/>
            <w:right w:w="108" w:type="dxa"/>
          </w:tblCellMar>
        </w:tblPrEx>
        <w:tc>
          <w:tcPr>
            <w:tcW w:w="8848" w:type="dxa"/>
            <w:gridSpan w:val="14"/>
            <w:vAlign w:val="center"/>
          </w:tcPr>
          <w:p w14:paraId="576A5873">
            <w:pPr>
              <w:jc w:val="center"/>
            </w:pPr>
            <w:r>
              <w:rPr>
                <w:rFonts w:ascii="宋体" w:hAnsi="宋体" w:eastAsia="宋体"/>
                <w:sz w:val="24"/>
              </w:rPr>
              <w:t>项目支出绩效自评表</w:t>
            </w:r>
          </w:p>
        </w:tc>
      </w:tr>
      <w:tr w14:paraId="28F10276">
        <w:tblPrEx>
          <w:tblCellMar>
            <w:top w:w="0" w:type="dxa"/>
            <w:left w:w="108" w:type="dxa"/>
            <w:bottom w:w="0" w:type="dxa"/>
            <w:right w:w="108" w:type="dxa"/>
          </w:tblCellMar>
        </w:tblPrEx>
        <w:tc>
          <w:tcPr>
            <w:tcW w:w="8848" w:type="dxa"/>
            <w:gridSpan w:val="14"/>
            <w:vAlign w:val="center"/>
          </w:tcPr>
          <w:p w14:paraId="502823B1">
            <w:pPr>
              <w:jc w:val="center"/>
            </w:pPr>
            <w:r>
              <w:rPr>
                <w:rFonts w:ascii="宋体" w:hAnsi="宋体" w:eastAsia="宋体"/>
                <w:sz w:val="24"/>
              </w:rPr>
              <w:t>(2024年度)</w:t>
            </w:r>
          </w:p>
        </w:tc>
      </w:tr>
      <w:tr w14:paraId="0B6DEA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A02A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11448D">
            <w:pPr>
              <w:jc w:val="center"/>
            </w:pPr>
            <w:r>
              <w:rPr>
                <w:rFonts w:ascii="宋体" w:hAnsi="宋体" w:eastAsia="宋体"/>
                <w:sz w:val="16"/>
              </w:rPr>
              <w:t>交通运输综合行政执法及安全生产工作经费</w:t>
            </w:r>
          </w:p>
        </w:tc>
      </w:tr>
      <w:tr w14:paraId="4F22F1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795A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EC7085">
            <w:pPr>
              <w:jc w:val="center"/>
            </w:pPr>
            <w:r>
              <w:rPr>
                <w:rFonts w:ascii="宋体" w:hAnsi="宋体" w:eastAsia="宋体"/>
                <w:sz w:val="16"/>
              </w:rPr>
              <w:t>克州交通运输局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949A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6ECD4A">
            <w:pPr>
              <w:jc w:val="center"/>
            </w:pPr>
            <w:r>
              <w:rPr>
                <w:rFonts w:ascii="宋体" w:hAnsi="宋体" w:eastAsia="宋体"/>
                <w:sz w:val="16"/>
              </w:rPr>
              <w:t>克孜勒苏柯尔克孜自治州交通运输综合行政执法局</w:t>
            </w:r>
          </w:p>
        </w:tc>
      </w:tr>
      <w:tr w14:paraId="618323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8AE39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5D43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FD76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5EC2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9FFC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FC84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31F8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022E4">
            <w:pPr>
              <w:jc w:val="center"/>
            </w:pPr>
            <w:r>
              <w:rPr>
                <w:rFonts w:ascii="宋体" w:hAnsi="宋体" w:eastAsia="宋体"/>
                <w:sz w:val="16"/>
              </w:rPr>
              <w:t>得分</w:t>
            </w:r>
          </w:p>
        </w:tc>
      </w:tr>
      <w:tr w14:paraId="6BA86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D7B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969E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0661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7A8E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C56F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B74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F080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878F6">
            <w:pPr>
              <w:jc w:val="center"/>
            </w:pPr>
            <w:r>
              <w:rPr>
                <w:rFonts w:ascii="宋体" w:hAnsi="宋体" w:eastAsia="宋体"/>
                <w:sz w:val="16"/>
              </w:rPr>
              <w:t>10.00分</w:t>
            </w:r>
          </w:p>
        </w:tc>
      </w:tr>
      <w:tr w14:paraId="30FA6B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9F1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CAB9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CFFF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CD76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A661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9C8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0C1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1AAE5">
            <w:pPr>
              <w:jc w:val="center"/>
            </w:pPr>
            <w:r>
              <w:rPr>
                <w:rFonts w:ascii="宋体" w:hAnsi="宋体" w:eastAsia="宋体"/>
                <w:sz w:val="16"/>
              </w:rPr>
              <w:t>—</w:t>
            </w:r>
          </w:p>
        </w:tc>
      </w:tr>
      <w:tr w14:paraId="604844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45A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7C6D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4E6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68C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804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8F2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457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81028">
            <w:pPr>
              <w:jc w:val="center"/>
            </w:pPr>
            <w:r>
              <w:rPr>
                <w:rFonts w:ascii="宋体" w:hAnsi="宋体" w:eastAsia="宋体"/>
                <w:sz w:val="16"/>
              </w:rPr>
              <w:t>—</w:t>
            </w:r>
          </w:p>
        </w:tc>
      </w:tr>
      <w:tr w14:paraId="665B14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F7313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7D44F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DD070F">
            <w:pPr>
              <w:jc w:val="center"/>
            </w:pPr>
            <w:r>
              <w:rPr>
                <w:rFonts w:ascii="宋体" w:hAnsi="宋体" w:eastAsia="宋体"/>
                <w:sz w:val="16"/>
              </w:rPr>
              <w:t>实际完成情况</w:t>
            </w:r>
          </w:p>
        </w:tc>
      </w:tr>
      <w:tr w14:paraId="5B0DCD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A47E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17D454">
            <w:pPr>
              <w:jc w:val="both"/>
            </w:pPr>
            <w:r>
              <w:rPr>
                <w:rFonts w:ascii="宋体" w:hAnsi="宋体" w:eastAsia="宋体"/>
                <w:sz w:val="16"/>
              </w:rPr>
              <w:t>该项目总投资20万元，其中：财政资金20万元，其他资金0万元，主要用于开展行政执法工作经费保障，有利于推进自治州交通运输领域持续健康发展。通过该项目实施达到对辖区内交通运输领域开展综合行政执法监督检查及安全生产工作，打击非法营运，维护交通运输市场稳定，为新时代平安克州提供坚强交通执法保障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6B83FD">
            <w:pPr>
              <w:jc w:val="both"/>
            </w:pPr>
            <w:r>
              <w:rPr>
                <w:rFonts w:ascii="宋体" w:hAnsi="宋体" w:eastAsia="宋体"/>
                <w:sz w:val="16"/>
              </w:rPr>
              <w:t>截至2024年12月31日，该项目执行数为20万元，已完成：安全生产督导检查企业数量114家,“打非治违”专项行动执法检查行业数量207家，“双随机、一公开”检查企业数量92家，出动执法人员112人次，开展法治宣传240人次，出动执法车辆3辆。通过该项目实施达到对辖区内交通运输领域开展综合行政执法监督检查及安全生产工作，打击非法营运，维护交通运输市场稳定，为新时代平安克州提供坚强交通执法保障的效果。</w:t>
            </w:r>
          </w:p>
        </w:tc>
      </w:tr>
      <w:tr w14:paraId="53391D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8753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300D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EEE3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1252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F9C0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0975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518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EF17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1AC2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BC9C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52B7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53A1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1965F">
            <w:pPr>
              <w:jc w:val="center"/>
            </w:pPr>
            <w:r>
              <w:rPr>
                <w:rFonts w:ascii="宋体" w:hAnsi="宋体" w:eastAsia="宋体"/>
                <w:sz w:val="16"/>
              </w:rPr>
              <w:t>偏差原因分析及改进措施</w:t>
            </w:r>
          </w:p>
        </w:tc>
      </w:tr>
      <w:tr w14:paraId="5B3251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60569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22B5E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27B4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CB699">
            <w:pPr>
              <w:jc w:val="center"/>
            </w:pPr>
            <w:r>
              <w:rPr>
                <w:rFonts w:ascii="宋体" w:hAnsi="宋体" w:eastAsia="宋体"/>
                <w:sz w:val="16"/>
              </w:rPr>
              <w:t>安全生产督导检查企业数量（家）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58380">
            <w:pPr>
              <w:jc w:val="center"/>
            </w:pPr>
            <w:r>
              <w:rPr>
                <w:rFonts w:ascii="宋体" w:hAnsi="宋体" w:eastAsia="宋体"/>
                <w:sz w:val="16"/>
              </w:rPr>
              <w:t>&gt;=100家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3A4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EC269">
            <w:pPr>
              <w:jc w:val="center"/>
            </w:pPr>
            <w:r>
              <w:rPr>
                <w:rFonts w:ascii="宋体" w:hAnsi="宋体" w:eastAsia="宋体"/>
                <w:sz w:val="16"/>
              </w:rPr>
              <w:t>100家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7A42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5D8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177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6DA9F">
            <w:pPr>
              <w:jc w:val="center"/>
            </w:pPr>
            <w:r>
              <w:rPr>
                <w:rFonts w:ascii="宋体" w:hAnsi="宋体" w:eastAsia="宋体"/>
                <w:sz w:val="16"/>
              </w:rPr>
              <w:t>=114家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A0BA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7556D">
            <w:pPr>
              <w:jc w:val="center"/>
            </w:pPr>
          </w:p>
        </w:tc>
      </w:tr>
      <w:tr w14:paraId="0A83CD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799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897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E7D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BF7F2">
            <w:pPr>
              <w:jc w:val="center"/>
            </w:pPr>
            <w:r>
              <w:rPr>
                <w:rFonts w:ascii="宋体" w:hAnsi="宋体" w:eastAsia="宋体"/>
                <w:sz w:val="16"/>
              </w:rPr>
              <w:t>“打非治违”专项行动执法检查行业数量（家）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A3394">
            <w:pPr>
              <w:jc w:val="center"/>
            </w:pPr>
            <w:r>
              <w:rPr>
                <w:rFonts w:ascii="宋体" w:hAnsi="宋体" w:eastAsia="宋体"/>
                <w:sz w:val="16"/>
              </w:rPr>
              <w:t>&gt;=200家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058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3F0A7">
            <w:pPr>
              <w:jc w:val="center"/>
            </w:pPr>
            <w:r>
              <w:rPr>
                <w:rFonts w:ascii="宋体" w:hAnsi="宋体" w:eastAsia="宋体"/>
                <w:sz w:val="16"/>
              </w:rPr>
              <w:t>200家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49AC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96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3E7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5A6CC">
            <w:pPr>
              <w:jc w:val="center"/>
            </w:pPr>
            <w:r>
              <w:rPr>
                <w:rFonts w:ascii="宋体" w:hAnsi="宋体" w:eastAsia="宋体"/>
                <w:sz w:val="16"/>
              </w:rPr>
              <w:t>=207家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7EA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7FE1A">
            <w:pPr>
              <w:jc w:val="center"/>
            </w:pPr>
          </w:p>
        </w:tc>
      </w:tr>
      <w:tr w14:paraId="507A06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FE0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F56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1F0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12B53">
            <w:pPr>
              <w:jc w:val="center"/>
            </w:pPr>
            <w:r>
              <w:rPr>
                <w:rFonts w:hint="eastAsia" w:ascii="宋体" w:hAnsi="宋体"/>
                <w:sz w:val="16"/>
                <w:lang w:eastAsia="zh-CN"/>
              </w:rPr>
              <w:t>“双随机、一公开”</w:t>
            </w:r>
            <w:r>
              <w:rPr>
                <w:rFonts w:ascii="宋体" w:hAnsi="宋体" w:eastAsia="宋体"/>
                <w:sz w:val="16"/>
              </w:rPr>
              <w:t>检查企业数量（家）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8093F">
            <w:pPr>
              <w:jc w:val="center"/>
            </w:pPr>
            <w:r>
              <w:rPr>
                <w:rFonts w:ascii="宋体" w:hAnsi="宋体" w:eastAsia="宋体"/>
                <w:sz w:val="16"/>
              </w:rPr>
              <w:t>&gt;=50家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FF9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569D0">
            <w:pPr>
              <w:jc w:val="center"/>
            </w:pPr>
            <w:r>
              <w:rPr>
                <w:rFonts w:ascii="宋体" w:hAnsi="宋体" w:eastAsia="宋体"/>
                <w:sz w:val="16"/>
              </w:rPr>
              <w:t>55家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3835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EED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A36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D00E0">
            <w:pPr>
              <w:jc w:val="center"/>
            </w:pPr>
            <w:r>
              <w:rPr>
                <w:rFonts w:ascii="宋体" w:hAnsi="宋体" w:eastAsia="宋体"/>
                <w:sz w:val="16"/>
              </w:rPr>
              <w:t>=92家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195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828BC">
            <w:pPr>
              <w:jc w:val="center"/>
            </w:pPr>
          </w:p>
        </w:tc>
      </w:tr>
      <w:tr w14:paraId="3D2A96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422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270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B8D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6053">
            <w:pPr>
              <w:jc w:val="center"/>
            </w:pPr>
            <w:r>
              <w:rPr>
                <w:rFonts w:ascii="宋体" w:hAnsi="宋体" w:eastAsia="宋体"/>
                <w:sz w:val="16"/>
              </w:rPr>
              <w:t>出动执法人员（人次）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13760">
            <w:pPr>
              <w:jc w:val="center"/>
            </w:pPr>
            <w:r>
              <w:rPr>
                <w:rFonts w:ascii="宋体" w:hAnsi="宋体" w:eastAsia="宋体"/>
                <w:sz w:val="16"/>
              </w:rPr>
              <w:t>&gt;=100人次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D22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3968F">
            <w:pPr>
              <w:jc w:val="center"/>
            </w:pPr>
            <w:r>
              <w:rPr>
                <w:rFonts w:ascii="宋体" w:hAnsi="宋体" w:eastAsia="宋体"/>
                <w:sz w:val="16"/>
              </w:rPr>
              <w:t>145人次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B8BE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348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116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E16B">
            <w:pPr>
              <w:jc w:val="center"/>
            </w:pPr>
            <w:r>
              <w:rPr>
                <w:rFonts w:ascii="宋体" w:hAnsi="宋体" w:eastAsia="宋体"/>
                <w:sz w:val="16"/>
              </w:rPr>
              <w:t>=112人次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E45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86D2A">
            <w:pPr>
              <w:jc w:val="center"/>
            </w:pPr>
          </w:p>
        </w:tc>
      </w:tr>
      <w:tr w14:paraId="0E38A5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D65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D41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E1E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16B2E">
            <w:pPr>
              <w:jc w:val="center"/>
            </w:pPr>
            <w:r>
              <w:rPr>
                <w:rFonts w:ascii="宋体" w:hAnsi="宋体" w:eastAsia="宋体"/>
                <w:sz w:val="16"/>
              </w:rPr>
              <w:t>开展</w:t>
            </w:r>
            <w:r>
              <w:rPr>
                <w:rFonts w:hint="eastAsia" w:ascii="宋体" w:hAnsi="宋体"/>
                <w:sz w:val="16"/>
                <w:lang w:eastAsia="zh-CN"/>
              </w:rPr>
              <w:t>法治宣传</w:t>
            </w:r>
            <w:r>
              <w:rPr>
                <w:rFonts w:ascii="宋体" w:hAnsi="宋体" w:eastAsia="宋体"/>
                <w:sz w:val="16"/>
              </w:rPr>
              <w:t>（人次）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14308">
            <w:pPr>
              <w:jc w:val="center"/>
            </w:pPr>
            <w:r>
              <w:rPr>
                <w:rFonts w:ascii="宋体" w:hAnsi="宋体" w:eastAsia="宋体"/>
                <w:sz w:val="16"/>
              </w:rPr>
              <w:t>&gt;=100人次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1CD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D0E1">
            <w:pPr>
              <w:jc w:val="center"/>
            </w:pPr>
            <w:r>
              <w:rPr>
                <w:rFonts w:ascii="宋体" w:hAnsi="宋体" w:eastAsia="宋体"/>
                <w:sz w:val="16"/>
              </w:rPr>
              <w: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810D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2C3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09B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A007D">
            <w:pPr>
              <w:jc w:val="center"/>
            </w:pPr>
            <w:r>
              <w:rPr>
                <w:rFonts w:ascii="宋体" w:hAnsi="宋体" w:eastAsia="宋体"/>
                <w:sz w:val="16"/>
              </w:rPr>
              <w:t>=240人次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0ECB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3B6A3">
            <w:pPr>
              <w:jc w:val="center"/>
            </w:pPr>
          </w:p>
        </w:tc>
      </w:tr>
      <w:tr w14:paraId="1097E0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D84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140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68E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B3BDB">
            <w:pPr>
              <w:jc w:val="center"/>
            </w:pPr>
            <w:r>
              <w:rPr>
                <w:rFonts w:ascii="宋体" w:hAnsi="宋体" w:eastAsia="宋体"/>
                <w:sz w:val="16"/>
              </w:rPr>
              <w:t>出动执法车辆（辆）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E50A">
            <w:pPr>
              <w:jc w:val="center"/>
            </w:pPr>
            <w:r>
              <w:rPr>
                <w:rFonts w:ascii="宋体" w:hAnsi="宋体" w:eastAsia="宋体"/>
                <w:sz w:val="16"/>
              </w:rPr>
              <w:t>&gt;=3辆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94E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B4429">
            <w:pPr>
              <w:jc w:val="center"/>
            </w:pPr>
            <w:r>
              <w:rPr>
                <w:rFonts w:ascii="宋体" w:hAnsi="宋体" w:eastAsia="宋体"/>
                <w:sz w:val="16"/>
              </w:rPr>
              <w:t>3辆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7456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937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FA1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A22E1">
            <w:pPr>
              <w:jc w:val="center"/>
            </w:pPr>
            <w:r>
              <w:rPr>
                <w:rFonts w:ascii="宋体" w:hAnsi="宋体" w:eastAsia="宋体"/>
                <w:sz w:val="16"/>
              </w:rPr>
              <w:t>=3辆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2A5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A6104">
            <w:pPr>
              <w:jc w:val="center"/>
            </w:pPr>
          </w:p>
        </w:tc>
      </w:tr>
      <w:tr w14:paraId="70C56A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287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0E4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D6F9A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4DFC2">
            <w:pPr>
              <w:jc w:val="center"/>
            </w:pPr>
            <w:r>
              <w:rPr>
                <w:rFonts w:ascii="宋体" w:hAnsi="宋体" w:eastAsia="宋体"/>
                <w:sz w:val="16"/>
              </w:rPr>
              <w:t>执法抽检覆盖率（%）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14B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8F2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B0EC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E7E4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ADD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66F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20BC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E00F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8098A">
            <w:pPr>
              <w:jc w:val="center"/>
            </w:pPr>
          </w:p>
        </w:tc>
      </w:tr>
      <w:tr w14:paraId="367BC3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754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52A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3AA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C4409">
            <w:pPr>
              <w:jc w:val="center"/>
            </w:pPr>
            <w:r>
              <w:rPr>
                <w:rFonts w:ascii="宋体" w:hAnsi="宋体" w:eastAsia="宋体"/>
                <w:sz w:val="16"/>
              </w:rPr>
              <w:t>年度内保障交通运输市场运行率（%）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C7B0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714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B38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4B5C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609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C21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3776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9626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AE298">
            <w:pPr>
              <w:jc w:val="center"/>
            </w:pPr>
          </w:p>
        </w:tc>
      </w:tr>
      <w:tr w14:paraId="3D7449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DE5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384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08D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1834C">
            <w:pPr>
              <w:jc w:val="center"/>
            </w:pPr>
            <w:r>
              <w:rPr>
                <w:rFonts w:hint="eastAsia" w:ascii="宋体" w:hAnsi="宋体"/>
                <w:sz w:val="16"/>
                <w:lang w:eastAsia="zh-CN"/>
              </w:rPr>
              <w:t>法治宣传</w:t>
            </w:r>
            <w:r>
              <w:rPr>
                <w:rFonts w:ascii="宋体" w:hAnsi="宋体" w:eastAsia="宋体"/>
                <w:sz w:val="16"/>
              </w:rPr>
              <w:t>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C275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FF5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EAA8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6BC0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7D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078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270F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3A2B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4D70B">
            <w:pPr>
              <w:jc w:val="center"/>
            </w:pPr>
          </w:p>
        </w:tc>
      </w:tr>
      <w:tr w14:paraId="0F3243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A27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A75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1464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8F74C">
            <w:pPr>
              <w:jc w:val="center"/>
            </w:pPr>
            <w:r>
              <w:rPr>
                <w:rFonts w:ascii="宋体" w:hAnsi="宋体" w:eastAsia="宋体"/>
                <w:sz w:val="16"/>
              </w:rPr>
              <w:t>排查安全生产隐患及时率（%）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4C5D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71F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3EF3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41F4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89A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91D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68D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6ADE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D4428">
            <w:pPr>
              <w:jc w:val="center"/>
            </w:pPr>
          </w:p>
        </w:tc>
      </w:tr>
      <w:tr w14:paraId="769B64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1D4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4B4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487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F008F">
            <w:pPr>
              <w:jc w:val="center"/>
            </w:pPr>
            <w:r>
              <w:rPr>
                <w:rFonts w:ascii="宋体" w:hAnsi="宋体" w:eastAsia="宋体"/>
                <w:sz w:val="16"/>
              </w:rPr>
              <w:t>各项任务完成时间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5AAA8">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D42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984DA">
            <w:pPr>
              <w:jc w:val="center"/>
            </w:pPr>
            <w:r>
              <w:rPr>
                <w:rFonts w:ascii="宋体" w:hAnsi="宋体" w:eastAsia="宋体"/>
                <w:sz w:val="16"/>
              </w:rPr>
              <w:t>2022年12月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1CB9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BEE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7D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98CE9">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657F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FD4A4">
            <w:pPr>
              <w:jc w:val="center"/>
            </w:pPr>
          </w:p>
        </w:tc>
      </w:tr>
      <w:tr w14:paraId="7BF21C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417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014C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993D7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EB936">
            <w:pPr>
              <w:jc w:val="center"/>
            </w:pPr>
            <w:r>
              <w:rPr>
                <w:rFonts w:ascii="宋体" w:hAnsi="宋体" w:eastAsia="宋体"/>
                <w:sz w:val="16"/>
              </w:rPr>
              <w:t>执法工作办公经费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A62F3">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EBE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41CFA">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03D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E67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D47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FAD6">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FD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6E1FD">
            <w:pPr>
              <w:jc w:val="center"/>
            </w:pPr>
          </w:p>
        </w:tc>
      </w:tr>
      <w:tr w14:paraId="74EE2F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51C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089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620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55142">
            <w:pPr>
              <w:jc w:val="center"/>
            </w:pPr>
            <w:r>
              <w:rPr>
                <w:rFonts w:ascii="宋体" w:hAnsi="宋体" w:eastAsia="宋体"/>
                <w:sz w:val="16"/>
              </w:rPr>
              <w:t>执法公务用车经费数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AA321">
            <w:pPr>
              <w:jc w:val="center"/>
            </w:pPr>
            <w:r>
              <w:rPr>
                <w:rFonts w:ascii="宋体" w:hAnsi="宋体" w:eastAsia="宋体"/>
                <w:sz w:val="16"/>
              </w:rPr>
              <w:t>&lt;=13万元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7D8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6DA21">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B77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31E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60F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EBEAE">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5B3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D7BFE">
            <w:pPr>
              <w:jc w:val="center"/>
            </w:pPr>
          </w:p>
        </w:tc>
      </w:tr>
      <w:tr w14:paraId="3A96BD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C58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CC37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045A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0DA60">
            <w:pPr>
              <w:jc w:val="center"/>
            </w:pPr>
            <w:r>
              <w:rPr>
                <w:rFonts w:ascii="宋体" w:hAnsi="宋体" w:eastAsia="宋体"/>
                <w:sz w:val="16"/>
              </w:rPr>
              <w:t>打击非法营运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66B00">
            <w:pPr>
              <w:jc w:val="center"/>
            </w:pPr>
            <w:r>
              <w:rPr>
                <w:rFonts w:ascii="宋体" w:hAnsi="宋体" w:eastAsia="宋体"/>
                <w:sz w:val="16"/>
              </w:rPr>
              <w:t>持续坚持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037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831C3">
            <w:pPr>
              <w:jc w:val="center"/>
            </w:pPr>
            <w:r>
              <w:rPr>
                <w:rFonts w:ascii="宋体" w:hAnsi="宋体" w:eastAsia="宋体"/>
                <w:sz w:val="16"/>
              </w:rPr>
              <w:t>持续坚持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329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19C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73E8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2025E">
            <w:pPr>
              <w:jc w:val="center"/>
            </w:pPr>
            <w:r>
              <w:rPr>
                <w:rFonts w:ascii="宋体" w:hAnsi="宋体" w:eastAsia="宋体"/>
                <w:sz w:val="16"/>
              </w:rPr>
              <w:t>持续坚持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0A67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2EB4C">
            <w:pPr>
              <w:jc w:val="center"/>
            </w:pPr>
          </w:p>
        </w:tc>
      </w:tr>
      <w:tr w14:paraId="3188F7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057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1C9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B43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26D2A">
            <w:pPr>
              <w:jc w:val="center"/>
            </w:pPr>
            <w:r>
              <w:rPr>
                <w:rFonts w:ascii="宋体" w:hAnsi="宋体" w:eastAsia="宋体"/>
                <w:sz w:val="16"/>
              </w:rPr>
              <w:t>社会服务对象满意度（%）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509E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717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18F9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EC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5418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62B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4AA9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D58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2AC21">
            <w:pPr>
              <w:jc w:val="center"/>
            </w:pPr>
          </w:p>
        </w:tc>
      </w:tr>
      <w:tr w14:paraId="2C404D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A8DE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F52C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5250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EB1DB5">
            <w:pPr>
              <w:jc w:val="center"/>
            </w:pPr>
            <w:r>
              <w:rPr>
                <w:rFonts w:ascii="宋体" w:hAnsi="宋体" w:eastAsia="宋体"/>
                <w:sz w:val="16"/>
              </w:rPr>
              <w:t>100分</w:t>
            </w:r>
          </w:p>
        </w:tc>
      </w:tr>
    </w:tbl>
    <w:p w14:paraId="47719B5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D3DEF95">
        <w:tc>
          <w:tcPr>
            <w:tcW w:w="8848" w:type="dxa"/>
            <w:gridSpan w:val="14"/>
            <w:vAlign w:val="center"/>
          </w:tcPr>
          <w:p w14:paraId="789FCAFE">
            <w:pPr>
              <w:jc w:val="center"/>
            </w:pPr>
            <w:r>
              <w:rPr>
                <w:rFonts w:ascii="宋体" w:hAnsi="宋体" w:eastAsia="宋体"/>
                <w:sz w:val="24"/>
              </w:rPr>
              <w:t>项目支出绩效自评表</w:t>
            </w:r>
          </w:p>
        </w:tc>
      </w:tr>
      <w:tr w14:paraId="4EDBE31A">
        <w:tblPrEx>
          <w:tblCellMar>
            <w:top w:w="0" w:type="dxa"/>
            <w:left w:w="108" w:type="dxa"/>
            <w:bottom w:w="0" w:type="dxa"/>
            <w:right w:w="108" w:type="dxa"/>
          </w:tblCellMar>
        </w:tblPrEx>
        <w:tc>
          <w:tcPr>
            <w:tcW w:w="8848" w:type="dxa"/>
            <w:gridSpan w:val="14"/>
            <w:vAlign w:val="center"/>
          </w:tcPr>
          <w:p w14:paraId="367665DA">
            <w:pPr>
              <w:jc w:val="center"/>
            </w:pPr>
            <w:r>
              <w:rPr>
                <w:rFonts w:ascii="宋体" w:hAnsi="宋体" w:eastAsia="宋体"/>
                <w:sz w:val="24"/>
              </w:rPr>
              <w:t>(2024年度)</w:t>
            </w:r>
          </w:p>
        </w:tc>
      </w:tr>
      <w:tr w14:paraId="0D3E18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E4EA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69B78A">
            <w:pPr>
              <w:jc w:val="center"/>
            </w:pPr>
            <w:r>
              <w:rPr>
                <w:rFonts w:ascii="宋体" w:hAnsi="宋体" w:eastAsia="宋体"/>
                <w:sz w:val="16"/>
              </w:rPr>
              <w:t>执法制式服装经费项目</w:t>
            </w:r>
          </w:p>
        </w:tc>
      </w:tr>
      <w:tr w14:paraId="5FAF9B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7286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D37026">
            <w:pPr>
              <w:jc w:val="center"/>
            </w:pPr>
            <w:r>
              <w:rPr>
                <w:rFonts w:ascii="宋体" w:hAnsi="宋体" w:eastAsia="宋体"/>
                <w:sz w:val="16"/>
              </w:rPr>
              <w:t>克州交通运输局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238E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4A4E41">
            <w:pPr>
              <w:jc w:val="center"/>
            </w:pPr>
            <w:r>
              <w:rPr>
                <w:rFonts w:ascii="宋体" w:hAnsi="宋体" w:eastAsia="宋体"/>
                <w:sz w:val="16"/>
              </w:rPr>
              <w:t>克孜勒苏柯尔克孜自治州交通运输综合行政执法局</w:t>
            </w:r>
          </w:p>
        </w:tc>
      </w:tr>
      <w:tr w14:paraId="711F42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E08EB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8C75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54F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8C4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7A82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0E99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8327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22B1B">
            <w:pPr>
              <w:jc w:val="center"/>
            </w:pPr>
            <w:r>
              <w:rPr>
                <w:rFonts w:ascii="宋体" w:hAnsi="宋体" w:eastAsia="宋体"/>
                <w:sz w:val="16"/>
              </w:rPr>
              <w:t>得分</w:t>
            </w:r>
          </w:p>
        </w:tc>
      </w:tr>
      <w:tr w14:paraId="537C15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1D2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A35D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06CAC">
            <w:pPr>
              <w:jc w:val="center"/>
            </w:pPr>
            <w:r>
              <w:rPr>
                <w:rFonts w:ascii="宋体" w:hAnsi="宋体" w:eastAsia="宋体"/>
                <w:sz w:val="16"/>
              </w:rPr>
              <w:t>1.32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AFD44">
            <w:pPr>
              <w:jc w:val="center"/>
            </w:pPr>
            <w:r>
              <w:rPr>
                <w:rFonts w:ascii="宋体" w:hAnsi="宋体" w:eastAsia="宋体"/>
                <w:sz w:val="16"/>
              </w:rPr>
              <w:t>1.32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0888D">
            <w:pPr>
              <w:jc w:val="center"/>
            </w:pPr>
            <w:r>
              <w:rPr>
                <w:rFonts w:ascii="宋体" w:hAnsi="宋体" w:eastAsia="宋体"/>
                <w:sz w:val="16"/>
              </w:rPr>
              <w:t>1.32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363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E390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502A8">
            <w:pPr>
              <w:jc w:val="center"/>
            </w:pPr>
            <w:r>
              <w:rPr>
                <w:rFonts w:ascii="宋体" w:hAnsi="宋体" w:eastAsia="宋体"/>
                <w:sz w:val="16"/>
              </w:rPr>
              <w:t>10.00分</w:t>
            </w:r>
          </w:p>
        </w:tc>
      </w:tr>
      <w:tr w14:paraId="5D2828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C93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19A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FE590">
            <w:pPr>
              <w:jc w:val="center"/>
            </w:pPr>
            <w:r>
              <w:rPr>
                <w:rFonts w:ascii="宋体" w:hAnsi="宋体" w:eastAsia="宋体"/>
                <w:sz w:val="16"/>
              </w:rPr>
              <w:t>1.32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B9716">
            <w:pPr>
              <w:jc w:val="center"/>
            </w:pPr>
            <w:r>
              <w:rPr>
                <w:rFonts w:ascii="宋体" w:hAnsi="宋体" w:eastAsia="宋体"/>
                <w:sz w:val="16"/>
              </w:rPr>
              <w:t>1.32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6F10D">
            <w:pPr>
              <w:jc w:val="center"/>
            </w:pPr>
            <w:r>
              <w:rPr>
                <w:rFonts w:ascii="宋体" w:hAnsi="宋体" w:eastAsia="宋体"/>
                <w:sz w:val="16"/>
              </w:rPr>
              <w:t>1.32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EEE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82F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A79AB">
            <w:pPr>
              <w:jc w:val="center"/>
            </w:pPr>
            <w:r>
              <w:rPr>
                <w:rFonts w:ascii="宋体" w:hAnsi="宋体" w:eastAsia="宋体"/>
                <w:sz w:val="16"/>
              </w:rPr>
              <w:t>—</w:t>
            </w:r>
          </w:p>
        </w:tc>
      </w:tr>
      <w:tr w14:paraId="7962F7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215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5DB3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60B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977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8AA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6FB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0DD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8832B">
            <w:pPr>
              <w:jc w:val="center"/>
            </w:pPr>
            <w:r>
              <w:rPr>
                <w:rFonts w:ascii="宋体" w:hAnsi="宋体" w:eastAsia="宋体"/>
                <w:sz w:val="16"/>
              </w:rPr>
              <w:t>—</w:t>
            </w:r>
          </w:p>
        </w:tc>
      </w:tr>
      <w:tr w14:paraId="3B8982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5196C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76246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2D18F3">
            <w:pPr>
              <w:jc w:val="center"/>
            </w:pPr>
            <w:r>
              <w:rPr>
                <w:rFonts w:ascii="宋体" w:hAnsi="宋体" w:eastAsia="宋体"/>
                <w:sz w:val="16"/>
              </w:rPr>
              <w:t>实际完成情况</w:t>
            </w:r>
          </w:p>
        </w:tc>
      </w:tr>
      <w:tr w14:paraId="069118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C608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1088C3">
            <w:pPr>
              <w:jc w:val="both"/>
            </w:pPr>
            <w:r>
              <w:rPr>
                <w:rFonts w:ascii="宋体" w:hAnsi="宋体" w:eastAsia="宋体"/>
                <w:sz w:val="16"/>
              </w:rPr>
              <w:t>项目总投资1.32万元，其中：财政资金1.32万元，其他资金0万元，用于保障行政执法人员执法制式服装制作事宜。通过该项目的实施能够切实加强综合行政执法队伍建设，督促综合行政执法人员规范穿着制式服装、佩戴标志，严肃仪容仪表及执法风纪。</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B3F037">
            <w:pPr>
              <w:jc w:val="both"/>
            </w:pPr>
            <w:r>
              <w:rPr>
                <w:rFonts w:hint="eastAsia" w:ascii="宋体" w:hAnsi="宋体"/>
                <w:sz w:val="16"/>
                <w:lang w:eastAsia="zh-CN"/>
              </w:rPr>
              <w:t>截至</w:t>
            </w:r>
            <w:r>
              <w:rPr>
                <w:rFonts w:ascii="宋体" w:hAnsi="宋体" w:eastAsia="宋体"/>
                <w:sz w:val="16"/>
              </w:rPr>
              <w:t>2024年12月31日该项目已实施完毕。完成情况：2024年本单位具有行政执法资格人员3人，制作执法制式服装及装备3套。该项目的实施，能够切实加强综合行政执法队伍建设，督促综合行政执法人员规范穿着制式服装、佩戴标志，严肃仪容仪表及执法风纪,有效加快推进了自治州交通运输领域持续健康发展。</w:t>
            </w:r>
          </w:p>
        </w:tc>
      </w:tr>
      <w:tr w14:paraId="772FE9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DDD4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C6E8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2015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CF24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A829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2488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113D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1ADE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B6DB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4BE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D6C1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D94E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63F70">
            <w:pPr>
              <w:jc w:val="center"/>
            </w:pPr>
            <w:r>
              <w:rPr>
                <w:rFonts w:ascii="宋体" w:hAnsi="宋体" w:eastAsia="宋体"/>
                <w:sz w:val="16"/>
              </w:rPr>
              <w:t>偏差原因分析及改进措施</w:t>
            </w:r>
          </w:p>
        </w:tc>
      </w:tr>
      <w:tr w14:paraId="059CA5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DD755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36894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6998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1B913">
            <w:pPr>
              <w:jc w:val="center"/>
            </w:pPr>
            <w:r>
              <w:rPr>
                <w:rFonts w:ascii="宋体" w:hAnsi="宋体" w:eastAsia="宋体"/>
                <w:sz w:val="16"/>
              </w:rPr>
              <w:t>行政执法人员（人）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B4C5B">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2CF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A5E71">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BB30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DF3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548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A1659">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297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F2CA2">
            <w:pPr>
              <w:jc w:val="center"/>
            </w:pPr>
          </w:p>
        </w:tc>
      </w:tr>
      <w:tr w14:paraId="775930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D28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23A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E1A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13391">
            <w:pPr>
              <w:jc w:val="center"/>
            </w:pPr>
            <w:r>
              <w:rPr>
                <w:rFonts w:ascii="宋体" w:hAnsi="宋体" w:eastAsia="宋体"/>
                <w:sz w:val="16"/>
              </w:rPr>
              <w:t>购置服装数量(套)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9709F">
            <w:pPr>
              <w:jc w:val="center"/>
            </w:pPr>
            <w:r>
              <w:rPr>
                <w:rFonts w:ascii="宋体" w:hAnsi="宋体" w:eastAsia="宋体"/>
                <w:sz w:val="16"/>
              </w:rPr>
              <w:t>&gt;=3套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7F3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02B30">
            <w:pPr>
              <w:jc w:val="center"/>
            </w:pPr>
            <w:r>
              <w:rPr>
                <w:rFonts w:ascii="宋体" w:hAnsi="宋体" w:eastAsia="宋体"/>
                <w:sz w:val="16"/>
              </w:rPr>
              <w: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A06A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A06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7C1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742C3">
            <w:pPr>
              <w:jc w:val="center"/>
            </w:pPr>
            <w:r>
              <w:rPr>
                <w:rFonts w:ascii="宋体" w:hAnsi="宋体" w:eastAsia="宋体"/>
                <w:sz w:val="16"/>
              </w:rPr>
              <w:t>=3套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F7E1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A5B37">
            <w:pPr>
              <w:jc w:val="center"/>
            </w:pPr>
          </w:p>
        </w:tc>
      </w:tr>
      <w:tr w14:paraId="4372DC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BE9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7C8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96FA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27515">
            <w:pPr>
              <w:jc w:val="center"/>
            </w:pPr>
            <w:r>
              <w:rPr>
                <w:rFonts w:ascii="宋体" w:hAnsi="宋体" w:eastAsia="宋体"/>
                <w:sz w:val="16"/>
              </w:rPr>
              <w:t>到货验收合格率（%）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C12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DDC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7C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1861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0C1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FA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5FE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69A2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EEC84">
            <w:pPr>
              <w:jc w:val="center"/>
            </w:pPr>
          </w:p>
        </w:tc>
      </w:tr>
      <w:tr w14:paraId="26BAAA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83B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24E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D44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5E9B3">
            <w:pPr>
              <w:jc w:val="center"/>
            </w:pPr>
            <w:r>
              <w:rPr>
                <w:rFonts w:ascii="宋体" w:hAnsi="宋体" w:eastAsia="宋体"/>
                <w:sz w:val="16"/>
              </w:rPr>
              <w:t>案卷评查率（%）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F6E6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46E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77C4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7FC8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06E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1AD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27C2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7D29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94325">
            <w:pPr>
              <w:jc w:val="center"/>
            </w:pPr>
          </w:p>
        </w:tc>
      </w:tr>
      <w:tr w14:paraId="567CF1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04B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45E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DDCC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0B78">
            <w:pPr>
              <w:jc w:val="center"/>
            </w:pPr>
            <w:r>
              <w:rPr>
                <w:rFonts w:ascii="宋体" w:hAnsi="宋体" w:eastAsia="宋体"/>
                <w:sz w:val="16"/>
              </w:rPr>
              <w:t>服装购置完成时间（%）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3E8BD">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49F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D5834">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DFE3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911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E07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55FFF">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AA51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2B307">
            <w:pPr>
              <w:jc w:val="center"/>
            </w:pPr>
          </w:p>
        </w:tc>
      </w:tr>
      <w:tr w14:paraId="00F627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67E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85033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973F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C89C5">
            <w:pPr>
              <w:jc w:val="center"/>
            </w:pPr>
            <w:r>
              <w:rPr>
                <w:rFonts w:ascii="宋体" w:hAnsi="宋体" w:eastAsia="宋体"/>
                <w:sz w:val="16"/>
              </w:rPr>
              <w:t>冬夏季常服、执勤服、防寒帽、衬衫、裙子、裤子、腰带及鞋类等（万元）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060D">
            <w:pPr>
              <w:jc w:val="center"/>
            </w:pPr>
            <w:r>
              <w:rPr>
                <w:rFonts w:ascii="宋体" w:hAnsi="宋体" w:eastAsia="宋体"/>
                <w:sz w:val="16"/>
              </w:rPr>
              <w:t>&lt;=1.32万元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74C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4E432">
            <w:pPr>
              <w:jc w:val="center"/>
            </w:pPr>
            <w:r>
              <w:rPr>
                <w:rFonts w:ascii="宋体" w:hAnsi="宋体" w:eastAsia="宋体"/>
                <w:sz w:val="16"/>
              </w:rPr>
              <w: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FA9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B1C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E29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8A579">
            <w:pPr>
              <w:jc w:val="center"/>
            </w:pPr>
            <w:r>
              <w:rPr>
                <w:rFonts w:ascii="宋体" w:hAnsi="宋体" w:eastAsia="宋体"/>
                <w:sz w:val="16"/>
              </w:rPr>
              <w:t>=1.32万元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25B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AFBD5">
            <w:pPr>
              <w:jc w:val="center"/>
            </w:pPr>
          </w:p>
        </w:tc>
      </w:tr>
      <w:tr w14:paraId="28784E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0A7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6C3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2C6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084EB">
            <w:pPr>
              <w:jc w:val="center"/>
            </w:pPr>
            <w:r>
              <w:rPr>
                <w:rFonts w:ascii="宋体" w:hAnsi="宋体" w:eastAsia="宋体"/>
                <w:sz w:val="16"/>
              </w:rPr>
              <w:t>成本预算控制率（%）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031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B555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5B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104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7E4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1B7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3BD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DDB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B47F3">
            <w:pPr>
              <w:jc w:val="center"/>
            </w:pPr>
          </w:p>
        </w:tc>
      </w:tr>
      <w:tr w14:paraId="713DBD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AB5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5C28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039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DCF2">
            <w:pPr>
              <w:jc w:val="center"/>
            </w:pPr>
            <w:r>
              <w:rPr>
                <w:rFonts w:ascii="宋体" w:hAnsi="宋体" w:eastAsia="宋体"/>
                <w:sz w:val="16"/>
              </w:rPr>
              <w:t>提升公共服务能力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0071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91A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4ADB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F3C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76B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D94C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5523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8C10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FB755">
            <w:pPr>
              <w:jc w:val="center"/>
            </w:pPr>
          </w:p>
        </w:tc>
      </w:tr>
      <w:tr w14:paraId="1C3F09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E57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A8C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34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560F1">
            <w:pPr>
              <w:jc w:val="center"/>
            </w:pPr>
            <w:r>
              <w:rPr>
                <w:rFonts w:ascii="宋体" w:hAnsi="宋体" w:eastAsia="宋体"/>
                <w:sz w:val="16"/>
              </w:rPr>
              <w:t>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0E79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86A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818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975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8F32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223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9E9B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25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E3843">
            <w:pPr>
              <w:jc w:val="center"/>
            </w:pPr>
          </w:p>
        </w:tc>
      </w:tr>
      <w:tr w14:paraId="69756F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B4F7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1CAD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3D00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A7B340">
            <w:pPr>
              <w:jc w:val="center"/>
            </w:pPr>
            <w:r>
              <w:rPr>
                <w:rFonts w:ascii="宋体" w:hAnsi="宋体" w:eastAsia="宋体"/>
                <w:sz w:val="16"/>
              </w:rPr>
              <w:t>100分</w:t>
            </w:r>
          </w:p>
        </w:tc>
      </w:tr>
    </w:tbl>
    <w:p w14:paraId="1308D3D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8A420D3">
        <w:tblPrEx>
          <w:tblCellMar>
            <w:top w:w="0" w:type="dxa"/>
            <w:left w:w="108" w:type="dxa"/>
            <w:bottom w:w="0" w:type="dxa"/>
            <w:right w:w="108" w:type="dxa"/>
          </w:tblCellMar>
        </w:tblPrEx>
        <w:tc>
          <w:tcPr>
            <w:tcW w:w="8848" w:type="dxa"/>
            <w:gridSpan w:val="14"/>
            <w:vAlign w:val="center"/>
          </w:tcPr>
          <w:p w14:paraId="36772B57">
            <w:pPr>
              <w:jc w:val="center"/>
            </w:pPr>
            <w:r>
              <w:rPr>
                <w:rFonts w:ascii="宋体" w:hAnsi="宋体" w:eastAsia="宋体"/>
                <w:sz w:val="24"/>
              </w:rPr>
              <w:t>项目支出绩效自评表</w:t>
            </w:r>
          </w:p>
        </w:tc>
      </w:tr>
      <w:tr w14:paraId="17FD6D18">
        <w:tblPrEx>
          <w:tblCellMar>
            <w:top w:w="0" w:type="dxa"/>
            <w:left w:w="108" w:type="dxa"/>
            <w:bottom w:w="0" w:type="dxa"/>
            <w:right w:w="108" w:type="dxa"/>
          </w:tblCellMar>
        </w:tblPrEx>
        <w:tc>
          <w:tcPr>
            <w:tcW w:w="8848" w:type="dxa"/>
            <w:gridSpan w:val="14"/>
            <w:vAlign w:val="center"/>
          </w:tcPr>
          <w:p w14:paraId="2F34E4FD">
            <w:pPr>
              <w:jc w:val="center"/>
            </w:pPr>
            <w:r>
              <w:rPr>
                <w:rFonts w:ascii="宋体" w:hAnsi="宋体" w:eastAsia="宋体"/>
                <w:sz w:val="24"/>
              </w:rPr>
              <w:t>(2024年度)</w:t>
            </w:r>
          </w:p>
        </w:tc>
      </w:tr>
      <w:tr w14:paraId="3DCBF5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A4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C3DD60">
            <w:pPr>
              <w:jc w:val="center"/>
            </w:pPr>
            <w:r>
              <w:rPr>
                <w:rFonts w:ascii="宋体" w:hAnsi="宋体" w:eastAsia="宋体"/>
                <w:sz w:val="16"/>
              </w:rPr>
              <w:t>结转结余</w:t>
            </w:r>
            <w:r>
              <w:rPr>
                <w:rFonts w:hint="eastAsia" w:ascii="宋体" w:hAnsi="宋体"/>
                <w:sz w:val="16"/>
                <w:lang w:eastAsia="zh-CN"/>
              </w:rPr>
              <w:t>WW</w:t>
            </w:r>
            <w:r>
              <w:rPr>
                <w:rFonts w:ascii="宋体" w:hAnsi="宋体" w:eastAsia="宋体"/>
                <w:sz w:val="16"/>
              </w:rPr>
              <w:t>及执法经费</w:t>
            </w:r>
          </w:p>
        </w:tc>
      </w:tr>
      <w:tr w14:paraId="5AF63A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4790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8F0386">
            <w:pPr>
              <w:jc w:val="center"/>
            </w:pPr>
            <w:r>
              <w:rPr>
                <w:rFonts w:ascii="宋体" w:hAnsi="宋体" w:eastAsia="宋体"/>
                <w:sz w:val="16"/>
              </w:rPr>
              <w:t>克州交通运输局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73B9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EE1D47">
            <w:pPr>
              <w:jc w:val="center"/>
            </w:pPr>
            <w:r>
              <w:rPr>
                <w:rFonts w:ascii="宋体" w:hAnsi="宋体" w:eastAsia="宋体"/>
                <w:sz w:val="16"/>
              </w:rPr>
              <w:t>克孜勒苏柯尔克孜自治州交通运输综合行政执法局</w:t>
            </w:r>
          </w:p>
        </w:tc>
      </w:tr>
      <w:tr w14:paraId="5DDADD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C6B0F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0658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7DF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3F4D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9DAE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16A0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E485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C9AA8">
            <w:pPr>
              <w:jc w:val="center"/>
            </w:pPr>
            <w:r>
              <w:rPr>
                <w:rFonts w:ascii="宋体" w:hAnsi="宋体" w:eastAsia="宋体"/>
                <w:sz w:val="16"/>
              </w:rPr>
              <w:t>得分</w:t>
            </w:r>
          </w:p>
        </w:tc>
      </w:tr>
      <w:tr w14:paraId="413A1F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1E7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E094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8D49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6CAA6">
            <w:pPr>
              <w:jc w:val="center"/>
            </w:pPr>
            <w:r>
              <w:rPr>
                <w:rFonts w:ascii="宋体" w:hAnsi="宋体" w:eastAsia="宋体"/>
                <w:sz w:val="16"/>
              </w:rPr>
              <w:t>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48104">
            <w:pPr>
              <w:jc w:val="center"/>
            </w:pPr>
            <w:r>
              <w:rPr>
                <w:rFonts w:ascii="宋体" w:hAnsi="宋体" w:eastAsia="宋体"/>
                <w:sz w:val="16"/>
              </w:rPr>
              <w:t>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15F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4039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CF6F2">
            <w:pPr>
              <w:jc w:val="center"/>
            </w:pPr>
            <w:r>
              <w:rPr>
                <w:rFonts w:ascii="宋体" w:hAnsi="宋体" w:eastAsia="宋体"/>
                <w:sz w:val="16"/>
              </w:rPr>
              <w:t>10.00分</w:t>
            </w:r>
          </w:p>
        </w:tc>
      </w:tr>
      <w:tr w14:paraId="633903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990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55F5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A1A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7F1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A5D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09C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30F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B392E">
            <w:pPr>
              <w:jc w:val="center"/>
            </w:pPr>
            <w:r>
              <w:rPr>
                <w:rFonts w:ascii="宋体" w:hAnsi="宋体" w:eastAsia="宋体"/>
                <w:sz w:val="16"/>
              </w:rPr>
              <w:t>—</w:t>
            </w:r>
          </w:p>
        </w:tc>
      </w:tr>
      <w:tr w14:paraId="700910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3C8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3119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53715">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F0523">
            <w:pPr>
              <w:jc w:val="center"/>
            </w:pPr>
            <w:r>
              <w:rPr>
                <w:rFonts w:ascii="宋体" w:hAnsi="宋体" w:eastAsia="宋体"/>
                <w:sz w:val="16"/>
              </w:rPr>
              <w:t>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162F7">
            <w:pPr>
              <w:jc w:val="center"/>
            </w:pPr>
            <w:r>
              <w:rPr>
                <w:rFonts w:ascii="宋体" w:hAnsi="宋体" w:eastAsia="宋体"/>
                <w:sz w:val="16"/>
              </w:rPr>
              <w:t>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D11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D89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9EEA2">
            <w:pPr>
              <w:jc w:val="center"/>
            </w:pPr>
            <w:r>
              <w:rPr>
                <w:rFonts w:ascii="宋体" w:hAnsi="宋体" w:eastAsia="宋体"/>
                <w:sz w:val="16"/>
              </w:rPr>
              <w:t>—</w:t>
            </w:r>
          </w:p>
        </w:tc>
      </w:tr>
      <w:tr w14:paraId="74D069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5DB7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4E56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27DE8E">
            <w:pPr>
              <w:jc w:val="center"/>
            </w:pPr>
            <w:r>
              <w:rPr>
                <w:rFonts w:ascii="宋体" w:hAnsi="宋体" w:eastAsia="宋体"/>
                <w:sz w:val="16"/>
              </w:rPr>
              <w:t>实际完成情况</w:t>
            </w:r>
          </w:p>
        </w:tc>
      </w:tr>
      <w:tr w14:paraId="74BA0E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1038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35F048">
            <w:pPr>
              <w:jc w:val="both"/>
            </w:pPr>
            <w:r>
              <w:rPr>
                <w:rFonts w:ascii="宋体" w:hAnsi="宋体" w:eastAsia="宋体"/>
                <w:sz w:val="16"/>
              </w:rPr>
              <w:t>该项目总投资9.9万元，其中：财政资金0万元，其他资金9.9万元，主要用于开展</w:t>
            </w:r>
            <w:r>
              <w:rPr>
                <w:rFonts w:hint="eastAsia" w:ascii="宋体" w:hAnsi="宋体"/>
                <w:sz w:val="16"/>
                <w:lang w:eastAsia="zh-CN"/>
              </w:rPr>
              <w:t>WW</w:t>
            </w:r>
            <w:r>
              <w:rPr>
                <w:rFonts w:ascii="宋体" w:hAnsi="宋体" w:eastAsia="宋体"/>
                <w:sz w:val="16"/>
              </w:rPr>
              <w:t>及执法工作经费保障，有利于推进自治州交通运输领域持续健康发展。通过该项目实施达到对辖区内交通运输领域开展综合行政执法监督检查及安全生产工作，打击非法营运，维护交通运输市场稳定，为新时代平安克州提供坚强交通执法保障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1C9E15">
            <w:pPr>
              <w:jc w:val="both"/>
            </w:pPr>
            <w:r>
              <w:rPr>
                <w:rFonts w:ascii="宋体" w:hAnsi="宋体" w:eastAsia="宋体"/>
                <w:sz w:val="16"/>
              </w:rPr>
              <w:t>截至2024年12月31日，已完成：安全生产督导检查企业数量,114家，“打非治违”专项行动执法检查行业数量207家，出动执法人员112人次。通过该项目实施达到对辖区内交通运输领域开展综合行政执法监督检查及安全生产工作，打击非法营运，维护交通运输市场稳定，为新时代平安克州提供坚强交通执法保障的效果。</w:t>
            </w:r>
          </w:p>
        </w:tc>
      </w:tr>
      <w:tr w14:paraId="4C52D9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F643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80F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D33F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5574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26B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3C3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3A91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61C4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6FE5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D70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535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9FFF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BDAC8">
            <w:pPr>
              <w:jc w:val="center"/>
            </w:pPr>
            <w:r>
              <w:rPr>
                <w:rFonts w:ascii="宋体" w:hAnsi="宋体" w:eastAsia="宋体"/>
                <w:sz w:val="16"/>
              </w:rPr>
              <w:t>偏差原因分析及改进措施</w:t>
            </w:r>
          </w:p>
        </w:tc>
      </w:tr>
      <w:tr w14:paraId="468ADB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D453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44A7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D384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D1EFA">
            <w:pPr>
              <w:jc w:val="center"/>
            </w:pPr>
            <w:r>
              <w:rPr>
                <w:rFonts w:ascii="宋体" w:hAnsi="宋体" w:eastAsia="宋体"/>
                <w:sz w:val="16"/>
              </w:rPr>
              <w:t>安全生产督导检查企业数量（家）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1515E">
            <w:pPr>
              <w:jc w:val="center"/>
            </w:pPr>
            <w:r>
              <w:rPr>
                <w:rFonts w:ascii="宋体" w:hAnsi="宋体" w:eastAsia="宋体"/>
                <w:sz w:val="16"/>
              </w:rPr>
              <w:t>&gt;=100家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175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D9A5D">
            <w:pPr>
              <w:jc w:val="center"/>
            </w:pPr>
            <w:r>
              <w:rPr>
                <w:rFonts w:ascii="宋体" w:hAnsi="宋体" w:eastAsia="宋体"/>
                <w:sz w:val="16"/>
              </w:rPr>
              <w:t>100家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624C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26E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F1A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E6251">
            <w:pPr>
              <w:jc w:val="center"/>
            </w:pPr>
            <w:r>
              <w:rPr>
                <w:rFonts w:ascii="宋体" w:hAnsi="宋体" w:eastAsia="宋体"/>
                <w:sz w:val="16"/>
              </w:rPr>
              <w:t>=114家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DB71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9897B">
            <w:pPr>
              <w:jc w:val="center"/>
            </w:pPr>
          </w:p>
        </w:tc>
      </w:tr>
      <w:tr w14:paraId="64012C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216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3DA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7FE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94FDE">
            <w:pPr>
              <w:jc w:val="center"/>
            </w:pPr>
            <w:r>
              <w:rPr>
                <w:rFonts w:ascii="宋体" w:hAnsi="宋体" w:eastAsia="宋体"/>
                <w:sz w:val="16"/>
              </w:rPr>
              <w:t>“打非治违”专项行动执法检查行业数量（家）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BD75E">
            <w:pPr>
              <w:jc w:val="center"/>
            </w:pPr>
            <w:r>
              <w:rPr>
                <w:rFonts w:ascii="宋体" w:hAnsi="宋体" w:eastAsia="宋体"/>
                <w:sz w:val="16"/>
              </w:rPr>
              <w:t>&gt;=200家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F37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EF3E">
            <w:pPr>
              <w:jc w:val="center"/>
            </w:pPr>
            <w:r>
              <w:rPr>
                <w:rFonts w:ascii="宋体" w:hAnsi="宋体" w:eastAsia="宋体"/>
                <w:sz w:val="16"/>
              </w:rPr>
              <w:t>200家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B5A8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BB8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06B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0F1AA">
            <w:pPr>
              <w:jc w:val="center"/>
            </w:pPr>
            <w:r>
              <w:rPr>
                <w:rFonts w:ascii="宋体" w:hAnsi="宋体" w:eastAsia="宋体"/>
                <w:sz w:val="16"/>
              </w:rPr>
              <w:t>=207家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3838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4E881">
            <w:pPr>
              <w:jc w:val="center"/>
            </w:pPr>
          </w:p>
        </w:tc>
      </w:tr>
      <w:tr w14:paraId="69B6F6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73F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750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887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D18C7">
            <w:pPr>
              <w:jc w:val="center"/>
            </w:pPr>
            <w:r>
              <w:rPr>
                <w:rFonts w:ascii="宋体" w:hAnsi="宋体" w:eastAsia="宋体"/>
                <w:sz w:val="16"/>
              </w:rPr>
              <w:t>出动执法人员（人次）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6E6C4">
            <w:pPr>
              <w:jc w:val="center"/>
            </w:pPr>
            <w:r>
              <w:rPr>
                <w:rFonts w:ascii="宋体" w:hAnsi="宋体" w:eastAsia="宋体"/>
                <w:sz w:val="16"/>
              </w:rPr>
              <w:t>&gt;=100人次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357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F8FF4">
            <w:pPr>
              <w:jc w:val="center"/>
            </w:pPr>
            <w:r>
              <w:rPr>
                <w:rFonts w:ascii="宋体" w:hAnsi="宋体" w:eastAsia="宋体"/>
                <w:sz w:val="16"/>
              </w:rPr>
              <w:t>145人次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80ED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AAD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DE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79612">
            <w:pPr>
              <w:jc w:val="center"/>
            </w:pPr>
            <w:r>
              <w:rPr>
                <w:rFonts w:ascii="宋体" w:hAnsi="宋体" w:eastAsia="宋体"/>
                <w:sz w:val="16"/>
              </w:rPr>
              <w:t>=112人次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5B4B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665E6">
            <w:pPr>
              <w:jc w:val="center"/>
            </w:pPr>
          </w:p>
        </w:tc>
      </w:tr>
      <w:tr w14:paraId="3E32F7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6CC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1F0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04174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72E0A">
            <w:pPr>
              <w:jc w:val="center"/>
            </w:pPr>
            <w:r>
              <w:rPr>
                <w:rFonts w:ascii="宋体" w:hAnsi="宋体" w:eastAsia="宋体"/>
                <w:sz w:val="16"/>
              </w:rPr>
              <w:t>年度内保障交通运输市场运行率（%）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9EA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DF1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BD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9B45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7C4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2F2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DE55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411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A17DE">
            <w:pPr>
              <w:jc w:val="center"/>
            </w:pPr>
          </w:p>
        </w:tc>
      </w:tr>
      <w:tr w14:paraId="0CE2AD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6BF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AC8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506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342EA">
            <w:pPr>
              <w:jc w:val="center"/>
            </w:pPr>
            <w:r>
              <w:rPr>
                <w:rFonts w:hint="eastAsia" w:ascii="宋体" w:hAnsi="宋体"/>
                <w:sz w:val="16"/>
                <w:lang w:eastAsia="zh-CN"/>
              </w:rPr>
              <w:t>法治宣传</w:t>
            </w:r>
            <w:r>
              <w:rPr>
                <w:rFonts w:ascii="宋体" w:hAnsi="宋体" w:eastAsia="宋体"/>
                <w:sz w:val="16"/>
              </w:rPr>
              <w:t>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F87A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B4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FA5A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4E99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BB3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F5A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B34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20ED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25CAB">
            <w:pPr>
              <w:jc w:val="center"/>
            </w:pPr>
          </w:p>
        </w:tc>
      </w:tr>
      <w:tr w14:paraId="412BE8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5D5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A25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B702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0D2F6">
            <w:pPr>
              <w:jc w:val="center"/>
            </w:pPr>
            <w:r>
              <w:rPr>
                <w:rFonts w:ascii="宋体" w:hAnsi="宋体" w:eastAsia="宋体"/>
                <w:sz w:val="16"/>
              </w:rPr>
              <w:t>各项任务完成时间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8DCFA">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3A7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B8AB0">
            <w:pPr>
              <w:jc w:val="center"/>
            </w:pPr>
            <w:r>
              <w:rPr>
                <w:rFonts w:ascii="宋体" w:hAnsi="宋体" w:eastAsia="宋体"/>
                <w:sz w:val="16"/>
              </w:rPr>
              <w:t>2022年12月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3A88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384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ED0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76393">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4F5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9BB0F">
            <w:pPr>
              <w:jc w:val="center"/>
            </w:pPr>
          </w:p>
        </w:tc>
      </w:tr>
      <w:tr w14:paraId="39B889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DE4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B3A9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A7BA1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F007">
            <w:pPr>
              <w:jc w:val="center"/>
            </w:pPr>
            <w:r>
              <w:rPr>
                <w:rFonts w:ascii="宋体" w:hAnsi="宋体" w:eastAsia="宋体"/>
                <w:sz w:val="16"/>
              </w:rPr>
              <w:t>办公费及设备购置费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FA0E5">
            <w:pPr>
              <w:jc w:val="center"/>
            </w:pPr>
            <w:r>
              <w:rPr>
                <w:rFonts w:ascii="宋体" w:hAnsi="宋体" w:eastAsia="宋体"/>
                <w:sz w:val="16"/>
              </w:rPr>
              <w:t>&lt;=5.1万元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9FF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14460">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992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073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CD9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04CA6">
            <w:pPr>
              <w:jc w:val="center"/>
            </w:pPr>
            <w:r>
              <w:rPr>
                <w:rFonts w:ascii="宋体" w:hAnsi="宋体" w:eastAsia="宋体"/>
                <w:sz w:val="16"/>
              </w:rPr>
              <w:t>=5.1万元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AC8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DFBF9">
            <w:pPr>
              <w:jc w:val="center"/>
            </w:pPr>
          </w:p>
        </w:tc>
      </w:tr>
      <w:tr w14:paraId="2501E5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4F5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C0E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F9C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2C720">
            <w:pPr>
              <w:jc w:val="center"/>
            </w:pPr>
            <w:r>
              <w:rPr>
                <w:rFonts w:ascii="宋体" w:hAnsi="宋体" w:eastAsia="宋体"/>
                <w:sz w:val="16"/>
              </w:rPr>
              <w:t>安保工作、法律顾问及执法装备费用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8D161">
            <w:pPr>
              <w:jc w:val="center"/>
            </w:pPr>
            <w:r>
              <w:rPr>
                <w:rFonts w:ascii="宋体" w:hAnsi="宋体" w:eastAsia="宋体"/>
                <w:sz w:val="16"/>
              </w:rPr>
              <w:t>&lt;=4.8万元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B3D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2EBB4">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9F1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ACC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93D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60930">
            <w:pPr>
              <w:jc w:val="center"/>
            </w:pPr>
            <w:r>
              <w:rPr>
                <w:rFonts w:ascii="宋体" w:hAnsi="宋体" w:eastAsia="宋体"/>
                <w:sz w:val="16"/>
              </w:rPr>
              <w: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6DA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A235D">
            <w:pPr>
              <w:jc w:val="center"/>
            </w:pPr>
          </w:p>
        </w:tc>
      </w:tr>
      <w:tr w14:paraId="73E915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707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D095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1784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CC93F">
            <w:pPr>
              <w:jc w:val="center"/>
            </w:pPr>
            <w:r>
              <w:rPr>
                <w:rFonts w:ascii="宋体" w:hAnsi="宋体" w:eastAsia="宋体"/>
                <w:sz w:val="16"/>
              </w:rPr>
              <w:t>打击非法营运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DC241">
            <w:pPr>
              <w:jc w:val="center"/>
            </w:pPr>
            <w:r>
              <w:rPr>
                <w:rFonts w:ascii="宋体" w:hAnsi="宋体" w:eastAsia="宋体"/>
                <w:sz w:val="16"/>
              </w:rPr>
              <w:t>持续坚持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BD3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F8D0A">
            <w:pPr>
              <w:jc w:val="center"/>
            </w:pPr>
            <w:r>
              <w:rPr>
                <w:rFonts w:ascii="宋体" w:hAnsi="宋体" w:eastAsia="宋体"/>
                <w:sz w:val="16"/>
              </w:rPr>
              <w:t>持续坚持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8D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2EE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51C5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6ED4A">
            <w:pPr>
              <w:jc w:val="center"/>
            </w:pPr>
            <w:r>
              <w:rPr>
                <w:rFonts w:ascii="宋体" w:hAnsi="宋体" w:eastAsia="宋体"/>
                <w:sz w:val="16"/>
              </w:rPr>
              <w:t>持续坚持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7569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A0FAE">
            <w:pPr>
              <w:jc w:val="center"/>
            </w:pPr>
          </w:p>
        </w:tc>
      </w:tr>
      <w:tr w14:paraId="1A502F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0FE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E07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2BA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B70BF">
            <w:pPr>
              <w:jc w:val="center"/>
            </w:pPr>
            <w:r>
              <w:rPr>
                <w:rFonts w:ascii="宋体" w:hAnsi="宋体" w:eastAsia="宋体"/>
                <w:sz w:val="16"/>
              </w:rPr>
              <w:t>社会服务对象满意度（%）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7F51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A6F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DA16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6A0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78D8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6EC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E6C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524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03DCC">
            <w:pPr>
              <w:jc w:val="center"/>
            </w:pPr>
          </w:p>
        </w:tc>
      </w:tr>
      <w:tr w14:paraId="39ECC4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D6E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A7F5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D307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A004CA">
            <w:pPr>
              <w:jc w:val="center"/>
            </w:pPr>
            <w:r>
              <w:rPr>
                <w:rFonts w:ascii="宋体" w:hAnsi="宋体" w:eastAsia="宋体"/>
                <w:sz w:val="16"/>
              </w:rPr>
              <w:t>100分</w:t>
            </w:r>
          </w:p>
        </w:tc>
      </w:tr>
    </w:tbl>
    <w:p w14:paraId="6AE8DB1B">
      <w:r>
        <w:br w:type="page"/>
      </w:r>
    </w:p>
    <w:p w14:paraId="38BB26A4">
      <w:pPr>
        <w:spacing w:line="640" w:lineRule="exact"/>
        <w:ind w:firstLine="640"/>
        <w:jc w:val="both"/>
        <w:outlineLvl w:val="2"/>
      </w:pPr>
      <w:r>
        <w:rPr>
          <w:rFonts w:ascii="黑体" w:hAnsi="黑体" w:eastAsia="黑体"/>
          <w:sz w:val="32"/>
        </w:rPr>
        <w:t>十二、其他需说明的事项</w:t>
      </w:r>
    </w:p>
    <w:p w14:paraId="7E7EB9E9">
      <w:pPr>
        <w:spacing w:line="580" w:lineRule="exact"/>
        <w:ind w:firstLine="640"/>
        <w:jc w:val="both"/>
      </w:pPr>
      <w:r>
        <w:rPr>
          <w:rFonts w:ascii="仿宋_GB2312" w:hAnsi="仿宋_GB2312" w:eastAsia="仿宋_GB2312"/>
          <w:b w:val="0"/>
          <w:sz w:val="32"/>
        </w:rPr>
        <w:t>本单位无其他需说明的事项。</w:t>
      </w:r>
    </w:p>
    <w:p w14:paraId="2F32DBCD">
      <w:r>
        <w:br w:type="page"/>
      </w:r>
    </w:p>
    <w:p w14:paraId="02FA370B">
      <w:pPr>
        <w:spacing w:line="240" w:lineRule="auto"/>
        <w:jc w:val="center"/>
        <w:outlineLvl w:val="1"/>
      </w:pPr>
      <w:r>
        <w:rPr>
          <w:rFonts w:ascii="黑体" w:hAnsi="黑体" w:eastAsia="黑体"/>
          <w:sz w:val="32"/>
        </w:rPr>
        <w:t>第三部分 专业名词解释</w:t>
      </w:r>
    </w:p>
    <w:p w14:paraId="6364497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3A1EDB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6CB1CF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1F44C7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6CD12E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6A6466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A90F84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A5A85F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5D20B7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019AED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A72C08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6D720E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A9AA2A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32E638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8F17212">
      <w:r>
        <w:br w:type="page"/>
      </w:r>
    </w:p>
    <w:p w14:paraId="6F73AA46">
      <w:pPr>
        <w:spacing w:line="240" w:lineRule="auto"/>
        <w:jc w:val="center"/>
        <w:outlineLvl w:val="1"/>
      </w:pPr>
      <w:r>
        <w:rPr>
          <w:rFonts w:ascii="黑体" w:hAnsi="黑体" w:eastAsia="黑体"/>
          <w:sz w:val="32"/>
        </w:rPr>
        <w:t>第四部分 部门决算报表（见附表）</w:t>
      </w:r>
    </w:p>
    <w:p w14:paraId="40561547">
      <w:pPr>
        <w:spacing w:line="240" w:lineRule="auto"/>
        <w:ind w:firstLine="640"/>
        <w:jc w:val="both"/>
      </w:pPr>
      <w:r>
        <w:rPr>
          <w:rFonts w:ascii="仿宋_GB2312" w:hAnsi="仿宋_GB2312" w:eastAsia="仿宋_GB2312"/>
          <w:b w:val="0"/>
          <w:sz w:val="32"/>
        </w:rPr>
        <w:t>一、《收入支出决算总表》</w:t>
      </w:r>
    </w:p>
    <w:p w14:paraId="1654460F">
      <w:pPr>
        <w:spacing w:line="240" w:lineRule="auto"/>
        <w:ind w:firstLine="640"/>
        <w:jc w:val="both"/>
      </w:pPr>
      <w:r>
        <w:rPr>
          <w:rFonts w:ascii="仿宋_GB2312" w:hAnsi="仿宋_GB2312" w:eastAsia="仿宋_GB2312"/>
          <w:b w:val="0"/>
          <w:sz w:val="32"/>
        </w:rPr>
        <w:t>二、《收入决算表》</w:t>
      </w:r>
    </w:p>
    <w:p w14:paraId="62A0E49F">
      <w:pPr>
        <w:spacing w:line="240" w:lineRule="auto"/>
        <w:ind w:firstLine="640"/>
        <w:jc w:val="both"/>
      </w:pPr>
      <w:r>
        <w:rPr>
          <w:rFonts w:ascii="仿宋_GB2312" w:hAnsi="仿宋_GB2312" w:eastAsia="仿宋_GB2312"/>
          <w:b w:val="0"/>
          <w:sz w:val="32"/>
        </w:rPr>
        <w:t>三、《支出决算表》</w:t>
      </w:r>
    </w:p>
    <w:p w14:paraId="4A67D060">
      <w:pPr>
        <w:spacing w:line="240" w:lineRule="auto"/>
        <w:ind w:firstLine="640"/>
        <w:jc w:val="both"/>
      </w:pPr>
      <w:r>
        <w:rPr>
          <w:rFonts w:ascii="仿宋_GB2312" w:hAnsi="仿宋_GB2312" w:eastAsia="仿宋_GB2312"/>
          <w:b w:val="0"/>
          <w:sz w:val="32"/>
        </w:rPr>
        <w:t>四、《财政拨款收入支出决算总表》</w:t>
      </w:r>
    </w:p>
    <w:p w14:paraId="561F6478">
      <w:pPr>
        <w:spacing w:line="240" w:lineRule="auto"/>
        <w:ind w:firstLine="640"/>
        <w:jc w:val="both"/>
      </w:pPr>
      <w:r>
        <w:rPr>
          <w:rFonts w:ascii="仿宋_GB2312" w:hAnsi="仿宋_GB2312" w:eastAsia="仿宋_GB2312"/>
          <w:b w:val="0"/>
          <w:sz w:val="32"/>
        </w:rPr>
        <w:t>五、《一般公共预算财政拨款支出决算表》</w:t>
      </w:r>
    </w:p>
    <w:p w14:paraId="025F00AC">
      <w:pPr>
        <w:spacing w:line="240" w:lineRule="auto"/>
        <w:ind w:firstLine="640"/>
        <w:jc w:val="both"/>
      </w:pPr>
      <w:r>
        <w:rPr>
          <w:rFonts w:ascii="仿宋_GB2312" w:hAnsi="仿宋_GB2312" w:eastAsia="仿宋_GB2312"/>
          <w:b w:val="0"/>
          <w:sz w:val="32"/>
        </w:rPr>
        <w:t>六、《一般公共预算财政拨款基本支出决算表》</w:t>
      </w:r>
    </w:p>
    <w:p w14:paraId="10FCC5E4">
      <w:pPr>
        <w:spacing w:line="240" w:lineRule="auto"/>
        <w:ind w:firstLine="640"/>
        <w:jc w:val="both"/>
      </w:pPr>
      <w:r>
        <w:rPr>
          <w:rFonts w:ascii="仿宋_GB2312" w:hAnsi="仿宋_GB2312" w:eastAsia="仿宋_GB2312"/>
          <w:b w:val="0"/>
          <w:sz w:val="32"/>
        </w:rPr>
        <w:t>七、《政府性基金预算财政拨款收入支出决算表》</w:t>
      </w:r>
    </w:p>
    <w:p w14:paraId="2934DD1E">
      <w:pPr>
        <w:spacing w:line="240" w:lineRule="auto"/>
        <w:ind w:firstLine="640"/>
        <w:jc w:val="both"/>
      </w:pPr>
      <w:r>
        <w:rPr>
          <w:rFonts w:ascii="仿宋_GB2312" w:hAnsi="仿宋_GB2312" w:eastAsia="仿宋_GB2312"/>
          <w:b w:val="0"/>
          <w:sz w:val="32"/>
        </w:rPr>
        <w:t>八、《国有资本经营预算财政拨款收入支出决算表》</w:t>
      </w:r>
    </w:p>
    <w:p w14:paraId="15F0FA5A">
      <w:pPr>
        <w:spacing w:line="240" w:lineRule="auto"/>
        <w:ind w:firstLine="640"/>
        <w:jc w:val="both"/>
      </w:pPr>
      <w:r>
        <w:rPr>
          <w:rFonts w:ascii="仿宋_GB2312" w:hAnsi="仿宋_GB2312" w:eastAsia="仿宋_GB2312"/>
          <w:b w:val="0"/>
          <w:sz w:val="32"/>
        </w:rPr>
        <w:t>九、《财政拨款“三公”经费支出决算表》</w:t>
      </w:r>
    </w:p>
    <w:p w14:paraId="63FF13A7">
      <w:pPr>
        <w:spacing w:line="240" w:lineRule="auto"/>
        <w:ind w:firstLine="640"/>
        <w:jc w:val="both"/>
      </w:pPr>
    </w:p>
    <w:p w14:paraId="5F3C06F4">
      <w:pPr>
        <w:spacing w:line="240" w:lineRule="auto"/>
        <w:ind w:firstLine="640"/>
        <w:jc w:val="both"/>
      </w:pPr>
    </w:p>
    <w:p w14:paraId="60BEB887">
      <w:pPr>
        <w:spacing w:line="240" w:lineRule="auto"/>
        <w:ind w:firstLine="640"/>
        <w:jc w:val="both"/>
      </w:pPr>
    </w:p>
    <w:p w14:paraId="6FC2A46D">
      <w:pPr>
        <w:spacing w:line="240" w:lineRule="auto"/>
        <w:ind w:firstLine="640"/>
        <w:jc w:val="both"/>
      </w:pPr>
    </w:p>
    <w:p w14:paraId="6A462FB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B6034AC-6A69-4579-9F64-BD4BBECFB52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A27FCD5-7550-4A22-8A6B-A08E1D4E70A8}"/>
  </w:font>
  <w:font w:name="仿宋_GB2312">
    <w:panose1 w:val="02010609030101010101"/>
    <w:charset w:val="86"/>
    <w:family w:val="modern"/>
    <w:pitch w:val="default"/>
    <w:sig w:usb0="00000001" w:usb1="080E0000" w:usb2="00000000" w:usb3="00000000" w:csb0="00040000" w:csb1="00000000"/>
    <w:embedRegular r:id="rId3" w:fontKey="{E63322B6-BCB0-4B6E-8A4D-F9164B1CB8E4}"/>
  </w:font>
  <w:font w:name="楷体_GB2312">
    <w:panose1 w:val="02010609030101010101"/>
    <w:charset w:val="86"/>
    <w:family w:val="auto"/>
    <w:pitch w:val="default"/>
    <w:sig w:usb0="00000001" w:usb1="080E0000" w:usb2="00000000" w:usb3="00000000" w:csb0="00040000" w:csb1="00000000"/>
    <w:embedRegular r:id="rId4" w:fontKey="{62CA446A-7BBA-4141-9DAB-E31E9847D917}"/>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5E6402"/>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010099"/>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1102</Words>
  <Characters>1110</Characters>
  <Lines>0</Lines>
  <Paragraphs>0</Paragraphs>
  <TotalTime>3</TotalTime>
  <ScaleCrop>false</ScaleCrop>
  <LinksUpToDate>false</LinksUpToDate>
  <CharactersWithSpaces>1117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2025-09-02T07:34:21Z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eyJoZGlkIjoiMGIxZTI3ODM4ZmVjOGE5NDFiYmE3OTRiMjQ5OTEyNzIiLCJ1c2VySWQiOiIyNTk4NTcxMjUifQ==</vt:lpwstr>
  </property>
</Properties>
</file>