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607B8"/>
    <w:p w14:paraId="4720A594">
      <w:pPr>
        <w:spacing w:line="570" w:lineRule="exact"/>
        <w:jc w:val="center"/>
        <w:rPr>
          <w:rFonts w:ascii="华文中宋" w:hAnsi="华文中宋" w:eastAsia="华文中宋" w:cs="宋体"/>
          <w:b/>
          <w:kern w:val="0"/>
          <w:sz w:val="52"/>
          <w:szCs w:val="52"/>
        </w:rPr>
      </w:pPr>
    </w:p>
    <w:p w14:paraId="58CA31A3">
      <w:pPr>
        <w:spacing w:line="570" w:lineRule="exact"/>
        <w:jc w:val="center"/>
        <w:rPr>
          <w:rFonts w:ascii="华文中宋" w:hAnsi="华文中宋" w:eastAsia="华文中宋" w:cs="宋体"/>
          <w:b/>
          <w:kern w:val="0"/>
          <w:sz w:val="52"/>
          <w:szCs w:val="52"/>
        </w:rPr>
      </w:pPr>
    </w:p>
    <w:p w14:paraId="0B744E86">
      <w:pPr>
        <w:spacing w:line="570" w:lineRule="exact"/>
        <w:jc w:val="center"/>
        <w:rPr>
          <w:rFonts w:ascii="华文中宋" w:hAnsi="华文中宋" w:eastAsia="华文中宋" w:cs="宋体"/>
          <w:b/>
          <w:kern w:val="0"/>
          <w:sz w:val="52"/>
          <w:szCs w:val="52"/>
        </w:rPr>
      </w:pPr>
    </w:p>
    <w:p w14:paraId="41283BB5">
      <w:pPr>
        <w:spacing w:line="570" w:lineRule="exact"/>
        <w:jc w:val="center"/>
        <w:rPr>
          <w:rFonts w:ascii="华文中宋" w:hAnsi="华文中宋" w:eastAsia="华文中宋" w:cs="宋体"/>
          <w:b/>
          <w:kern w:val="0"/>
          <w:sz w:val="52"/>
          <w:szCs w:val="52"/>
        </w:rPr>
      </w:pPr>
    </w:p>
    <w:p w14:paraId="4387D487">
      <w:pPr>
        <w:spacing w:line="570" w:lineRule="exact"/>
        <w:jc w:val="both"/>
        <w:rPr>
          <w:rFonts w:ascii="华文中宋" w:hAnsi="华文中宋" w:eastAsia="华文中宋" w:cs="宋体"/>
          <w:b/>
          <w:kern w:val="0"/>
          <w:sz w:val="52"/>
          <w:szCs w:val="52"/>
        </w:rPr>
      </w:pPr>
    </w:p>
    <w:p w14:paraId="43F62E53">
      <w:pPr>
        <w:spacing w:line="570" w:lineRule="exact"/>
        <w:jc w:val="center"/>
        <w:rPr>
          <w:rFonts w:ascii="华文中宋" w:hAnsi="华文中宋" w:eastAsia="华文中宋" w:cs="宋体"/>
          <w:b/>
          <w:kern w:val="0"/>
          <w:sz w:val="52"/>
          <w:szCs w:val="52"/>
        </w:rPr>
      </w:pPr>
    </w:p>
    <w:p w14:paraId="4CB6B2CA">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3D84EE04">
      <w:pPr>
        <w:spacing w:line="570" w:lineRule="exact"/>
        <w:jc w:val="center"/>
        <w:rPr>
          <w:rFonts w:ascii="华文中宋" w:hAnsi="华文中宋" w:eastAsia="华文中宋" w:cs="宋体"/>
          <w:b/>
          <w:kern w:val="0"/>
          <w:sz w:val="52"/>
          <w:szCs w:val="52"/>
        </w:rPr>
      </w:pPr>
    </w:p>
    <w:p w14:paraId="73E9427B">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37EDB90A">
      <w:pPr>
        <w:spacing w:line="570" w:lineRule="exact"/>
        <w:jc w:val="center"/>
        <w:rPr>
          <w:rFonts w:hAnsi="宋体" w:eastAsia="仿宋_GB2312" w:cs="宋体"/>
          <w:kern w:val="0"/>
          <w:sz w:val="30"/>
          <w:szCs w:val="30"/>
        </w:rPr>
      </w:pPr>
    </w:p>
    <w:p w14:paraId="4BCB475E">
      <w:pPr>
        <w:spacing w:line="570" w:lineRule="exact"/>
        <w:jc w:val="center"/>
        <w:rPr>
          <w:rFonts w:hAnsi="宋体" w:eastAsia="仿宋_GB2312" w:cs="宋体"/>
          <w:kern w:val="0"/>
          <w:sz w:val="30"/>
          <w:szCs w:val="30"/>
        </w:rPr>
      </w:pPr>
    </w:p>
    <w:p w14:paraId="0DC8C835">
      <w:pPr>
        <w:spacing w:line="570" w:lineRule="exact"/>
        <w:jc w:val="center"/>
        <w:rPr>
          <w:rFonts w:hAnsi="宋体" w:eastAsia="仿宋_GB2312" w:cs="宋体"/>
          <w:kern w:val="0"/>
          <w:sz w:val="30"/>
          <w:szCs w:val="30"/>
        </w:rPr>
      </w:pPr>
    </w:p>
    <w:p w14:paraId="2A6BF2D2">
      <w:pPr>
        <w:spacing w:line="570" w:lineRule="exact"/>
        <w:jc w:val="center"/>
        <w:rPr>
          <w:rFonts w:hAnsi="宋体" w:eastAsia="仿宋_GB2312" w:cs="宋体"/>
          <w:kern w:val="0"/>
          <w:sz w:val="30"/>
          <w:szCs w:val="30"/>
        </w:rPr>
      </w:pPr>
    </w:p>
    <w:p w14:paraId="75BD8176">
      <w:pPr>
        <w:spacing w:line="570" w:lineRule="exact"/>
        <w:jc w:val="center"/>
        <w:rPr>
          <w:rFonts w:hAnsi="宋体" w:eastAsia="仿宋_GB2312" w:cs="宋体"/>
          <w:kern w:val="0"/>
          <w:sz w:val="30"/>
          <w:szCs w:val="30"/>
        </w:rPr>
      </w:pPr>
    </w:p>
    <w:p w14:paraId="6126907A">
      <w:pPr>
        <w:spacing w:line="570" w:lineRule="exact"/>
        <w:jc w:val="center"/>
        <w:rPr>
          <w:rFonts w:hAnsi="宋体" w:eastAsia="仿宋_GB2312" w:cs="宋体"/>
          <w:kern w:val="0"/>
          <w:sz w:val="30"/>
          <w:szCs w:val="30"/>
        </w:rPr>
      </w:pPr>
    </w:p>
    <w:p w14:paraId="037ADFB7">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购买电子设备及图书出版项目</w:t>
      </w:r>
    </w:p>
    <w:p w14:paraId="5491CBE3">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克孜勒苏出版社</w:t>
      </w:r>
    </w:p>
    <w:p w14:paraId="25D6EE86">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克州党委宣传部</w:t>
      </w:r>
    </w:p>
    <w:p w14:paraId="005CA336">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阿衣库马尔</w:t>
      </w:r>
    </w:p>
    <w:p w14:paraId="0F85DA88">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2025年04月30日</w:t>
      </w:r>
    </w:p>
    <w:p w14:paraId="3F9E8CFE">
      <w:pPr>
        <w:rPr>
          <w:rStyle w:val="19"/>
          <w:rFonts w:hint="eastAsia" w:ascii="仿宋" w:hAnsi="仿宋" w:eastAsia="仿宋" w:cs="仿宋"/>
          <w:b w:val="0"/>
          <w:bCs w:val="0"/>
          <w:spacing w:val="-4"/>
          <w:sz w:val="32"/>
          <w:szCs w:val="32"/>
        </w:rPr>
      </w:pPr>
      <w:r>
        <w:br w:type="page"/>
      </w:r>
    </w:p>
    <w:p w14:paraId="7F52825F">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0750F526">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28A84E2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购买电子设备及图书出版经费项目实施前期、过程及效果，评价财政预算资金使用的效率及效益。根据自治州“十四五”规划及提升出版社业务发展需要，自治州党委工作部署和要求，认真贯彻落实党中央、自治区和自治州党委关于切实文化润疆工作一系列重大决策部署作为工作的出发点和落脚点，根据州委机要保密局国产化替代工作要求和自治州2024年信息化类项目预算清单并按照年度工作计划从上缴的盘活资金改变用途出版图书和购买国产化台式机、打印机、扫描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按照自治州“十四五”规划及提升出版社业务发展需要，自治州党委工作部署和要求，认真贯彻落实党中央、自治区和自治州党委关于切实文化润疆工作一系列重大决策部署作为工作的出发点和落脚点，根据州委机要保密局国产化替代工作要求和自治州2024年信息化类项目预算清单并按照年度工作计划从上缴的盘活资金改变用途出版图书和购买国产化台式机、打印机、扫描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进一步补齐我社电子设备短缺问题，完成自治州保密局国产化替代工作要求，确保我社出版工作质量和效率，为推进我社出版业务工作，出版一些群众喜欢的图书，让文化服务在“接地气”中传播正能量，预期目标将努力提升文化作品的质量，深入推进文化润疆工程，提高各族群众的获得感和幸福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克孜勒苏出版社实施，内设4个科室，分别是：办公室、编务发行部、编辑部、审读室。主要职能是以“邓小平理论”、“三个代表”重要思想统领全局，认真学习宣传贯彻习近平新时代中国特色社会主义思想和党的十九精神</w:t>
      </w:r>
      <w:bookmarkStart w:id="0" w:name="_GoBack"/>
      <w:bookmarkEnd w:id="0"/>
      <w:r>
        <w:rPr>
          <w:rStyle w:val="19"/>
          <w:rFonts w:hint="eastAsia" w:ascii="仿宋" w:hAnsi="仿宋" w:eastAsia="仿宋" w:cs="仿宋"/>
          <w:b w:val="0"/>
          <w:bCs w:val="0"/>
          <w:spacing w:val="-4"/>
          <w:sz w:val="32"/>
          <w:szCs w:val="32"/>
        </w:rPr>
        <w:t>、党的二十大精神，坚持先进文化的前进方向，弘扬主旋律，提倡多样化，推动文化产业蓬勃发展，为满足人民群众的精神文明需要，是坚持以公益性出版、少数民族文字出版为主的出版方针，动员和组织著译力量从事创作、编著和翻译，出版为国家和人民所需要的图书、期刊及音像制品，出版国家、自治区，自治州交办的重大政治、经济、文化、教育类出版物，为克孜勒苏文化建设和经济建设作出新的贡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编制人数19人，其中：行政人员编制0人、工勤0人、参公0人、事业编制19人。实有在职人数15人，其中：行政在职0人、工勤0人、参公0人、事业在职15人。离退休人员22人，其中：行政退休人员0人、事业退休22人。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本年度安排下达资金18.53万元，为本单位2022、2023年度图书销售款返还资金，最终确定项目资金总数为18.53万元。其中：中央财政拨款0万元，自治区财政拨款0万元，本级财政拨款18.53万元，上年结余0万元。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购买电设备与图书出版经费项目，实际支出18.53万元，预算执行率100%。主要用于购买台式机、打印机、扫描仪等电子设备16台，出版图书3种，购买移动图书密集架14方厘米。购买台式机、打印机、扫描仪等电子设备经费5.9万元，出版图书经费10.59万元，购买移动图书密集架经费2.04万元。通过该项目的实施，进一步补齐我社电子设备短缺问题，完成自治州保密局国产化替代工作要求，推动我社出版工作质量和效率，为推进我社出版业务工作。</w:t>
      </w:r>
    </w:p>
    <w:p w14:paraId="7765A502">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325C2E2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该项目资金财政拨款18.53万元，其他资金0万元，主要用于出版图书购买国产台式机、打印机、扫描仪和购买移动图书密集架，通过该项目实施有效提高我社各项业务工作。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“购买台式机、打印机、扫描仪数（台）”指标，预期指标值为≥16台；</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“出版图书（种）”指标，预期指标值为≥3种；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“购买图书密集架（立方米）”指标，预期指标值为≥14立方米；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“设备质量合格率（%）”指标，预期指标值为=100%；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“图书编校质量合格率（%）”指标，预期指标值为=100%；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“图书出版及时率（%）”指标，预期指标值为=100%。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“购买台式机、打印机、扫描仪经费（万元）”指标，预期指标值为≤5.9万元；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“出版图书经费（万元）”指标，预期指标值为≤10.59万元；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“购买图书密集架经费（万元）”指标，预期指标值为≤2.04万元。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“促进单位各项业务”指标，预期指标值为有效促进；</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“受益干部满意度（%）”指标，预期指标值为≥95%。</w:t>
      </w:r>
    </w:p>
    <w:p w14:paraId="200573F6">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1D53EA4E">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593E7EC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购买电子设备和图书出版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6833D291">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4EE5FFE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购买电子设备和图书出版经费项目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6BED5FBA">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0B120C5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滕宾义（评价小组组长）：主要负责绩效评价组织协调工作，上情下达，制定绩效评价目标及考核项目；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阿衣库马尔（评价小组组员）：主要负责对接项目承建单位经办人员，组织收集审核项目相关工程资料，审核项目相关文件、实施方案、招投标档案等资料；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吐尔逊阿依（评价小组组员）：主要负责对接项目相关财务人员，负责收集查阅项目资金支付财务凭证相关附件资料，审核资金使用合规性、管理机制及操作流程。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阿斯布力布比（评价小组组员）：主要负责记录整理绩效评价过程中存在问题，编制绩效评价目标初稿，撰写绩效评价相关文稿。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7850F150">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301AC21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购买电子设备和图书出版经费”项目绩效进行客观公正的评价，本项目总得分为100分，绩效评级属于“优秀”。其中，决策类指标得分20分，过程类指标得分20分，产出类指标得分40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购买台式机、打印机、扫描仪等电子设备16台，出版图书3种，购买移动图书密集架14方厘米。购买台式机、打印机、扫描仪等电子设备经费5.9万元，出版图书经费10.59万元，购买移动图书密集架经费2.04万元。推动了我社出版工作质量和效率，产生补齐我社电子设备短缺问题，完成自治州保密局国产化替代工作要求。</w:t>
      </w:r>
    </w:p>
    <w:p w14:paraId="177066F9">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625A727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0DF08BA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（一）项目决策情况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为进一步补齐我社电子设备短缺问题，完成自治州保密局国产化替代工作要求，确保我社出版工作质量和效率，为推进我社出版业务工作，出版一些群众喜欢的图书，让文化服务在“接地气”中传播正能量，预期目标将努力提升文化作品的质量，深入推进文化润疆工程，并结合克孜勒苏出版社职责组织实施。围绕克孜勒苏出版社2024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（2）立项程序规范性：根据决策依据编制工作计划和经费预算，经过与克孜勒苏出版社财经领导小组进行沟通、筛选确定经费预算计划，上局务会研究确定最终预算方案，根据评分标准，该指标不扣分，得2分。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（1）预算编制科学性：预算编制经过本级财政根据我社2022、2023年盘活资金上缴情况18.53万元/年、下拨，实际完成内容与项目内容匹配，项目投资额与工作任务相匹配，根据评分标准，该指标不扣分，得5分。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（2）资金分配合理性：资金分配按照购买电子设备及图书出版经费项目资金分配与实际相适应，根据评分标准，该指标不扣分，得5分。</w:t>
      </w:r>
    </w:p>
    <w:p w14:paraId="3BBC538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3FEC39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（1）资金到位率：该项目总投资18.53万元，本级财政实际下达经费18.53万元，其中当年财政拨款18.53万元，上年结转资金0万元，财政资金足额拨付到位，根据评分标准，该指标不扣分，得5分。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（2）预算执行率：本项目申请预算金额为18.53 万元，预算批复实际下达金额为18.53万元截至 2024年 12 月 31日，资金执行18.53万元，资金执行率100%。项目资金支出总体能够按照预算执行，根据评分标准，该指标不扣分，得5分。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（3）资金使用合规性：根据购买电子设备及图书出版经费项目申报符合预算批复规定用途，不存在截留、挤占、挪用、虚列支出等情况，未发现违规使用情况，根据评分标准，该指标不扣分，得5分。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克孜勒苏出版社财务制度》及购买电子设备及图书出版经费项目资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0B85D0F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184F3D0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项目产出类指标包括产出数量、产出质量、产出时效、产出成本四方面的内容，由4个二级指标和由9个三级指标构成，权重分为40分，实际得分40分，得分率为100%。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购买台式机、打印机、扫描仪数16台，与预期目标一致，根据评分标准，该指标不扣分，得4分。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出版图书种类3种，与预期目标一致，根据评分标准，该指标不扣分，得3分。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购买图书密集架14立方米，与预期目标一致，根据评分标准，该指标不扣分，得3分。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设备质量合格率100%，与预期目标一致，根据评分标准，该指标不扣分，得5分。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图书编校质量合格率100%，与预期目标一致，根据评分标准，该指标不扣分，得5分。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图书出版及时率100%，与预期目标指标一致，根据评分标准，该指标不扣分，得10分。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购买台式机、打印机、扫描仪经费5.9万元，与预期目标一致，根据评分标准，该指标不扣分，得4分。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出版图书种类经费10.59万元，与预期目标一致，根据评分标准，该指标不扣分，得3分。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购买图书密集架经费2.04万元，与预期目标一致，根据评分标准，该指标不扣分，得3分。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56E5C68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FBF650B">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项目效益类指标由2个二级指标和2个三级指标构成构成，权重分为20分，实际得分20分，得分率为100%。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促进单位各项业务工作，与预期指标一致，根据评分标准，该指标不扣分，得10分。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实施效益指标合计得10分。</w:t>
      </w:r>
    </w:p>
    <w:p w14:paraId="07C4B04B">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4.满意度指标完成情况：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对于满意度指标：受益干部满意度95%，与预期目标一致，根据评分标准，该指标不扣分，得10分。</w:t>
      </w:r>
    </w:p>
    <w:p w14:paraId="6ECB1FFF">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37C8A11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一是本项目能够严格按照《项目实施方案》执行，项目执行情况较好。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626630EA">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2DFDCA9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1.建议充分落实绩效目标管理政策要求，提升绩效目标与项目实施内容的匹配度：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14:paraId="02295800">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68C9E3EE">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EE78EAC">
        <w:pPr>
          <w:pStyle w:val="12"/>
          <w:jc w:val="center"/>
        </w:pPr>
        <w:r>
          <w:fldChar w:fldCharType="begin"/>
        </w:r>
        <w:r>
          <w:instrText xml:space="preserve">PAGE   \* MERGEFORMAT</w:instrText>
        </w:r>
        <w:r>
          <w:fldChar w:fldCharType="separate"/>
        </w:r>
        <w:r>
          <w:rPr>
            <w:lang w:val="zh-CN"/>
          </w:rPr>
          <w:t>1</w:t>
        </w:r>
        <w:r>
          <w:fldChar w:fldCharType="end"/>
        </w:r>
      </w:p>
    </w:sdtContent>
  </w:sdt>
  <w:p w14:paraId="589F537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B5496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2fa0b675-18c5-49c8-a9b8-2307ba7fb1e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9988</Words>
  <Characters>10376</Characters>
  <Lines>5</Lines>
  <Paragraphs>1</Paragraphs>
  <TotalTime>3</TotalTime>
  <ScaleCrop>false</ScaleCrop>
  <LinksUpToDate>false</LinksUpToDate>
  <CharactersWithSpaces>10726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周丽君</cp:lastModifiedBy>
  <cp:lastPrinted>2018-12-31T10:56:00Z</cp:lastPrinted>
  <dcterms:modified xsi:type="dcterms:W3CDTF">2025-09-04T11:21:21Z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eyJoZGlkIjoiZjc0YWFlMzUxNjVlZTcxY2FlZTNjZDFlMzE3YzBjNDEiLCJ1c2VySWQiOiIyMDM3MTI1NTkifQ==</vt:lpwstr>
  </property>
  <property fmtid="{D5CDD505-2E9C-101B-9397-08002B2CF9AE}" pid="4" name="ICV">
    <vt:lpwstr>AD446A21EA5042D9B5143881104850D2_12</vt:lpwstr>
  </property>
</Properties>
</file>