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86ECE3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克孜勒苏柯尔克孜自治州第二幼儿园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F792A15">
      <w:r>
        <w:br w:type="page"/>
      </w:r>
    </w:p>
    <w:p w14:paraId="4EB89227">
      <w:pPr>
        <w:spacing w:line="640" w:lineRule="exact"/>
        <w:jc w:val="center"/>
        <w:outlineLvl w:val="1"/>
      </w:pPr>
      <w:r>
        <w:rPr>
          <w:rFonts w:ascii="黑体" w:hAnsi="黑体" w:eastAsia="黑体"/>
          <w:sz w:val="32"/>
        </w:rPr>
        <w:t>第一部分 单位概况</w:t>
      </w:r>
    </w:p>
    <w:p w14:paraId="691C2585">
      <w:pPr>
        <w:spacing w:line="640" w:lineRule="exact"/>
        <w:ind w:firstLine="640"/>
        <w:jc w:val="both"/>
        <w:outlineLvl w:val="2"/>
      </w:pPr>
      <w:r>
        <w:rPr>
          <w:rFonts w:ascii="黑体" w:hAnsi="黑体" w:eastAsia="黑体"/>
          <w:sz w:val="32"/>
        </w:rPr>
        <w:t>一、主要职能</w:t>
      </w:r>
    </w:p>
    <w:p w14:paraId="09E4D991">
      <w:pPr>
        <w:spacing w:line="580" w:lineRule="exact"/>
        <w:ind w:firstLine="640"/>
        <w:jc w:val="both"/>
      </w:pPr>
      <w:r>
        <w:rPr>
          <w:rFonts w:ascii="仿宋_GB2312" w:hAnsi="仿宋_GB2312" w:eastAsia="仿宋_GB2312"/>
          <w:sz w:val="32"/>
        </w:rPr>
        <w:t>（1）克孜勒苏柯尔克孜自治州第二幼儿园经2017年8月16日自治州党委编委会研究决定成立，隶属于克州教育局管理的城市公办幼儿园。全面贯彻执行党和国家的教育方针、政策、法规，坚持社会主义办学方向，努力培养德、智、体全面发展的社会主义事业建设者和接班人。</w:t>
      </w:r>
    </w:p>
    <w:p w14:paraId="4A876E15">
      <w:pPr>
        <w:spacing w:line="580" w:lineRule="exact"/>
        <w:ind w:firstLine="640"/>
        <w:jc w:val="both"/>
      </w:pPr>
      <w:r>
        <w:rPr>
          <w:rFonts w:ascii="仿宋_GB2312" w:hAnsi="仿宋_GB2312" w:eastAsia="仿宋_GB2312"/>
          <w:sz w:val="32"/>
        </w:rPr>
        <w:t>（2）实行保育与教育相结合的原则，促进幼儿身体机能协调发展，增强体质，培养良好的行为习惯；同时，加强幼儿国家通用语言文字的掌握和使用。</w:t>
      </w:r>
    </w:p>
    <w:p w14:paraId="4C542D85">
      <w:pPr>
        <w:spacing w:line="640" w:lineRule="exact"/>
        <w:ind w:firstLine="640"/>
        <w:jc w:val="both"/>
        <w:outlineLvl w:val="2"/>
      </w:pPr>
      <w:r>
        <w:rPr>
          <w:rFonts w:ascii="黑体" w:hAnsi="黑体" w:eastAsia="黑体"/>
          <w:sz w:val="32"/>
        </w:rPr>
        <w:t>二、机构设置及人员情况</w:t>
      </w:r>
    </w:p>
    <w:p w14:paraId="021D4F4D">
      <w:pPr>
        <w:spacing w:line="580" w:lineRule="exact"/>
        <w:ind w:firstLine="640"/>
        <w:jc w:val="both"/>
      </w:pPr>
      <w:r>
        <w:rPr>
          <w:rFonts w:ascii="仿宋_GB2312" w:hAnsi="仿宋_GB2312" w:eastAsia="仿宋_GB2312"/>
          <w:sz w:val="32"/>
        </w:rPr>
        <w:t>克孜勒苏柯尔克孜自治州第二幼儿园2024年度，实有人数59人，其中：在职人员59人，减少2人；离休人员0人，增加0人；退休人员0人,增加0人。</w:t>
      </w:r>
    </w:p>
    <w:p w14:paraId="598C92D8">
      <w:pPr>
        <w:spacing w:line="580" w:lineRule="exact"/>
        <w:ind w:firstLine="640"/>
        <w:jc w:val="both"/>
      </w:pPr>
      <w:r>
        <w:rPr>
          <w:rFonts w:ascii="仿宋_GB2312" w:hAnsi="仿宋_GB2312" w:eastAsia="仿宋_GB2312"/>
          <w:sz w:val="32"/>
        </w:rPr>
        <w:t>克孜勒苏柯尔克孜自治州第二幼儿园无下属预算单位，下设6个科室，分别是：党建办公室、行政办公室、财务室、总务室、保健室、保教室。</w:t>
      </w:r>
    </w:p>
    <w:p w14:paraId="230CC11A">
      <w:r>
        <w:br w:type="page"/>
      </w:r>
    </w:p>
    <w:p w14:paraId="72413602">
      <w:pPr>
        <w:spacing w:line="240" w:lineRule="auto"/>
        <w:jc w:val="center"/>
        <w:outlineLvl w:val="1"/>
      </w:pPr>
      <w:r>
        <w:rPr>
          <w:rFonts w:ascii="黑体" w:hAnsi="黑体" w:eastAsia="黑体"/>
          <w:sz w:val="32"/>
        </w:rPr>
        <w:t>第二部分 部门决算情况说明</w:t>
      </w:r>
    </w:p>
    <w:p w14:paraId="383E2C97">
      <w:pPr>
        <w:spacing w:line="640" w:lineRule="exact"/>
        <w:ind w:firstLine="640"/>
        <w:jc w:val="both"/>
        <w:outlineLvl w:val="2"/>
      </w:pPr>
      <w:r>
        <w:rPr>
          <w:rFonts w:ascii="黑体" w:hAnsi="黑体" w:eastAsia="黑体"/>
          <w:sz w:val="32"/>
        </w:rPr>
        <w:t>一、收入支出决算总体情况说明</w:t>
      </w:r>
    </w:p>
    <w:p w14:paraId="08625E38">
      <w:pPr>
        <w:spacing w:line="580" w:lineRule="exact"/>
        <w:ind w:firstLine="640"/>
        <w:jc w:val="both"/>
      </w:pPr>
      <w:r>
        <w:rPr>
          <w:rFonts w:ascii="仿宋_GB2312" w:hAnsi="仿宋_GB2312" w:eastAsia="仿宋_GB2312"/>
          <w:b/>
          <w:sz w:val="32"/>
        </w:rPr>
        <w:t>2024年度收入总计1,389.51万元，</w:t>
      </w:r>
      <w:r>
        <w:rPr>
          <w:rFonts w:ascii="仿宋_GB2312" w:hAnsi="仿宋_GB2312" w:eastAsia="仿宋_GB2312"/>
          <w:b w:val="0"/>
          <w:sz w:val="32"/>
        </w:rPr>
        <w:t>其中：本年收入合计1,375.08万元，使用非财政拨款结余（含专用结余）0.00万元，年初结转和结余14.43万元。</w:t>
      </w:r>
    </w:p>
    <w:p w14:paraId="1259ED7E">
      <w:pPr>
        <w:spacing w:line="580" w:lineRule="exact"/>
        <w:ind w:firstLine="640"/>
        <w:jc w:val="both"/>
      </w:pPr>
      <w:r>
        <w:rPr>
          <w:rFonts w:ascii="仿宋_GB2312" w:hAnsi="仿宋_GB2312" w:eastAsia="仿宋_GB2312"/>
          <w:b/>
          <w:sz w:val="32"/>
        </w:rPr>
        <w:t>2024年度支出总计1,389.51万元，</w:t>
      </w:r>
      <w:r>
        <w:rPr>
          <w:rFonts w:ascii="仿宋_GB2312" w:hAnsi="仿宋_GB2312" w:eastAsia="仿宋_GB2312"/>
          <w:b w:val="0"/>
          <w:sz w:val="32"/>
        </w:rPr>
        <w:t>其中：本年支出合计1,388.68万元，结余分配0.00万元，年末结转和结余0.83万元。</w:t>
      </w:r>
    </w:p>
    <w:p w14:paraId="6B968AC1">
      <w:pPr>
        <w:spacing w:line="580" w:lineRule="exact"/>
        <w:ind w:firstLine="640"/>
        <w:jc w:val="both"/>
      </w:pPr>
      <w:r>
        <w:rPr>
          <w:rFonts w:ascii="仿宋_GB2312" w:hAnsi="仿宋_GB2312" w:eastAsia="仿宋_GB2312"/>
          <w:b w:val="0"/>
          <w:sz w:val="32"/>
        </w:rPr>
        <w:t>收入支出总体与上年相比，增加212.00万元，增长18.00%，主要原因是：1.本年在职人员工资调增，社保、公积金基数调增，相关支出增加，2.本年增加中央支持学前教育发展资金项目资金。</w:t>
      </w:r>
    </w:p>
    <w:p w14:paraId="1CCF83E1">
      <w:pPr>
        <w:spacing w:line="640" w:lineRule="exact"/>
        <w:ind w:firstLine="640"/>
        <w:jc w:val="both"/>
        <w:outlineLvl w:val="2"/>
      </w:pPr>
      <w:r>
        <w:rPr>
          <w:rFonts w:ascii="黑体" w:hAnsi="黑体" w:eastAsia="黑体"/>
          <w:sz w:val="32"/>
        </w:rPr>
        <w:t>二、收入决算情况说明</w:t>
      </w:r>
    </w:p>
    <w:p w14:paraId="53A9B811">
      <w:pPr>
        <w:spacing w:line="580" w:lineRule="exact"/>
        <w:ind w:firstLine="640"/>
        <w:jc w:val="both"/>
      </w:pPr>
      <w:r>
        <w:rPr>
          <w:rFonts w:ascii="仿宋_GB2312" w:hAnsi="仿宋_GB2312" w:eastAsia="仿宋_GB2312"/>
          <w:b/>
          <w:sz w:val="32"/>
        </w:rPr>
        <w:t>本年收入1,375.08万元，</w:t>
      </w:r>
      <w:r>
        <w:rPr>
          <w:rFonts w:ascii="仿宋_GB2312" w:hAnsi="仿宋_GB2312" w:eastAsia="仿宋_GB2312"/>
          <w:b w:val="0"/>
          <w:sz w:val="32"/>
        </w:rPr>
        <w:t>其中：财政拨款收入1,358.05万元，占98.76%；上级补助收入0.00万元，占0.00%；事业收入0.00万元，占0.00%；经营收入0.00万元，占0.00%；附属单位上缴收入0.00万元，占0.00%；其他收入17.03万元，占1.24%。</w:t>
      </w:r>
    </w:p>
    <w:p w14:paraId="6319D5BD">
      <w:pPr>
        <w:spacing w:line="640" w:lineRule="exact"/>
        <w:ind w:firstLine="640"/>
        <w:jc w:val="both"/>
        <w:outlineLvl w:val="2"/>
      </w:pPr>
      <w:r>
        <w:rPr>
          <w:rFonts w:ascii="黑体" w:hAnsi="黑体" w:eastAsia="黑体"/>
          <w:sz w:val="32"/>
        </w:rPr>
        <w:t>三、支出决算情况说明</w:t>
      </w:r>
    </w:p>
    <w:p w14:paraId="65298568">
      <w:pPr>
        <w:spacing w:line="580" w:lineRule="exact"/>
        <w:ind w:firstLine="640"/>
        <w:jc w:val="both"/>
      </w:pPr>
      <w:r>
        <w:rPr>
          <w:rFonts w:ascii="仿宋_GB2312" w:hAnsi="仿宋_GB2312" w:eastAsia="仿宋_GB2312"/>
          <w:b/>
          <w:sz w:val="32"/>
        </w:rPr>
        <w:t>本年支出1,388.68万元，</w:t>
      </w:r>
      <w:r>
        <w:rPr>
          <w:rFonts w:ascii="仿宋_GB2312" w:hAnsi="仿宋_GB2312" w:eastAsia="仿宋_GB2312"/>
          <w:b w:val="0"/>
          <w:sz w:val="32"/>
        </w:rPr>
        <w:t>其中：基本支出974.28万元，占70.16%；项目支出414.40万元，占29.84%；上缴上级支出0.00万元，占0.00%；经营支出0.00万元，占0.00%；对附属单位补助支出0.00万元，占0.00%。</w:t>
      </w:r>
    </w:p>
    <w:p w14:paraId="10DD8234">
      <w:pPr>
        <w:spacing w:line="640" w:lineRule="exact"/>
        <w:ind w:firstLine="640"/>
        <w:jc w:val="both"/>
        <w:outlineLvl w:val="2"/>
      </w:pPr>
      <w:r>
        <w:rPr>
          <w:rFonts w:ascii="黑体" w:hAnsi="黑体" w:eastAsia="黑体"/>
          <w:sz w:val="32"/>
        </w:rPr>
        <w:t>四、财政拨款收入支出决算总体情况说明</w:t>
      </w:r>
    </w:p>
    <w:p w14:paraId="15CB7B52">
      <w:pPr>
        <w:spacing w:line="580" w:lineRule="exact"/>
        <w:ind w:firstLine="640"/>
        <w:jc w:val="both"/>
      </w:pPr>
      <w:r>
        <w:rPr>
          <w:rFonts w:ascii="仿宋_GB2312" w:hAnsi="仿宋_GB2312" w:eastAsia="仿宋_GB2312"/>
          <w:b/>
          <w:sz w:val="32"/>
        </w:rPr>
        <w:t>2024年度财政拨款收入总计1,358.05万元，</w:t>
      </w:r>
      <w:r>
        <w:rPr>
          <w:rFonts w:ascii="仿宋_GB2312" w:hAnsi="仿宋_GB2312" w:eastAsia="仿宋_GB2312"/>
          <w:b w:val="0"/>
          <w:sz w:val="32"/>
        </w:rPr>
        <w:t>其中：年初财政拨款结转和结余0.00万元，本年财政拨款收入1,358.05万元。</w:t>
      </w:r>
      <w:r>
        <w:rPr>
          <w:rFonts w:ascii="仿宋_GB2312" w:hAnsi="仿宋_GB2312" w:eastAsia="仿宋_GB2312"/>
          <w:b/>
          <w:sz w:val="32"/>
        </w:rPr>
        <w:t>财政拨款支出总计1,358.05万元，</w:t>
      </w:r>
      <w:r>
        <w:rPr>
          <w:rFonts w:ascii="仿宋_GB2312" w:hAnsi="仿宋_GB2312" w:eastAsia="仿宋_GB2312"/>
          <w:b w:val="0"/>
          <w:sz w:val="32"/>
        </w:rPr>
        <w:t>其中：年末财政拨款结转和结余0.00万元，本年财政拨款支出1,358.05万元。</w:t>
      </w:r>
    </w:p>
    <w:p w14:paraId="72634BF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增加246.67万元，增长22.19%，主要原因是：1.本年在职人员工资调增，社保、公积金基数调增，相关支出增加，2.本年增加中央支持学前教育发展资金项目资金。</w:t>
      </w:r>
      <w:r>
        <w:rPr>
          <w:rFonts w:ascii="仿宋_GB2312" w:hAnsi="仿宋_GB2312" w:eastAsia="仿宋_GB2312"/>
          <w:b/>
          <w:sz w:val="32"/>
        </w:rPr>
        <w:t>与年初预算相比，</w:t>
      </w:r>
      <w:r>
        <w:rPr>
          <w:rFonts w:ascii="仿宋_GB2312" w:hAnsi="仿宋_GB2312" w:eastAsia="仿宋_GB2312"/>
          <w:b w:val="0"/>
          <w:sz w:val="32"/>
        </w:rPr>
        <w:t>年初预算数997.97万元，决算数1,358.05万元，预决算差异率36.08%，主要原因是：年中追加人员工资、社保、公积金基数调增部分资金及支持学前教育发展项目资金，导致预决算差异。</w:t>
      </w:r>
    </w:p>
    <w:p w14:paraId="658A3EB8">
      <w:pPr>
        <w:spacing w:line="640" w:lineRule="exact"/>
        <w:ind w:firstLine="640"/>
        <w:jc w:val="both"/>
        <w:outlineLvl w:val="2"/>
      </w:pPr>
      <w:r>
        <w:rPr>
          <w:rFonts w:ascii="黑体" w:hAnsi="黑体" w:eastAsia="黑体"/>
          <w:sz w:val="32"/>
        </w:rPr>
        <w:t>五、一般公共预算财政拨款支出决算情况说明</w:t>
      </w:r>
    </w:p>
    <w:p w14:paraId="7205433F">
      <w:pPr>
        <w:spacing w:line="640" w:lineRule="exact"/>
        <w:ind w:firstLine="640"/>
        <w:jc w:val="both"/>
        <w:outlineLvl w:val="3"/>
      </w:pPr>
      <w:r>
        <w:rPr>
          <w:rFonts w:ascii="楷体_GB2312" w:hAnsi="楷体_GB2312" w:eastAsia="楷体_GB2312"/>
          <w:b/>
          <w:sz w:val="32"/>
        </w:rPr>
        <w:t>（一）一般公共预算财政拨款支出决算总体情况</w:t>
      </w:r>
    </w:p>
    <w:p w14:paraId="03170B02">
      <w:pPr>
        <w:spacing w:line="580" w:lineRule="exact"/>
        <w:ind w:firstLine="640"/>
        <w:jc w:val="both"/>
      </w:pPr>
      <w:r>
        <w:rPr>
          <w:rFonts w:ascii="仿宋_GB2312" w:hAnsi="仿宋_GB2312" w:eastAsia="仿宋_GB2312"/>
          <w:b/>
          <w:sz w:val="32"/>
        </w:rPr>
        <w:t>2024年度一般公共预算财政拨款支出1,358.05万元，</w:t>
      </w:r>
      <w:r>
        <w:rPr>
          <w:rFonts w:ascii="仿宋_GB2312" w:hAnsi="仿宋_GB2312" w:eastAsia="仿宋_GB2312"/>
          <w:b w:val="0"/>
          <w:sz w:val="32"/>
        </w:rPr>
        <w:t>占本年支出合计的97.79%。</w:t>
      </w:r>
      <w:r>
        <w:rPr>
          <w:rFonts w:ascii="仿宋_GB2312" w:hAnsi="仿宋_GB2312" w:eastAsia="仿宋_GB2312"/>
          <w:b/>
          <w:sz w:val="32"/>
        </w:rPr>
        <w:t>与上年相比，</w:t>
      </w:r>
      <w:r>
        <w:rPr>
          <w:rFonts w:ascii="仿宋_GB2312" w:hAnsi="仿宋_GB2312" w:eastAsia="仿宋_GB2312"/>
          <w:b w:val="0"/>
          <w:sz w:val="32"/>
        </w:rPr>
        <w:t>增加246.67万元，增长22.19%，主要原因是：1.本年在职人员工资调增，社保、公积金基数调增，相关支出增加，2.本年增加中央支持学前教育发展资金项目资金。</w:t>
      </w:r>
      <w:r>
        <w:rPr>
          <w:rFonts w:ascii="仿宋_GB2312" w:hAnsi="仿宋_GB2312" w:eastAsia="仿宋_GB2312"/>
          <w:b/>
          <w:sz w:val="32"/>
        </w:rPr>
        <w:t>与年初预算相比,</w:t>
      </w:r>
      <w:r>
        <w:rPr>
          <w:rFonts w:ascii="仿宋_GB2312" w:hAnsi="仿宋_GB2312" w:eastAsia="仿宋_GB2312"/>
          <w:b w:val="0"/>
          <w:sz w:val="32"/>
        </w:rPr>
        <w:t>年初预算数997.97万元，决算数1,358.05万元，预决算差异率36.08%，主要原因是：年中追加人员工资、社保、公积金基数调增部分资金及支持学前教育发展项目资金，导致预决算差异。</w:t>
      </w:r>
    </w:p>
    <w:p w14:paraId="513D05C1">
      <w:pPr>
        <w:spacing w:line="640" w:lineRule="exact"/>
        <w:ind w:firstLine="640"/>
        <w:jc w:val="both"/>
        <w:outlineLvl w:val="3"/>
      </w:pPr>
      <w:r>
        <w:rPr>
          <w:rFonts w:ascii="楷体_GB2312" w:hAnsi="楷体_GB2312" w:eastAsia="楷体_GB2312"/>
          <w:b/>
          <w:sz w:val="32"/>
        </w:rPr>
        <w:t>（二）一般公共预算财政拨款支出决算结构情况</w:t>
      </w:r>
    </w:p>
    <w:p w14:paraId="64376B42">
      <w:pPr>
        <w:spacing w:line="580" w:lineRule="exact"/>
        <w:ind w:firstLine="640"/>
        <w:jc w:val="both"/>
      </w:pPr>
      <w:r>
        <w:rPr>
          <w:rFonts w:ascii="仿宋_GB2312" w:hAnsi="仿宋_GB2312" w:eastAsia="仿宋_GB2312"/>
          <w:b w:val="0"/>
          <w:sz w:val="32"/>
        </w:rPr>
        <w:t>1.教育支出(类)1,134.77万元,占83.56%。</w:t>
      </w:r>
    </w:p>
    <w:p w14:paraId="532C3BC9">
      <w:pPr>
        <w:spacing w:line="580" w:lineRule="exact"/>
        <w:ind w:firstLine="640"/>
        <w:jc w:val="both"/>
      </w:pPr>
      <w:r>
        <w:rPr>
          <w:rFonts w:ascii="仿宋_GB2312" w:hAnsi="仿宋_GB2312" w:eastAsia="仿宋_GB2312"/>
          <w:b w:val="0"/>
          <w:sz w:val="32"/>
        </w:rPr>
        <w:t>2.社会保障和就业支出(类)110.04万元,占8.10%。</w:t>
      </w:r>
    </w:p>
    <w:p w14:paraId="3447BD84">
      <w:pPr>
        <w:spacing w:line="580" w:lineRule="exact"/>
        <w:ind w:firstLine="640"/>
        <w:jc w:val="both"/>
      </w:pPr>
      <w:r>
        <w:rPr>
          <w:rFonts w:ascii="仿宋_GB2312" w:hAnsi="仿宋_GB2312" w:eastAsia="仿宋_GB2312"/>
          <w:b w:val="0"/>
          <w:sz w:val="32"/>
        </w:rPr>
        <w:t>3.卫生健康支出(类)30.35万元,占2.23%。</w:t>
      </w:r>
    </w:p>
    <w:p w14:paraId="43F92C41">
      <w:pPr>
        <w:spacing w:line="580" w:lineRule="exact"/>
        <w:ind w:firstLine="640"/>
        <w:jc w:val="both"/>
      </w:pPr>
      <w:r>
        <w:rPr>
          <w:rFonts w:ascii="仿宋_GB2312" w:hAnsi="仿宋_GB2312" w:eastAsia="仿宋_GB2312"/>
          <w:b w:val="0"/>
          <w:sz w:val="32"/>
        </w:rPr>
        <w:t>4.住房保障支出(类)82.89万元,占6.10%。</w:t>
      </w:r>
    </w:p>
    <w:p w14:paraId="6EB1AFCA">
      <w:pPr>
        <w:spacing w:line="640" w:lineRule="exact"/>
        <w:ind w:firstLine="640"/>
        <w:jc w:val="both"/>
        <w:outlineLvl w:val="3"/>
      </w:pPr>
      <w:r>
        <w:rPr>
          <w:rFonts w:ascii="楷体_GB2312" w:hAnsi="楷体_GB2312" w:eastAsia="楷体_GB2312"/>
          <w:b/>
          <w:sz w:val="32"/>
        </w:rPr>
        <w:t>（三）一般公共预算财政拨款支出决算具体情况</w:t>
      </w:r>
    </w:p>
    <w:p w14:paraId="5276D0CC">
      <w:pPr>
        <w:spacing w:line="580" w:lineRule="exact"/>
        <w:ind w:firstLine="640"/>
        <w:jc w:val="both"/>
      </w:pPr>
      <w:r>
        <w:rPr>
          <w:rFonts w:ascii="仿宋_GB2312" w:hAnsi="仿宋_GB2312" w:eastAsia="仿宋_GB2312"/>
          <w:b w:val="0"/>
          <w:sz w:val="32"/>
        </w:rPr>
        <w:t>1.教育支出(类)普通教育(款)学前教育(项):支出决算数为1,134.77万元，比上年决算增加121.75万元，增长12.02%,主要原因是：本年在职人员工资调增，人员经费增加；增加支持学前教育发展项目资金。</w:t>
      </w:r>
    </w:p>
    <w:p w14:paraId="195BC05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96.44万元，比上年决算增加12.75万元，增长15.23%,主要原因是：本年在职人员工资基数调增，养老缴费基数上涨，相应支出增加。</w:t>
      </w:r>
    </w:p>
    <w:p w14:paraId="62282419">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8.52万元，比上年决算减少6.15万元，下降41.92%,主要原因是：本年新增退休人员较上年减少，职业年金缴费较上年减少。</w:t>
      </w:r>
    </w:p>
    <w:p w14:paraId="327997A5">
      <w:pPr>
        <w:spacing w:line="580" w:lineRule="exact"/>
        <w:ind w:firstLine="640"/>
        <w:jc w:val="both"/>
      </w:pPr>
      <w:r>
        <w:rPr>
          <w:rFonts w:ascii="仿宋_GB2312" w:hAnsi="仿宋_GB2312" w:eastAsia="仿宋_GB2312"/>
          <w:b w:val="0"/>
          <w:sz w:val="32"/>
        </w:rPr>
        <w:t>4.社会保障和就业支出(类)其他社会保障和就业支出(款)其他社会保障和就业支出(项):支出决算数为5.08万元，比上年决算增加5.08万元，增长100.00%,主要原因是：本年功能科目调整，其他社会保障和就业支出上年度在主科目列支，本年单独列支，导致经费较上年增加。</w:t>
      </w:r>
    </w:p>
    <w:p w14:paraId="6249389A">
      <w:pPr>
        <w:spacing w:line="580" w:lineRule="exact"/>
        <w:ind w:firstLine="640"/>
        <w:jc w:val="both"/>
      </w:pPr>
      <w:r>
        <w:rPr>
          <w:rFonts w:ascii="仿宋_GB2312" w:hAnsi="仿宋_GB2312" w:eastAsia="仿宋_GB2312"/>
          <w:b w:val="0"/>
          <w:sz w:val="32"/>
        </w:rPr>
        <w:t>5.卫生健康支出(类)行政事业单位医疗(款)事业单位医疗(项):支出决算数为30.35万元，比上年决算增加30.35万元，增长100.00%,主要原因是：本年功能科目调整，事业单位医疗支出上年度在主科目列支，本年单独列支，导致经费较上年增加。</w:t>
      </w:r>
    </w:p>
    <w:p w14:paraId="75F36708">
      <w:pPr>
        <w:spacing w:line="580" w:lineRule="exact"/>
        <w:ind w:firstLine="640"/>
        <w:jc w:val="both"/>
      </w:pPr>
      <w:r>
        <w:rPr>
          <w:rFonts w:ascii="仿宋_GB2312" w:hAnsi="仿宋_GB2312" w:eastAsia="仿宋_GB2312"/>
          <w:b w:val="0"/>
          <w:sz w:val="32"/>
        </w:rPr>
        <w:t>6.住房保障支出(类)住房改革支出(款)住房公积金(项):支出决算数为82.89万元，比上年决算增加82.89万元，增长100.00%,主要原因是：本年功能科目调整，住房公积金上年度在主科目列支，本年单独列支，导致经费较上年增加。</w:t>
      </w:r>
    </w:p>
    <w:p w14:paraId="56375F9D">
      <w:pPr>
        <w:spacing w:line="640" w:lineRule="exact"/>
        <w:ind w:firstLine="640"/>
        <w:jc w:val="both"/>
        <w:outlineLvl w:val="2"/>
      </w:pPr>
      <w:r>
        <w:rPr>
          <w:rFonts w:ascii="黑体" w:hAnsi="黑体" w:eastAsia="黑体"/>
          <w:sz w:val="32"/>
        </w:rPr>
        <w:t>六、一般公共预算财政拨款基本支出决算情况说明</w:t>
      </w:r>
    </w:p>
    <w:p w14:paraId="10F02ECC">
      <w:pPr>
        <w:spacing w:line="580" w:lineRule="exact"/>
        <w:ind w:firstLine="640"/>
        <w:jc w:val="both"/>
      </w:pPr>
      <w:r>
        <w:rPr>
          <w:rFonts w:ascii="仿宋_GB2312" w:hAnsi="仿宋_GB2312" w:eastAsia="仿宋_GB2312"/>
          <w:b w:val="0"/>
          <w:sz w:val="32"/>
        </w:rPr>
        <w:t>2024年度一般公共预算财政拨款基本支出943.66万元，其中：</w:t>
      </w:r>
      <w:r>
        <w:rPr>
          <w:rFonts w:ascii="仿宋_GB2312" w:hAnsi="仿宋_GB2312" w:eastAsia="仿宋_GB2312"/>
          <w:b/>
          <w:sz w:val="32"/>
        </w:rPr>
        <w:t>人员经费933.52万元，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包括：基本工资、津贴补贴、奖金、机关事业单位基本养老保险缴费、职业年金缴费、职工基本医疗保险缴费、其他社会保障缴费、住房公积金、其他工资福利支出、奖励金。</w:t>
      </w:r>
    </w:p>
    <w:p w14:paraId="3A1887BF">
      <w:pPr>
        <w:spacing w:line="580" w:lineRule="exact"/>
        <w:ind w:firstLine="640"/>
        <w:jc w:val="both"/>
      </w:pPr>
      <w:r>
        <w:rPr>
          <w:rFonts w:ascii="仿宋_GB2312" w:hAnsi="仿宋_GB2312" w:eastAsia="仿宋_GB2312"/>
          <w:b/>
          <w:sz w:val="32"/>
        </w:rPr>
        <w:t>公用经费10.13万元，</w:t>
      </w:r>
      <w:r>
        <w:rPr>
          <w:rFonts w:ascii="仿宋_GB2312" w:hAnsi="仿宋_GB2312" w:eastAsia="仿宋_GB2312"/>
          <w:b w:val="0"/>
          <w:sz w:val="32"/>
        </w:rPr>
        <w:t>包括：工会经费、福利费、其他商品和服务支出。</w:t>
      </w:r>
    </w:p>
    <w:p w14:paraId="52F68244">
      <w:pPr>
        <w:spacing w:line="640" w:lineRule="exact"/>
        <w:ind w:firstLine="640"/>
        <w:jc w:val="both"/>
        <w:outlineLvl w:val="2"/>
      </w:pPr>
      <w:r>
        <w:rPr>
          <w:rFonts w:ascii="黑体" w:hAnsi="黑体" w:eastAsia="黑体"/>
          <w:sz w:val="32"/>
        </w:rPr>
        <w:t>七、政府性基金预算财政拨款收入支出决算情况说明</w:t>
      </w:r>
    </w:p>
    <w:p w14:paraId="18E7218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038FEDD">
      <w:pPr>
        <w:spacing w:line="640" w:lineRule="exact"/>
        <w:ind w:firstLine="640"/>
        <w:jc w:val="both"/>
        <w:outlineLvl w:val="2"/>
      </w:pPr>
      <w:r>
        <w:rPr>
          <w:rFonts w:ascii="黑体" w:hAnsi="黑体" w:eastAsia="黑体"/>
          <w:sz w:val="32"/>
        </w:rPr>
        <w:t>八、国有资本经营预算财政拨款收入支出决算情况说明</w:t>
      </w:r>
    </w:p>
    <w:p w14:paraId="00602D6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425D1C">
      <w:pPr>
        <w:spacing w:line="640" w:lineRule="exact"/>
        <w:ind w:firstLine="640"/>
        <w:jc w:val="both"/>
        <w:outlineLvl w:val="2"/>
      </w:pPr>
      <w:r>
        <w:rPr>
          <w:rFonts w:ascii="黑体" w:hAnsi="黑体" w:eastAsia="黑体"/>
          <w:sz w:val="32"/>
        </w:rPr>
        <w:t>九、财政拨款“三公”经费支出决算情况说明</w:t>
      </w:r>
    </w:p>
    <w:p w14:paraId="28A020E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0846219">
      <w:pPr>
        <w:spacing w:line="580" w:lineRule="exact"/>
        <w:ind w:firstLine="640"/>
        <w:jc w:val="both"/>
      </w:pPr>
      <w:r>
        <w:rPr>
          <w:rFonts w:ascii="仿宋_GB2312" w:hAnsi="仿宋_GB2312" w:eastAsia="仿宋_GB2312"/>
          <w:b/>
          <w:sz w:val="32"/>
        </w:rPr>
        <w:t>具体情况如下：</w:t>
      </w:r>
    </w:p>
    <w:p w14:paraId="25FF665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BF3BCC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EA5250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F00B2B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9F23DBF">
      <w:pPr>
        <w:spacing w:line="640" w:lineRule="exact"/>
        <w:ind w:firstLine="640"/>
        <w:jc w:val="both"/>
        <w:outlineLvl w:val="2"/>
      </w:pPr>
      <w:r>
        <w:rPr>
          <w:rFonts w:ascii="黑体" w:hAnsi="黑体" w:eastAsia="黑体"/>
          <w:sz w:val="32"/>
        </w:rPr>
        <w:t>十、其他重要事项的情况说明</w:t>
      </w:r>
    </w:p>
    <w:p w14:paraId="2148A613">
      <w:pPr>
        <w:spacing w:line="640" w:lineRule="exact"/>
        <w:ind w:firstLine="640"/>
        <w:jc w:val="both"/>
        <w:outlineLvl w:val="3"/>
      </w:pPr>
      <w:r>
        <w:rPr>
          <w:rFonts w:ascii="楷体_GB2312" w:hAnsi="楷体_GB2312" w:eastAsia="楷体_GB2312"/>
          <w:b/>
          <w:sz w:val="32"/>
        </w:rPr>
        <w:t>（一）机关运行经费及公用经费支出情况</w:t>
      </w:r>
    </w:p>
    <w:p w14:paraId="5623E669">
      <w:pPr>
        <w:spacing w:line="580" w:lineRule="exact"/>
        <w:ind w:firstLine="640"/>
        <w:jc w:val="both"/>
      </w:pPr>
      <w:r>
        <w:rPr>
          <w:rFonts w:ascii="仿宋_GB2312" w:hAnsi="仿宋_GB2312" w:eastAsia="仿宋_GB2312"/>
          <w:b w:val="0"/>
          <w:sz w:val="32"/>
        </w:rPr>
        <w:t>2024年度克孜勒苏柯尔克孜自治州第二幼儿园（事业单位）公用经费支出10.13万元，比上年减少58.07万元，下降85.15%，主要原因是：2024年在园幼儿人数减少，生均公用经费减少。</w:t>
      </w:r>
    </w:p>
    <w:p w14:paraId="4C97A199">
      <w:pPr>
        <w:spacing w:line="640" w:lineRule="exact"/>
        <w:ind w:firstLine="640"/>
        <w:jc w:val="both"/>
        <w:outlineLvl w:val="3"/>
      </w:pPr>
      <w:r>
        <w:rPr>
          <w:rFonts w:ascii="楷体_GB2312" w:hAnsi="楷体_GB2312" w:eastAsia="楷体_GB2312"/>
          <w:b/>
          <w:sz w:val="32"/>
        </w:rPr>
        <w:t>（二）政府采购情况</w:t>
      </w:r>
    </w:p>
    <w:p w14:paraId="5D1A2D31">
      <w:pPr>
        <w:spacing w:line="580" w:lineRule="exact"/>
        <w:ind w:firstLine="640"/>
        <w:jc w:val="both"/>
      </w:pPr>
      <w:r>
        <w:rPr>
          <w:rFonts w:ascii="仿宋_GB2312" w:hAnsi="仿宋_GB2312" w:eastAsia="仿宋_GB2312"/>
          <w:b w:val="0"/>
          <w:sz w:val="32"/>
        </w:rPr>
        <w:t>2024年度政府采购支出总额188.68万元，其中：政府采购货物支出16.85万元、政府采购工程支出171.60万元、政府采购服务支出0.23万元。</w:t>
      </w:r>
    </w:p>
    <w:p w14:paraId="5F25E5D8">
      <w:pPr>
        <w:spacing w:line="580" w:lineRule="exact"/>
        <w:ind w:firstLine="640"/>
        <w:jc w:val="both"/>
      </w:pPr>
      <w:r>
        <w:rPr>
          <w:rFonts w:ascii="仿宋_GB2312" w:hAnsi="仿宋_GB2312" w:eastAsia="仿宋_GB2312"/>
          <w:b w:val="0"/>
          <w:sz w:val="32"/>
        </w:rPr>
        <w:t>授予中小企业合同金额188.68万元，占政府采购支出总额的100.00%，其中：授予小微企业合同金额188.68万元，占政府采购支出总额的100.00%。</w:t>
      </w:r>
    </w:p>
    <w:p w14:paraId="49B50197">
      <w:pPr>
        <w:spacing w:line="640" w:lineRule="exact"/>
        <w:ind w:firstLine="640"/>
        <w:jc w:val="both"/>
        <w:outlineLvl w:val="3"/>
      </w:pPr>
      <w:r>
        <w:rPr>
          <w:rFonts w:ascii="楷体_GB2312" w:hAnsi="楷体_GB2312" w:eastAsia="楷体_GB2312"/>
          <w:b/>
          <w:sz w:val="32"/>
        </w:rPr>
        <w:t>（三）国有资产占用情况说明</w:t>
      </w:r>
    </w:p>
    <w:p w14:paraId="0043F4A4">
      <w:pPr>
        <w:spacing w:line="580" w:lineRule="exact"/>
        <w:ind w:firstLine="640"/>
        <w:jc w:val="both"/>
      </w:pPr>
      <w:r>
        <w:rPr>
          <w:rFonts w:ascii="仿宋_GB2312" w:hAnsi="仿宋_GB2312" w:eastAsia="仿宋_GB2312"/>
          <w:b w:val="0"/>
          <w:sz w:val="32"/>
        </w:rPr>
        <w:t>截至2024年12月31日，房屋996.00平方米，价值259.82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7EDF591">
      <w:pPr>
        <w:spacing w:line="640" w:lineRule="exact"/>
        <w:ind w:firstLine="640"/>
        <w:jc w:val="both"/>
        <w:outlineLvl w:val="2"/>
      </w:pPr>
      <w:r>
        <w:rPr>
          <w:rFonts w:ascii="黑体" w:hAnsi="黑体" w:eastAsia="黑体"/>
          <w:sz w:val="32"/>
        </w:rPr>
        <w:t>十一、预算绩效的情况说明</w:t>
      </w:r>
    </w:p>
    <w:p w14:paraId="38C0CBF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1,389.51万元，实际执行总额1,388.68万元；预算绩效评价项目5个，全年预算数486.37万元，全年执行数484.18万元。预算绩效管理取得的成效：1.本单位以绩效目标实现为导向，加强制度建设，提升预算执行质量，预算绩效管理取得一定成效。预算绩效管理取得的成效，科学制定目标，促进绩效目标顺利实现。2.自落实预算绩效管理工作以来，本单位在项目资金的使用</w:t>
      </w:r>
      <w:r>
        <w:rPr>
          <w:rFonts w:hint="eastAsia" w:ascii="仿宋_GB2312" w:hAnsi="仿宋_GB2312" w:eastAsia="仿宋_GB2312"/>
          <w:b w:val="0"/>
          <w:sz w:val="32"/>
          <w:lang w:eastAsia="zh-CN"/>
        </w:rPr>
        <w:t>上</w:t>
      </w:r>
      <w:r>
        <w:rPr>
          <w:rFonts w:ascii="仿宋_GB2312" w:hAnsi="仿宋_GB2312" w:eastAsia="仿宋_GB2312"/>
          <w:b w:val="0"/>
          <w:sz w:val="32"/>
        </w:rPr>
        <w:t>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1.存在的问题财政绩效管理有待提高。相关绩效管理方面专业知识的系统性学习有待加强。2.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1.加强学习，提高对绩效管理的认识，提高对绩效管理的重视度，对相关人员进行培训与宣传，树立事前、事中、事后全过程的监督评价机制。2.建立明确的绩效管理计划，绩效计划应对执行绩效管理作出深入细致的规划，保证各个环节有人负责，保证整个绩效管理过程可以追踪和考核。具体附整体支出绩效自评表，项目支出绩效自评表和评价报告。</w:t>
      </w:r>
    </w:p>
    <w:p w14:paraId="52F228C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73D88B2">
        <w:tblPrEx>
          <w:tblCellMar>
            <w:top w:w="0" w:type="dxa"/>
            <w:left w:w="108" w:type="dxa"/>
            <w:bottom w:w="0" w:type="dxa"/>
            <w:right w:w="108" w:type="dxa"/>
          </w:tblCellMar>
        </w:tblPrEx>
        <w:tc>
          <w:tcPr>
            <w:tcW w:w="8840" w:type="dxa"/>
            <w:gridSpan w:val="8"/>
            <w:vAlign w:val="center"/>
          </w:tcPr>
          <w:p w14:paraId="338919FE">
            <w:pPr>
              <w:jc w:val="center"/>
            </w:pPr>
            <w:r>
              <w:rPr>
                <w:rFonts w:ascii="宋体" w:hAnsi="宋体" w:eastAsia="宋体"/>
                <w:sz w:val="24"/>
              </w:rPr>
              <w:t>单位整体支出绩效自评表</w:t>
            </w:r>
          </w:p>
        </w:tc>
      </w:tr>
      <w:tr w14:paraId="12781DCA">
        <w:tblPrEx>
          <w:tblCellMar>
            <w:top w:w="0" w:type="dxa"/>
            <w:left w:w="108" w:type="dxa"/>
            <w:bottom w:w="0" w:type="dxa"/>
            <w:right w:w="108" w:type="dxa"/>
          </w:tblCellMar>
        </w:tblPrEx>
        <w:tc>
          <w:tcPr>
            <w:tcW w:w="8840" w:type="dxa"/>
            <w:gridSpan w:val="8"/>
            <w:vAlign w:val="center"/>
          </w:tcPr>
          <w:p w14:paraId="5E88C707">
            <w:pPr>
              <w:jc w:val="center"/>
            </w:pPr>
            <w:r>
              <w:rPr>
                <w:rFonts w:ascii="宋体" w:hAnsi="宋体" w:eastAsia="宋体"/>
                <w:sz w:val="24"/>
              </w:rPr>
              <w:t>（2024年度）</w:t>
            </w:r>
          </w:p>
        </w:tc>
      </w:tr>
      <w:tr w14:paraId="6006D3A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D0E8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EAFDE">
            <w:pPr>
              <w:jc w:val="center"/>
            </w:pPr>
            <w:r>
              <w:rPr>
                <w:rFonts w:ascii="宋体" w:hAnsi="宋体" w:eastAsia="宋体"/>
                <w:sz w:val="16"/>
              </w:rPr>
              <w:t>克孜勒苏柯尔克孜自治州第二幼儿园</w:t>
            </w:r>
          </w:p>
        </w:tc>
      </w:tr>
      <w:tr w14:paraId="2AF6BBE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A343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C7BF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D233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93012">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EE33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7E35A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CE5ED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0D39F">
            <w:pPr>
              <w:jc w:val="center"/>
            </w:pPr>
            <w:r>
              <w:rPr>
                <w:rFonts w:ascii="宋体" w:hAnsi="宋体" w:eastAsia="宋体"/>
                <w:sz w:val="16"/>
              </w:rPr>
              <w:t>得分</w:t>
            </w:r>
          </w:p>
        </w:tc>
      </w:tr>
      <w:tr w14:paraId="2937F7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C819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E860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8819A">
            <w:pPr>
              <w:jc w:val="center"/>
            </w:pPr>
            <w:r>
              <w:rPr>
                <w:rFonts w:ascii="宋体" w:hAnsi="宋体" w:eastAsia="宋体"/>
                <w:sz w:val="16"/>
              </w:rPr>
              <w:t>1,068.69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502BD1">
            <w:pPr>
              <w:jc w:val="center"/>
            </w:pPr>
            <w:r>
              <w:rPr>
                <w:rFonts w:ascii="宋体" w:hAnsi="宋体" w:eastAsia="宋体"/>
                <w:sz w:val="16"/>
              </w:rPr>
              <w:t>1,389.51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7C673">
            <w:pPr>
              <w:jc w:val="center"/>
            </w:pPr>
            <w:r>
              <w:rPr>
                <w:rFonts w:ascii="宋体" w:hAnsi="宋体" w:eastAsia="宋体"/>
                <w:sz w:val="16"/>
              </w:rPr>
              <w:t>1,388.68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B58B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A9E7D">
            <w:pPr>
              <w:jc w:val="center"/>
            </w:pPr>
            <w:r>
              <w:rPr>
                <w:rFonts w:ascii="宋体" w:hAnsi="宋体" w:eastAsia="宋体"/>
                <w:sz w:val="16"/>
              </w:rPr>
              <w:t>99.94%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898C7">
            <w:pPr>
              <w:jc w:val="center"/>
              <w:rPr>
                <w:rFonts w:hint="default" w:eastAsia="宋体"/>
                <w:lang w:val="en-US" w:eastAsia="zh-CN"/>
              </w:rPr>
            </w:pPr>
            <w:r>
              <w:rPr>
                <w:rFonts w:hint="eastAsia" w:ascii="宋体" w:hAnsi="宋体"/>
                <w:sz w:val="16"/>
                <w:lang w:val="en-US" w:eastAsia="zh-CN"/>
              </w:rPr>
              <w:t>9.99</w:t>
            </w:r>
          </w:p>
        </w:tc>
      </w:tr>
      <w:tr w14:paraId="045D4D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E768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3C24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456A6">
            <w:pPr>
              <w:jc w:val="center"/>
            </w:pPr>
            <w:r>
              <w:rPr>
                <w:rFonts w:ascii="宋体" w:hAnsi="宋体" w:eastAsia="宋体"/>
                <w:sz w:val="16"/>
              </w:rPr>
              <w:t>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82921">
            <w:pPr>
              <w:jc w:val="center"/>
            </w:pPr>
            <w:r>
              <w:rPr>
                <w:rFonts w:ascii="宋体" w:hAnsi="宋体" w:eastAsia="宋体"/>
                <w:sz w:val="16"/>
              </w:rPr>
              <w:t>360.00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9D9A6">
            <w:pPr>
              <w:jc w:val="center"/>
            </w:pPr>
            <w:r>
              <w:rPr>
                <w:rFonts w:ascii="宋体" w:hAnsi="宋体" w:eastAsia="宋体"/>
                <w:sz w:val="16"/>
              </w:rPr>
              <w:t>360.00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CD9B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328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BF162">
            <w:pPr>
              <w:jc w:val="center"/>
            </w:pPr>
            <w:r>
              <w:rPr>
                <w:rFonts w:ascii="宋体" w:hAnsi="宋体" w:eastAsia="宋体"/>
                <w:sz w:val="16"/>
              </w:rPr>
              <w:t>—</w:t>
            </w:r>
          </w:p>
        </w:tc>
      </w:tr>
      <w:tr w14:paraId="31493B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A6120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0BDF5">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73B13">
            <w:pPr>
              <w:jc w:val="center"/>
            </w:pPr>
            <w:r>
              <w:rPr>
                <w:rFonts w:ascii="宋体" w:hAnsi="宋体" w:eastAsia="宋体"/>
                <w:sz w:val="16"/>
              </w:rPr>
              <w:t>988.41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1E543">
            <w:pPr>
              <w:jc w:val="center"/>
            </w:pPr>
            <w:r>
              <w:rPr>
                <w:rFonts w:ascii="宋体" w:hAnsi="宋体" w:eastAsia="宋体"/>
                <w:sz w:val="16"/>
              </w:rPr>
              <w:t>1,029.51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363B4">
            <w:pPr>
              <w:jc w:val="center"/>
            </w:pPr>
            <w:r>
              <w:rPr>
                <w:rFonts w:ascii="宋体" w:hAnsi="宋体" w:eastAsia="宋体"/>
                <w:sz w:val="16"/>
              </w:rPr>
              <w:t>1,028.68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D631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D157C5">
            <w:pPr>
              <w:jc w:val="center"/>
            </w:pPr>
            <w:r>
              <w:rPr>
                <w:rFonts w:ascii="宋体" w:hAnsi="宋体" w:eastAsia="宋体"/>
                <w:sz w:val="16"/>
              </w:rPr>
              <w:t>—</w:t>
            </w:r>
            <w:bookmarkStart w:id="0" w:name="_GoBack"/>
            <w:bookmarkEnd w:id="0"/>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DE680">
            <w:pPr>
              <w:jc w:val="center"/>
            </w:pPr>
            <w:r>
              <w:rPr>
                <w:rFonts w:ascii="宋体" w:hAnsi="宋体" w:eastAsia="宋体"/>
                <w:sz w:val="16"/>
              </w:rPr>
              <w:t>—</w:t>
            </w:r>
          </w:p>
        </w:tc>
      </w:tr>
      <w:tr w14:paraId="35FF58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3A83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1EA3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26613">
            <w:pPr>
              <w:jc w:val="center"/>
            </w:pPr>
            <w:r>
              <w:rPr>
                <w:rFonts w:ascii="宋体" w:hAnsi="宋体" w:eastAsia="宋体"/>
                <w:sz w:val="16"/>
              </w:rPr>
              <w:t>70.72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29A3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E4E5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80C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4DFF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83B76">
            <w:pPr>
              <w:jc w:val="center"/>
            </w:pPr>
            <w:r>
              <w:rPr>
                <w:rFonts w:ascii="宋体" w:hAnsi="宋体" w:eastAsia="宋体"/>
                <w:sz w:val="16"/>
              </w:rPr>
              <w:t>—</w:t>
            </w:r>
          </w:p>
        </w:tc>
      </w:tr>
      <w:tr w14:paraId="682DE86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90C1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7AC45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BFFA35">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0188A0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385D0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D47F31">
            <w:pPr>
              <w:jc w:val="both"/>
            </w:pPr>
            <w:r>
              <w:rPr>
                <w:rFonts w:hint="eastAsia" w:ascii="宋体" w:hAnsi="宋体"/>
                <w:sz w:val="16"/>
                <w:lang w:eastAsia="zh-CN"/>
              </w:rPr>
              <w:t>1.</w:t>
            </w:r>
            <w:r>
              <w:rPr>
                <w:rFonts w:ascii="宋体" w:hAnsi="宋体" w:eastAsia="宋体"/>
                <w:sz w:val="16"/>
              </w:rPr>
              <w:t>加强内部管理提高办园质量</w:t>
            </w:r>
            <w:r>
              <w:rPr>
                <w:rFonts w:ascii="宋体" w:hAnsi="宋体" w:eastAsia="宋体"/>
                <w:sz w:val="16"/>
              </w:rPr>
              <w:br w:type="textWrapping"/>
            </w:r>
            <w:r>
              <w:rPr>
                <w:rFonts w:ascii="宋体" w:hAnsi="宋体" w:eastAsia="宋体"/>
                <w:sz w:val="16"/>
              </w:rPr>
              <w:t>2、加大教研力度全方位地开展教研活动，持续做好八大习惯养成教育。</w:t>
            </w:r>
            <w:r>
              <w:rPr>
                <w:rFonts w:ascii="宋体" w:hAnsi="宋体" w:eastAsia="宋体"/>
                <w:sz w:val="16"/>
              </w:rPr>
              <w:br w:type="textWrapping"/>
            </w:r>
            <w:r>
              <w:rPr>
                <w:rFonts w:ascii="宋体" w:hAnsi="宋体" w:eastAsia="宋体"/>
                <w:sz w:val="16"/>
              </w:rPr>
              <w:t>3、继续组织教师认真学习先进的教育思想，切实加强教师的思想作风建设,提高教师职业道德水平,增强广大教师敬业奉献的自豪感和敬业爱幼的责任感</w:t>
            </w:r>
            <w:r>
              <w:rPr>
                <w:rFonts w:ascii="宋体" w:hAnsi="宋体" w:eastAsia="宋体"/>
                <w:sz w:val="16"/>
              </w:rPr>
              <w:br w:type="textWrapping"/>
            </w:r>
            <w:r>
              <w:rPr>
                <w:rFonts w:ascii="宋体" w:hAnsi="宋体" w:eastAsia="宋体"/>
                <w:sz w:val="16"/>
              </w:rPr>
              <w:t>4、通过开展丰富多彩的各种主题教育，持续将中华传统文化进校园活动推向深入。利用“妇女节”、“劳动节”、“植树节”、“六一”、二十四节气等开展活动，培养幼儿丰富的情感。</w:t>
            </w:r>
            <w:r>
              <w:rPr>
                <w:rFonts w:ascii="宋体" w:hAnsi="宋体" w:eastAsia="宋体"/>
                <w:sz w:val="16"/>
              </w:rPr>
              <w:br w:type="textWrapping"/>
            </w:r>
            <w:r>
              <w:rPr>
                <w:rFonts w:ascii="宋体" w:hAnsi="宋体" w:eastAsia="宋体"/>
                <w:sz w:val="16"/>
              </w:rPr>
              <w:t>5、做好保健工作确保幼儿的安全快乐健康成长。加强安全工作，落实安全工作制度，专人定期检查园内各类设施，安全工作责任到人,杜绝一切不安全因素。加强对幼儿、教师的自我保护教育、安全教育，每周一节安全教育课，时刻做好防范工作,确保幼儿、教师、园财产的安全。</w:t>
            </w:r>
            <w:r>
              <w:rPr>
                <w:rFonts w:ascii="宋体" w:hAnsi="宋体" w:eastAsia="宋体"/>
                <w:sz w:val="16"/>
              </w:rPr>
              <w:br w:type="textWrapping"/>
            </w:r>
            <w:r>
              <w:rPr>
                <w:rFonts w:ascii="宋体" w:hAnsi="宋体" w:eastAsia="宋体"/>
                <w:sz w:val="16"/>
              </w:rPr>
              <w:t>6、架起家园联系的桥梁促进幼儿协调发展</w:t>
            </w:r>
            <w:r>
              <w:rPr>
                <w:rFonts w:ascii="宋体" w:hAnsi="宋体" w:eastAsia="宋体"/>
                <w:sz w:val="16"/>
              </w:rPr>
              <w:br w:type="textWrapping"/>
            </w:r>
            <w:r>
              <w:rPr>
                <w:rFonts w:ascii="宋体" w:hAnsi="宋体" w:eastAsia="宋体"/>
                <w:sz w:val="16"/>
              </w:rPr>
              <w:t>7、抓好幼小衔接工作为进一步的学习打好基础。</w:t>
            </w:r>
            <w:r>
              <w:rPr>
                <w:rFonts w:ascii="宋体" w:hAnsi="宋体" w:eastAsia="宋体"/>
                <w:sz w:val="16"/>
              </w:rPr>
              <w:br w:type="textWrapping"/>
            </w:r>
            <w:r>
              <w:rPr>
                <w:rFonts w:ascii="宋体" w:hAnsi="宋体" w:eastAsia="宋体"/>
                <w:sz w:val="16"/>
              </w:rPr>
              <w:t>8、充分发挥后勤作用切实做好保教结合</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E9244B">
            <w:pPr>
              <w:jc w:val="both"/>
            </w:pPr>
            <w:r>
              <w:rPr>
                <w:rFonts w:ascii="宋体" w:hAnsi="宋体" w:eastAsia="宋体"/>
                <w:sz w:val="16"/>
              </w:rPr>
              <w:t>（1）持续做好八大习惯养成教育。习惯体现</w:t>
            </w:r>
            <w:r>
              <w:rPr>
                <w:rFonts w:hint="eastAsia" w:ascii="宋体" w:hAnsi="宋体"/>
                <w:sz w:val="16"/>
                <w:lang w:eastAsia="zh-CN"/>
              </w:rPr>
              <w:t>在</w:t>
            </w:r>
            <w:r>
              <w:rPr>
                <w:rFonts w:ascii="宋体" w:hAnsi="宋体" w:eastAsia="宋体"/>
                <w:sz w:val="16"/>
              </w:rPr>
              <w:t>幼儿的语言逻辑和情绪情感，学习习惯集中于幼儿的专注力和好奇心。八大习惯渗透于幼儿的一日生活、区角游戏、同班交往、班级环创等方方面面。</w:t>
            </w:r>
            <w:r>
              <w:rPr>
                <w:rFonts w:ascii="宋体" w:hAnsi="宋体" w:eastAsia="宋体"/>
                <w:sz w:val="16"/>
              </w:rPr>
              <w:br w:type="textWrapping"/>
            </w:r>
            <w:r>
              <w:rPr>
                <w:rFonts w:ascii="宋体" w:hAnsi="宋体" w:eastAsia="宋体"/>
                <w:sz w:val="16"/>
              </w:rPr>
              <w:t>（2）完成推进教师成长的七大维度。教师在游戏活动中扮演着观察者、引导者与支持者的角色，密切关注幼儿的游戏行为表现，适时给予恰当的引导与鼓励，积极支持幼儿在游戏中自主探索、合作交流、解决问题，有效促进了幼儿想象力、创造力、动手能力以及社会交往能力等多方面综合素质的全面提升。</w:t>
            </w:r>
            <w:r>
              <w:rPr>
                <w:rFonts w:ascii="宋体" w:hAnsi="宋体" w:eastAsia="宋体"/>
                <w:sz w:val="16"/>
              </w:rPr>
              <w:br w:type="textWrapping"/>
            </w:r>
            <w:r>
              <w:rPr>
                <w:rFonts w:ascii="宋体" w:hAnsi="宋体" w:eastAsia="宋体"/>
                <w:sz w:val="16"/>
              </w:rPr>
              <w:t>（3）开展丰富多彩的主题教育。活动成功举办了多场丰富多彩的活动，不仅丰富了孩子们的课余生活，还促进了他们的全面发展。家长们的积极参与也为活动增添了更多温馨和欢乐。未来，我们将继续秉承“从而中来，到儿童中去”的教育理念，为孩子们提供更多有趣、有益的活动，让他们在快乐中成长，在成长中收获。</w:t>
            </w:r>
            <w:r>
              <w:rPr>
                <w:rFonts w:ascii="宋体" w:hAnsi="宋体" w:eastAsia="宋体"/>
                <w:sz w:val="16"/>
              </w:rPr>
              <w:br w:type="textWrapping"/>
            </w:r>
            <w:r>
              <w:rPr>
                <w:rFonts w:ascii="宋体" w:hAnsi="宋体" w:eastAsia="宋体"/>
                <w:sz w:val="16"/>
              </w:rPr>
              <w:t>(4)加强安全保障，保证教学工作的正常开展、提高教师队伍建设、加强培训、安排全体教师参加培训。培训与交流学习不仅使老师们自身专业水平的提高，同时也将培训交流学习的成果运用到日常的</w:t>
            </w:r>
            <w:r>
              <w:rPr>
                <w:rFonts w:hint="eastAsia" w:ascii="宋体" w:hAnsi="宋体"/>
                <w:sz w:val="16"/>
                <w:lang w:eastAsia="zh-CN"/>
              </w:rPr>
              <w:t>工作</w:t>
            </w:r>
            <w:r>
              <w:rPr>
                <w:rFonts w:ascii="宋体" w:hAnsi="宋体" w:eastAsia="宋体"/>
                <w:sz w:val="16"/>
              </w:rPr>
              <w:t>中促进了老师们的专业成长。</w:t>
            </w:r>
          </w:p>
        </w:tc>
      </w:tr>
      <w:tr w14:paraId="0BA3300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B6E8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772F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8CC3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38A8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3467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6048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068ED">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32A9B">
            <w:pPr>
              <w:jc w:val="center"/>
            </w:pPr>
            <w:r>
              <w:rPr>
                <w:rFonts w:ascii="宋体" w:hAnsi="宋体" w:eastAsia="宋体"/>
                <w:sz w:val="16"/>
              </w:rPr>
              <w:t>得分</w:t>
            </w:r>
          </w:p>
        </w:tc>
      </w:tr>
      <w:tr w14:paraId="4142B75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CC0AD">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B5CB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21692">
            <w:pPr>
              <w:jc w:val="center"/>
            </w:pPr>
            <w:r>
              <w:rPr>
                <w:rFonts w:ascii="宋体" w:hAnsi="宋体" w:eastAsia="宋体"/>
                <w:sz w:val="16"/>
              </w:rPr>
              <w:t>持续做好八大习惯养成教育（%）</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6818F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2A190">
            <w:pPr>
              <w:jc w:val="center"/>
            </w:pPr>
            <w:r>
              <w:rPr>
                <w:rFonts w:ascii="宋体" w:hAnsi="宋体" w:eastAsia="宋体"/>
                <w:sz w:val="16"/>
              </w:rPr>
              <w:t>2024年八大习惯养成计划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ECBA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1671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7DD191">
            <w:pPr>
              <w:jc w:val="center"/>
            </w:pPr>
            <w:r>
              <w:rPr>
                <w:rFonts w:ascii="宋体" w:hAnsi="宋体" w:eastAsia="宋体"/>
                <w:sz w:val="16"/>
              </w:rPr>
              <w:t>15</w:t>
            </w:r>
          </w:p>
        </w:tc>
      </w:tr>
      <w:tr w14:paraId="59BC47D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41D9E">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CAA3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424A3">
            <w:pPr>
              <w:jc w:val="center"/>
            </w:pPr>
            <w:r>
              <w:rPr>
                <w:rFonts w:ascii="宋体" w:hAnsi="宋体" w:eastAsia="宋体"/>
                <w:sz w:val="16"/>
              </w:rPr>
              <w:t>完成推进教师成长的七大维度(个）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FEE10">
            <w:pPr>
              <w:jc w:val="center"/>
            </w:pPr>
            <w:r>
              <w:rPr>
                <w:rFonts w:ascii="宋体" w:hAnsi="宋体" w:eastAsia="宋体"/>
                <w:sz w:val="16"/>
              </w:rPr>
              <w:t>=7个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5E1C7">
            <w:pPr>
              <w:jc w:val="center"/>
            </w:pPr>
            <w:r>
              <w:rPr>
                <w:rFonts w:ascii="宋体" w:hAnsi="宋体" w:eastAsia="宋体"/>
                <w:sz w:val="16"/>
              </w:rPr>
              <w:t>2024年教学研究计划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F9287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FCB38">
            <w:pPr>
              <w:jc w:val="center"/>
            </w:pPr>
            <w:r>
              <w:rPr>
                <w:rFonts w:ascii="宋体" w:hAnsi="宋体" w:eastAsia="宋体"/>
                <w:sz w:val="16"/>
              </w:rPr>
              <w:t>=7个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DA559">
            <w:pPr>
              <w:jc w:val="center"/>
            </w:pPr>
            <w:r>
              <w:rPr>
                <w:rFonts w:ascii="宋体" w:hAnsi="宋体" w:eastAsia="宋体"/>
                <w:sz w:val="16"/>
              </w:rPr>
              <w:t>15</w:t>
            </w:r>
          </w:p>
        </w:tc>
      </w:tr>
      <w:tr w14:paraId="2E70697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02DE72"/>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F7FC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536ED">
            <w:pPr>
              <w:jc w:val="center"/>
            </w:pPr>
            <w:r>
              <w:rPr>
                <w:rFonts w:ascii="宋体" w:hAnsi="宋体" w:eastAsia="宋体"/>
                <w:sz w:val="16"/>
              </w:rPr>
              <w:t>开展</w:t>
            </w:r>
            <w:r>
              <w:rPr>
                <w:rFonts w:hint="eastAsia" w:ascii="宋体" w:hAnsi="宋体"/>
                <w:sz w:val="16"/>
                <w:lang w:eastAsia="zh-CN"/>
              </w:rPr>
              <w:t>丰富多彩的</w:t>
            </w:r>
            <w:r>
              <w:rPr>
                <w:rFonts w:ascii="宋体" w:hAnsi="宋体" w:eastAsia="宋体"/>
                <w:sz w:val="16"/>
              </w:rPr>
              <w:t>各种主</w:t>
            </w:r>
            <w:r>
              <w:rPr>
                <w:rFonts w:hint="eastAsia" w:ascii="宋体" w:hAnsi="宋体"/>
                <w:sz w:val="16"/>
                <w:lang w:eastAsia="zh-CN"/>
              </w:rPr>
              <w:t>题教育</w:t>
            </w:r>
            <w:r>
              <w:rPr>
                <w:rFonts w:ascii="宋体" w:hAnsi="宋体" w:eastAsia="宋体"/>
                <w:sz w:val="16"/>
              </w:rPr>
              <w:t>，持续将中华传统文化进校园活动推向深入。利用“妇女节”、“劳动节”、“植树节”、“端午节”“六一”、“中秋节”、“国庆节”、“春节”、“亲子活动”等（次）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DD3425">
            <w:pPr>
              <w:jc w:val="center"/>
            </w:pPr>
            <w:r>
              <w:rPr>
                <w:rFonts w:ascii="宋体" w:hAnsi="宋体" w:eastAsia="宋体"/>
                <w:sz w:val="16"/>
              </w:rPr>
              <w:t>&gt;=13次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D467B5">
            <w:pPr>
              <w:jc w:val="center"/>
            </w:pPr>
            <w:r>
              <w:rPr>
                <w:rFonts w:ascii="宋体" w:hAnsi="宋体" w:eastAsia="宋体"/>
                <w:sz w:val="16"/>
              </w:rPr>
              <w:t>2024年保教质量提升计划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4957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8F5D9">
            <w:pPr>
              <w:jc w:val="center"/>
            </w:pPr>
            <w:r>
              <w:rPr>
                <w:rFonts w:ascii="宋体" w:hAnsi="宋体" w:eastAsia="宋体"/>
                <w:sz w:val="16"/>
              </w:rPr>
              <w:t>=13次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8A9EE">
            <w:pPr>
              <w:jc w:val="center"/>
            </w:pPr>
            <w:r>
              <w:rPr>
                <w:rFonts w:ascii="宋体" w:hAnsi="宋体" w:eastAsia="宋体"/>
                <w:sz w:val="16"/>
              </w:rPr>
              <w:t>30</w:t>
            </w:r>
          </w:p>
        </w:tc>
      </w:tr>
      <w:tr w14:paraId="3F09DD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37E5D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01D07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FB57B">
            <w:pPr>
              <w:jc w:val="center"/>
            </w:pPr>
            <w:r>
              <w:rPr>
                <w:rFonts w:ascii="宋体" w:hAnsi="宋体" w:eastAsia="宋体"/>
                <w:sz w:val="16"/>
              </w:rPr>
              <w:t>加强安全保障，保证教学工作的正常开展提高教师队伍建设，加强培训，安排组织全体教师参加培训率（%）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7E1F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228FE">
            <w:pPr>
              <w:jc w:val="center"/>
            </w:pPr>
            <w:r>
              <w:rPr>
                <w:rFonts w:ascii="宋体" w:hAnsi="宋体" w:eastAsia="宋体"/>
                <w:sz w:val="16"/>
              </w:rPr>
              <w:t>2024年教学研究计划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2875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04B0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EADA4">
            <w:pPr>
              <w:jc w:val="center"/>
            </w:pPr>
            <w:r>
              <w:rPr>
                <w:rFonts w:ascii="宋体" w:hAnsi="宋体" w:eastAsia="宋体"/>
                <w:sz w:val="16"/>
              </w:rPr>
              <w:t>30</w:t>
            </w:r>
          </w:p>
        </w:tc>
      </w:tr>
    </w:tbl>
    <w:p w14:paraId="59E7EC94">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5CEB5947">
        <w:tblPrEx>
          <w:tblCellMar>
            <w:top w:w="0" w:type="dxa"/>
            <w:left w:w="108" w:type="dxa"/>
            <w:bottom w:w="0" w:type="dxa"/>
            <w:right w:w="108" w:type="dxa"/>
          </w:tblCellMar>
        </w:tblPrEx>
        <w:tc>
          <w:tcPr>
            <w:tcW w:w="8848" w:type="dxa"/>
            <w:gridSpan w:val="14"/>
            <w:vAlign w:val="center"/>
          </w:tcPr>
          <w:p w14:paraId="5E229079">
            <w:pPr>
              <w:jc w:val="center"/>
            </w:pPr>
            <w:r>
              <w:rPr>
                <w:rFonts w:ascii="宋体" w:hAnsi="宋体" w:eastAsia="宋体"/>
                <w:sz w:val="24"/>
              </w:rPr>
              <w:t>项目支出绩效自评表</w:t>
            </w:r>
          </w:p>
        </w:tc>
      </w:tr>
      <w:tr w14:paraId="6D619198">
        <w:tblPrEx>
          <w:tblCellMar>
            <w:top w:w="0" w:type="dxa"/>
            <w:left w:w="108" w:type="dxa"/>
            <w:bottom w:w="0" w:type="dxa"/>
            <w:right w:w="108" w:type="dxa"/>
          </w:tblCellMar>
        </w:tblPrEx>
        <w:tc>
          <w:tcPr>
            <w:tcW w:w="8848" w:type="dxa"/>
            <w:gridSpan w:val="14"/>
            <w:vAlign w:val="center"/>
          </w:tcPr>
          <w:p w14:paraId="7A61517E">
            <w:pPr>
              <w:jc w:val="center"/>
            </w:pPr>
            <w:r>
              <w:rPr>
                <w:rFonts w:ascii="宋体" w:hAnsi="宋体" w:eastAsia="宋体"/>
                <w:sz w:val="24"/>
              </w:rPr>
              <w:t>(2024年度)</w:t>
            </w:r>
          </w:p>
        </w:tc>
      </w:tr>
      <w:tr w14:paraId="71CAAF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8A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C1FB60">
            <w:pPr>
              <w:jc w:val="center"/>
            </w:pPr>
            <w:r>
              <w:rPr>
                <w:rFonts w:ascii="宋体" w:hAnsi="宋体" w:eastAsia="宋体"/>
                <w:sz w:val="16"/>
              </w:rPr>
              <w:t>2024年中央财政支持学前教育发展资金</w:t>
            </w:r>
          </w:p>
        </w:tc>
      </w:tr>
      <w:tr w14:paraId="433D96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EE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C0CC6">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DF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C7E549">
            <w:pPr>
              <w:jc w:val="center"/>
            </w:pPr>
            <w:r>
              <w:rPr>
                <w:rFonts w:ascii="宋体" w:hAnsi="宋体" w:eastAsia="宋体"/>
                <w:sz w:val="16"/>
              </w:rPr>
              <w:t>克孜勒苏柯尔克孜自治州第二幼儿园</w:t>
            </w:r>
          </w:p>
        </w:tc>
      </w:tr>
      <w:tr w14:paraId="502CE9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3DC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DF0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966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5A5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E0A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237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CC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949C">
            <w:pPr>
              <w:jc w:val="center"/>
            </w:pPr>
            <w:r>
              <w:rPr>
                <w:rFonts w:ascii="宋体" w:hAnsi="宋体" w:eastAsia="宋体"/>
                <w:sz w:val="16"/>
              </w:rPr>
              <w:t>得分</w:t>
            </w:r>
          </w:p>
        </w:tc>
      </w:tr>
      <w:tr w14:paraId="17840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D07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369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6CC58">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DC4C">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F4851">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200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2A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99B5">
            <w:pPr>
              <w:jc w:val="center"/>
            </w:pPr>
            <w:r>
              <w:rPr>
                <w:rFonts w:ascii="宋体" w:hAnsi="宋体" w:eastAsia="宋体"/>
                <w:sz w:val="16"/>
              </w:rPr>
              <w:t>10.00分</w:t>
            </w:r>
          </w:p>
        </w:tc>
      </w:tr>
      <w:tr w14:paraId="40EC2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789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7E9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1AFD6">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BEBAD">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FCA5">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9C6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E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282C">
            <w:pPr>
              <w:jc w:val="center"/>
            </w:pPr>
            <w:r>
              <w:rPr>
                <w:rFonts w:ascii="宋体" w:hAnsi="宋体" w:eastAsia="宋体"/>
                <w:sz w:val="16"/>
              </w:rPr>
              <w:t>—</w:t>
            </w:r>
          </w:p>
        </w:tc>
      </w:tr>
      <w:tr w14:paraId="1DA44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BD8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67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EE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B70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B57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11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62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0FE1">
            <w:pPr>
              <w:jc w:val="center"/>
            </w:pPr>
            <w:r>
              <w:rPr>
                <w:rFonts w:ascii="宋体" w:hAnsi="宋体" w:eastAsia="宋体"/>
                <w:sz w:val="16"/>
              </w:rPr>
              <w:t>—</w:t>
            </w:r>
          </w:p>
        </w:tc>
      </w:tr>
      <w:tr w14:paraId="6F1490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43C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D2F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9BAAE">
            <w:pPr>
              <w:jc w:val="center"/>
            </w:pPr>
            <w:r>
              <w:rPr>
                <w:rFonts w:ascii="宋体" w:hAnsi="宋体" w:eastAsia="宋体"/>
                <w:sz w:val="16"/>
              </w:rPr>
              <w:t>实际完成情况</w:t>
            </w:r>
          </w:p>
        </w:tc>
      </w:tr>
      <w:tr w14:paraId="47B04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91A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82A43">
            <w:pPr>
              <w:jc w:val="both"/>
            </w:pPr>
            <w:r>
              <w:rPr>
                <w:rFonts w:ascii="宋体" w:hAnsi="宋体" w:eastAsia="宋体"/>
                <w:sz w:val="16"/>
              </w:rPr>
              <w:t>该项目资金总额为360万元，其中中央转移支付资金360万元，主要用于提高我园办园条件，使幼儿入园后学习、生活的安全得到有效保障，包括保教质量提升项目即12个班级更换地胶等（2000</w:t>
            </w:r>
            <w:r>
              <w:rPr>
                <w:rFonts w:hint="eastAsia" w:ascii="宋体" w:hAnsi="宋体"/>
                <w:sz w:val="16"/>
                <w:lang w:eastAsia="zh-CN"/>
              </w:rPr>
              <w:t>平方米</w:t>
            </w:r>
            <w:r>
              <w:rPr>
                <w:rFonts w:ascii="宋体" w:hAnsi="宋体" w:eastAsia="宋体"/>
                <w:sz w:val="16"/>
              </w:rPr>
              <w:t>）（90万）；教学楼外墙保温层（3200</w:t>
            </w:r>
            <w:r>
              <w:rPr>
                <w:rFonts w:hint="eastAsia" w:ascii="宋体" w:hAnsi="宋体"/>
                <w:sz w:val="16"/>
                <w:lang w:eastAsia="zh-CN"/>
              </w:rPr>
              <w:t>平方</w:t>
            </w:r>
            <w:r>
              <w:rPr>
                <w:rFonts w:ascii="宋体" w:hAnsi="宋体" w:eastAsia="宋体"/>
                <w:sz w:val="16"/>
              </w:rPr>
              <w:t>米）更换及大厅楼梯（110万）；教学楼窗户改造项目（250</w:t>
            </w:r>
            <w:r>
              <w:rPr>
                <w:rFonts w:hint="eastAsia" w:ascii="宋体" w:hAnsi="宋体"/>
                <w:sz w:val="16"/>
                <w:lang w:eastAsia="zh-CN"/>
              </w:rPr>
              <w:t>扇窗</w:t>
            </w:r>
            <w:r>
              <w:rPr>
                <w:rFonts w:ascii="宋体" w:hAnsi="宋体" w:eastAsia="宋体"/>
                <w:sz w:val="16"/>
              </w:rPr>
              <w:t>户，1000平方米）（78万）；幼儿园零星维修及监控、消防设施设备维护保养（42万）；校园文化建设（40万）。通过该项目的实施，有效保障幼儿生活、学习的安全，提高了幼儿园环境质量。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811092">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班级地胶改造平方米数</w:t>
            </w:r>
            <w:r>
              <w:rPr>
                <w:rFonts w:ascii="宋体" w:hAnsi="宋体" w:eastAsia="宋体"/>
                <w:sz w:val="16"/>
              </w:rPr>
              <w:t>2000㎡，教学楼外墙保温层</w:t>
            </w:r>
            <w:r>
              <w:rPr>
                <w:rFonts w:hint="eastAsia" w:ascii="宋体" w:hAnsi="宋体"/>
                <w:sz w:val="16"/>
                <w:lang w:eastAsia="zh-CN"/>
              </w:rPr>
              <w:t>平方米</w:t>
            </w:r>
            <w:r>
              <w:rPr>
                <w:rFonts w:ascii="宋体" w:hAnsi="宋体" w:eastAsia="宋体"/>
                <w:sz w:val="16"/>
              </w:rPr>
              <w:t>数教学楼外墙保温层</w:t>
            </w:r>
            <w:r>
              <w:rPr>
                <w:rFonts w:hint="eastAsia" w:ascii="宋体" w:hAnsi="宋体"/>
                <w:sz w:val="16"/>
                <w:lang w:eastAsia="zh-CN"/>
              </w:rPr>
              <w:t>平方米</w:t>
            </w:r>
            <w:r>
              <w:rPr>
                <w:rFonts w:ascii="宋体" w:hAnsi="宋体" w:eastAsia="宋体"/>
                <w:sz w:val="16"/>
              </w:rPr>
              <w:t>数3200㎡，教学楼窗户改造数量250个；通过该项目实施，使幼儿入园后学习、生活的安全得到有效保障，提高了幼儿园环境质量。</w:t>
            </w:r>
          </w:p>
        </w:tc>
      </w:tr>
      <w:tr w14:paraId="64F16E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C90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67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E4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EA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E4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B1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0E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60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C1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B5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EC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6C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B292">
            <w:pPr>
              <w:jc w:val="center"/>
            </w:pPr>
            <w:r>
              <w:rPr>
                <w:rFonts w:ascii="宋体" w:hAnsi="宋体" w:eastAsia="宋体"/>
                <w:sz w:val="16"/>
              </w:rPr>
              <w:t>偏差原因分析及改进措施</w:t>
            </w:r>
          </w:p>
        </w:tc>
      </w:tr>
      <w:tr w14:paraId="1A5A2A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512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DEB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627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E701">
            <w:pPr>
              <w:jc w:val="center"/>
            </w:pPr>
            <w:r>
              <w:rPr>
                <w:rFonts w:ascii="宋体" w:hAnsi="宋体" w:eastAsia="宋体"/>
                <w:sz w:val="16"/>
              </w:rPr>
              <w:t>班级地胶改造</w:t>
            </w:r>
            <w:r>
              <w:rPr>
                <w:rFonts w:hint="eastAsia" w:ascii="宋体" w:hAnsi="宋体"/>
                <w:sz w:val="16"/>
                <w:lang w:eastAsia="zh-CN"/>
              </w:rPr>
              <w:t>平方</w:t>
            </w:r>
            <w:r>
              <w:rPr>
                <w:rFonts w:ascii="宋体" w:hAnsi="宋体" w:eastAsia="宋体"/>
                <w:sz w:val="16"/>
              </w:rPr>
              <w:t>米数（㎡）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66D0">
            <w:pPr>
              <w:jc w:val="center"/>
            </w:pPr>
            <w:r>
              <w:rPr>
                <w:rFonts w:ascii="宋体" w:hAnsi="宋体" w:eastAsia="宋体"/>
                <w:sz w:val="16"/>
              </w:rPr>
              <w:t>=2000平方米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D3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79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87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A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E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886F">
            <w:pPr>
              <w:jc w:val="center"/>
            </w:pPr>
            <w:r>
              <w:rPr>
                <w:rFonts w:ascii="宋体" w:hAnsi="宋体" w:eastAsia="宋体"/>
                <w:sz w:val="16"/>
              </w:rPr>
              <w:t>=2000平方米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A31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E8CA5">
            <w:pPr>
              <w:jc w:val="center"/>
            </w:pPr>
          </w:p>
        </w:tc>
      </w:tr>
      <w:tr w14:paraId="1E59F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15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D1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78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E617">
            <w:pPr>
              <w:jc w:val="center"/>
            </w:pPr>
            <w:r>
              <w:rPr>
                <w:rFonts w:ascii="宋体" w:hAnsi="宋体" w:eastAsia="宋体"/>
                <w:sz w:val="16"/>
              </w:rPr>
              <w:t>教学楼外墙保温层</w:t>
            </w:r>
            <w:r>
              <w:rPr>
                <w:rFonts w:hint="eastAsia" w:ascii="宋体" w:hAnsi="宋体"/>
                <w:sz w:val="16"/>
                <w:lang w:eastAsia="zh-CN"/>
              </w:rPr>
              <w:t>平方米</w:t>
            </w:r>
            <w:r>
              <w:rPr>
                <w:rFonts w:ascii="宋体" w:hAnsi="宋体" w:eastAsia="宋体"/>
                <w:sz w:val="16"/>
              </w:rPr>
              <w:t>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C78E">
            <w:pPr>
              <w:jc w:val="center"/>
            </w:pPr>
            <w:r>
              <w:rPr>
                <w:rFonts w:ascii="宋体" w:hAnsi="宋体" w:eastAsia="宋体"/>
                <w:sz w:val="16"/>
              </w:rPr>
              <w:t>=3200平方米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6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38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4CB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6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D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49C3">
            <w:pPr>
              <w:jc w:val="center"/>
            </w:pPr>
            <w:r>
              <w:rPr>
                <w:rFonts w:ascii="宋体" w:hAnsi="宋体" w:eastAsia="宋体"/>
                <w:sz w:val="16"/>
              </w:rPr>
              <w:t>=3200平方米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B21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7237">
            <w:pPr>
              <w:jc w:val="center"/>
            </w:pPr>
          </w:p>
        </w:tc>
      </w:tr>
      <w:tr w14:paraId="7ECFB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46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67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1B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02B0">
            <w:pPr>
              <w:jc w:val="center"/>
            </w:pPr>
            <w:r>
              <w:rPr>
                <w:rFonts w:ascii="宋体" w:hAnsi="宋体" w:eastAsia="宋体"/>
                <w:sz w:val="16"/>
              </w:rPr>
              <w:t>教学楼窗户改造数量（个）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D159">
            <w:pPr>
              <w:jc w:val="center"/>
            </w:pPr>
            <w:r>
              <w:rPr>
                <w:rFonts w:ascii="宋体" w:hAnsi="宋体" w:eastAsia="宋体"/>
                <w:sz w:val="16"/>
              </w:rPr>
              <w:t>=250个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5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DF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C8B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B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03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33EF">
            <w:pPr>
              <w:jc w:val="center"/>
            </w:pPr>
            <w:r>
              <w:rPr>
                <w:rFonts w:ascii="宋体" w:hAnsi="宋体" w:eastAsia="宋体"/>
                <w:sz w:val="16"/>
              </w:rPr>
              <w:t>=250个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4B0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8AF99">
            <w:pPr>
              <w:jc w:val="center"/>
            </w:pPr>
          </w:p>
        </w:tc>
      </w:tr>
      <w:tr w14:paraId="0CB05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B9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988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BEF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55B4">
            <w:pPr>
              <w:jc w:val="center"/>
            </w:pPr>
            <w:r>
              <w:rPr>
                <w:rFonts w:ascii="宋体" w:hAnsi="宋体" w:eastAsia="宋体"/>
                <w:sz w:val="16"/>
              </w:rPr>
              <w:t>工程量按期完成率（%）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0E6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C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7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27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C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5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6D2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80E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9B60F">
            <w:pPr>
              <w:jc w:val="center"/>
            </w:pPr>
          </w:p>
        </w:tc>
      </w:tr>
      <w:tr w14:paraId="04395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05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5E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D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9999">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5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8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C9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12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F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5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9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BB8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A3CE">
            <w:pPr>
              <w:jc w:val="center"/>
            </w:pPr>
          </w:p>
        </w:tc>
      </w:tr>
      <w:tr w14:paraId="12BD8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C3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D9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43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36AD">
            <w:pPr>
              <w:jc w:val="center"/>
            </w:pPr>
            <w:r>
              <w:rPr>
                <w:rFonts w:ascii="宋体" w:hAnsi="宋体" w:eastAsia="宋体"/>
                <w:sz w:val="16"/>
              </w:rPr>
              <w:t>工程付款及时率（%）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A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2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80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90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6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9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4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9E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16B33">
            <w:pPr>
              <w:jc w:val="center"/>
            </w:pPr>
          </w:p>
        </w:tc>
      </w:tr>
      <w:tr w14:paraId="06E7F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FDC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3AC4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1BB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E07F">
            <w:pPr>
              <w:jc w:val="center"/>
            </w:pPr>
            <w:r>
              <w:rPr>
                <w:rFonts w:ascii="宋体" w:hAnsi="宋体" w:eastAsia="宋体"/>
                <w:sz w:val="16"/>
              </w:rPr>
              <w:t>班级更换地胶、教学楼外墙保温层及大厅楼梯、教学楼250个窗户改造（万元）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2948">
            <w:pPr>
              <w:jc w:val="center"/>
            </w:pPr>
            <w:r>
              <w:rPr>
                <w:rFonts w:ascii="宋体" w:hAnsi="宋体" w:eastAsia="宋体"/>
                <w:sz w:val="16"/>
              </w:rPr>
              <w:t>&lt;=190.96万元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C0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19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12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8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42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4382">
            <w:pPr>
              <w:jc w:val="center"/>
            </w:pPr>
            <w:r>
              <w:rPr>
                <w:rFonts w:ascii="宋体" w:hAnsi="宋体" w:eastAsia="宋体"/>
                <w:sz w:val="16"/>
              </w:rPr>
              <w:t>=190.96万元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C3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1640">
            <w:pPr>
              <w:jc w:val="center"/>
            </w:pPr>
          </w:p>
        </w:tc>
      </w:tr>
      <w:tr w14:paraId="795FB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3E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882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1C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F420">
            <w:pPr>
              <w:jc w:val="center"/>
            </w:pPr>
            <w:r>
              <w:rPr>
                <w:rFonts w:ascii="宋体" w:hAnsi="宋体" w:eastAsia="宋体"/>
                <w:sz w:val="16"/>
              </w:rPr>
              <w:t>功能室改造（万元）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27AD">
            <w:pPr>
              <w:jc w:val="center"/>
            </w:pPr>
            <w:r>
              <w:rPr>
                <w:rFonts w:ascii="宋体" w:hAnsi="宋体" w:eastAsia="宋体"/>
                <w:sz w:val="16"/>
              </w:rPr>
              <w:t>&lt;=47.85万元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01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7F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17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3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5B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A4BE">
            <w:pPr>
              <w:jc w:val="center"/>
            </w:pPr>
            <w:r>
              <w:rPr>
                <w:rFonts w:ascii="宋体" w:hAnsi="宋体" w:eastAsia="宋体"/>
                <w:sz w:val="16"/>
              </w:rPr>
              <w:t>=47.85万元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8AC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2983">
            <w:pPr>
              <w:jc w:val="center"/>
            </w:pPr>
          </w:p>
        </w:tc>
      </w:tr>
      <w:tr w14:paraId="323D9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58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08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A1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5053">
            <w:pPr>
              <w:jc w:val="center"/>
            </w:pPr>
            <w:r>
              <w:rPr>
                <w:rFonts w:ascii="宋体" w:hAnsi="宋体" w:eastAsia="宋体"/>
                <w:sz w:val="16"/>
              </w:rPr>
              <w:t>食堂改造（万元）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0534">
            <w:pPr>
              <w:jc w:val="center"/>
            </w:pPr>
            <w:r>
              <w:rPr>
                <w:rFonts w:ascii="宋体" w:hAnsi="宋体" w:eastAsia="宋体"/>
                <w:sz w:val="16"/>
              </w:rPr>
              <w:t>&lt;=18.39万元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30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B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FE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5D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9C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9ED2">
            <w:pPr>
              <w:jc w:val="center"/>
            </w:pPr>
            <w:r>
              <w:rPr>
                <w:rFonts w:ascii="宋体" w:hAnsi="宋体" w:eastAsia="宋体"/>
                <w:sz w:val="16"/>
              </w:rPr>
              <w:t>=18.39万元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CCD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B962">
            <w:pPr>
              <w:jc w:val="center"/>
            </w:pPr>
          </w:p>
        </w:tc>
      </w:tr>
      <w:tr w14:paraId="5413F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ED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34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AB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257B">
            <w:pPr>
              <w:jc w:val="center"/>
            </w:pPr>
            <w:r>
              <w:rPr>
                <w:rFonts w:ascii="宋体" w:hAnsi="宋体" w:eastAsia="宋体"/>
                <w:sz w:val="16"/>
              </w:rPr>
              <w:t>幼儿园零星维修及监控、消防设施设备维护保养（万元）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1E42">
            <w:pPr>
              <w:jc w:val="center"/>
            </w:pPr>
            <w:r>
              <w:rPr>
                <w:rFonts w:ascii="宋体" w:hAnsi="宋体" w:eastAsia="宋体"/>
                <w:sz w:val="16"/>
              </w:rPr>
              <w:t>&lt;=35.89万元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47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0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55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E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31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1E1E">
            <w:pPr>
              <w:jc w:val="center"/>
            </w:pPr>
            <w:r>
              <w:rPr>
                <w:rFonts w:ascii="宋体" w:hAnsi="宋体" w:eastAsia="宋体"/>
                <w:sz w:val="16"/>
              </w:rPr>
              <w:t>=35.89万元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05D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2D18">
            <w:pPr>
              <w:jc w:val="center"/>
            </w:pPr>
          </w:p>
        </w:tc>
      </w:tr>
      <w:tr w14:paraId="3B2CE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98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4E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2A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7CA2">
            <w:pPr>
              <w:jc w:val="center"/>
            </w:pPr>
            <w:r>
              <w:rPr>
                <w:rFonts w:ascii="宋体" w:hAnsi="宋体" w:eastAsia="宋体"/>
                <w:sz w:val="16"/>
              </w:rPr>
              <w:t>校园文化建设（万元）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5446">
            <w:pPr>
              <w:jc w:val="center"/>
            </w:pPr>
            <w:r>
              <w:rPr>
                <w:rFonts w:ascii="宋体" w:hAnsi="宋体" w:eastAsia="宋体"/>
                <w:sz w:val="16"/>
              </w:rPr>
              <w:t>&lt;=39.61万元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14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4D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6E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A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53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4373">
            <w:pPr>
              <w:jc w:val="center"/>
            </w:pPr>
            <w:r>
              <w:rPr>
                <w:rFonts w:ascii="宋体" w:hAnsi="宋体" w:eastAsia="宋体"/>
                <w:sz w:val="16"/>
              </w:rPr>
              <w:t>=39.61万元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68B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C391">
            <w:pPr>
              <w:jc w:val="center"/>
            </w:pPr>
          </w:p>
        </w:tc>
      </w:tr>
      <w:tr w14:paraId="2B9B2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8C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BD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80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17E0">
            <w:pPr>
              <w:jc w:val="center"/>
            </w:pPr>
            <w:r>
              <w:rPr>
                <w:rFonts w:ascii="宋体" w:hAnsi="宋体" w:eastAsia="宋体"/>
                <w:sz w:val="16"/>
              </w:rPr>
              <w:t>大平台悬浮地板采购（万元）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FA90">
            <w:pPr>
              <w:jc w:val="center"/>
            </w:pPr>
            <w:r>
              <w:rPr>
                <w:rFonts w:ascii="宋体" w:hAnsi="宋体" w:eastAsia="宋体"/>
                <w:sz w:val="16"/>
              </w:rPr>
              <w:t>&lt;=27.3万元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82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A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03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9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D1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7D1E">
            <w:pPr>
              <w:jc w:val="center"/>
            </w:pPr>
            <w:r>
              <w:rPr>
                <w:rFonts w:ascii="宋体" w:hAnsi="宋体" w:eastAsia="宋体"/>
                <w:sz w:val="16"/>
              </w:rPr>
              <w:t>=27.3万元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BF3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460F8">
            <w:pPr>
              <w:jc w:val="center"/>
            </w:pPr>
          </w:p>
        </w:tc>
      </w:tr>
      <w:tr w14:paraId="504DC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BFF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D32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AD8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18FF">
            <w:pPr>
              <w:jc w:val="center"/>
            </w:pPr>
            <w:r>
              <w:rPr>
                <w:rFonts w:ascii="宋体" w:hAnsi="宋体" w:eastAsia="宋体"/>
                <w:sz w:val="16"/>
              </w:rPr>
              <w:t>设计功能实现率（%）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E7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D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A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F1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00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C2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A0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6C2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23F5C">
            <w:pPr>
              <w:jc w:val="center"/>
            </w:pPr>
          </w:p>
        </w:tc>
      </w:tr>
      <w:tr w14:paraId="22D4C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6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6A5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ECC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F890">
            <w:pPr>
              <w:jc w:val="center"/>
            </w:pPr>
            <w:r>
              <w:rPr>
                <w:rFonts w:ascii="宋体" w:hAnsi="宋体" w:eastAsia="宋体"/>
                <w:sz w:val="16"/>
              </w:rPr>
              <w:t>有效排除隐患，保障幼儿环境安全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610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4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1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A2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66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4A7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54E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0F6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01DFF">
            <w:pPr>
              <w:jc w:val="center"/>
            </w:pPr>
          </w:p>
        </w:tc>
      </w:tr>
      <w:tr w14:paraId="358A6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F4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60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7D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A18E">
            <w:pPr>
              <w:jc w:val="center"/>
            </w:pPr>
            <w:r>
              <w:rPr>
                <w:rFonts w:ascii="宋体" w:hAnsi="宋体" w:eastAsia="宋体"/>
                <w:sz w:val="16"/>
              </w:rPr>
              <w:t>积极引导地方扩大普惠性学前教育资源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FE1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0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42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BD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4B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12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E75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DE2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3CF94">
            <w:pPr>
              <w:jc w:val="center"/>
            </w:pPr>
          </w:p>
        </w:tc>
      </w:tr>
      <w:tr w14:paraId="4A381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1A0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76CC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766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C344">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0D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932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0B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6A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D0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D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A7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72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5B0A7">
            <w:pPr>
              <w:jc w:val="center"/>
            </w:pPr>
          </w:p>
        </w:tc>
      </w:tr>
      <w:tr w14:paraId="2C0DC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AA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BB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A1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9F8F">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87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0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2D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36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0F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9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25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F8C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41FB1">
            <w:pPr>
              <w:jc w:val="center"/>
            </w:pPr>
          </w:p>
        </w:tc>
      </w:tr>
      <w:tr w14:paraId="727A50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865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EF7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C7B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5133F7">
            <w:pPr>
              <w:jc w:val="center"/>
            </w:pPr>
            <w:r>
              <w:rPr>
                <w:rFonts w:ascii="宋体" w:hAnsi="宋体" w:eastAsia="宋体"/>
                <w:sz w:val="16"/>
              </w:rPr>
              <w:t>100分</w:t>
            </w:r>
          </w:p>
        </w:tc>
      </w:tr>
    </w:tbl>
    <w:p w14:paraId="50E917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619FF491">
        <w:tblPrEx>
          <w:tblCellMar>
            <w:top w:w="0" w:type="dxa"/>
            <w:left w:w="108" w:type="dxa"/>
            <w:bottom w:w="0" w:type="dxa"/>
            <w:right w:w="108" w:type="dxa"/>
          </w:tblCellMar>
        </w:tblPrEx>
        <w:tc>
          <w:tcPr>
            <w:tcW w:w="8848" w:type="dxa"/>
            <w:gridSpan w:val="14"/>
            <w:vAlign w:val="center"/>
          </w:tcPr>
          <w:p w14:paraId="189C1E41">
            <w:pPr>
              <w:jc w:val="center"/>
            </w:pPr>
            <w:r>
              <w:rPr>
                <w:rFonts w:ascii="宋体" w:hAnsi="宋体" w:eastAsia="宋体"/>
                <w:sz w:val="24"/>
              </w:rPr>
              <w:t>项目支出绩效自评表</w:t>
            </w:r>
          </w:p>
        </w:tc>
      </w:tr>
      <w:tr w14:paraId="11E73632">
        <w:tblPrEx>
          <w:tblCellMar>
            <w:top w:w="0" w:type="dxa"/>
            <w:left w:w="108" w:type="dxa"/>
            <w:bottom w:w="0" w:type="dxa"/>
            <w:right w:w="108" w:type="dxa"/>
          </w:tblCellMar>
        </w:tblPrEx>
        <w:tc>
          <w:tcPr>
            <w:tcW w:w="8848" w:type="dxa"/>
            <w:gridSpan w:val="14"/>
            <w:vAlign w:val="center"/>
          </w:tcPr>
          <w:p w14:paraId="2DC2D315">
            <w:pPr>
              <w:jc w:val="center"/>
            </w:pPr>
            <w:r>
              <w:rPr>
                <w:rFonts w:ascii="宋体" w:hAnsi="宋体" w:eastAsia="宋体"/>
                <w:sz w:val="24"/>
              </w:rPr>
              <w:t>(2024年度)</w:t>
            </w:r>
          </w:p>
        </w:tc>
      </w:tr>
      <w:tr w14:paraId="3A58D2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FD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3ECCFB">
            <w:pPr>
              <w:jc w:val="center"/>
            </w:pPr>
            <w:r>
              <w:rPr>
                <w:rFonts w:ascii="宋体" w:hAnsi="宋体" w:eastAsia="宋体"/>
                <w:sz w:val="16"/>
              </w:rPr>
              <w:t>2024年其他资金收入</w:t>
            </w:r>
          </w:p>
        </w:tc>
      </w:tr>
      <w:tr w14:paraId="08D3F4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3E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A67757">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7E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907945">
            <w:pPr>
              <w:jc w:val="center"/>
            </w:pPr>
            <w:r>
              <w:rPr>
                <w:rFonts w:ascii="宋体" w:hAnsi="宋体" w:eastAsia="宋体"/>
                <w:sz w:val="16"/>
              </w:rPr>
              <w:t>克孜勒苏柯尔克孜自治州第二幼儿园</w:t>
            </w:r>
          </w:p>
        </w:tc>
      </w:tr>
      <w:tr w14:paraId="397EF9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5E7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665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1FD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D7F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E32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CB4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A21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1CCE">
            <w:pPr>
              <w:jc w:val="center"/>
            </w:pPr>
            <w:r>
              <w:rPr>
                <w:rFonts w:ascii="宋体" w:hAnsi="宋体" w:eastAsia="宋体"/>
                <w:sz w:val="16"/>
              </w:rPr>
              <w:t>得分</w:t>
            </w:r>
          </w:p>
        </w:tc>
      </w:tr>
      <w:tr w14:paraId="6C14A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04C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FF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1A7C">
            <w:pPr>
              <w:jc w:val="center"/>
            </w:pPr>
            <w:r>
              <w:rPr>
                <w:rFonts w:ascii="宋体" w:hAnsi="宋体" w:eastAsia="宋体"/>
                <w:sz w:val="16"/>
              </w:rPr>
              <w:t>55.95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AE8F3">
            <w:pPr>
              <w:jc w:val="center"/>
            </w:pPr>
            <w:r>
              <w:rPr>
                <w:rFonts w:ascii="宋体" w:hAnsi="宋体" w:eastAsia="宋体"/>
                <w:sz w:val="16"/>
              </w:rPr>
              <w:t>55.95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E46E">
            <w:pPr>
              <w:jc w:val="center"/>
            </w:pPr>
            <w:r>
              <w:rPr>
                <w:rFonts w:ascii="宋体" w:hAnsi="宋体" w:eastAsia="宋体"/>
                <w:sz w:val="16"/>
              </w:rPr>
              <w:t>55.05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C4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2EC2">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A82F">
            <w:pPr>
              <w:jc w:val="center"/>
            </w:pPr>
            <w:r>
              <w:rPr>
                <w:rFonts w:ascii="宋体" w:hAnsi="宋体" w:eastAsia="宋体"/>
                <w:sz w:val="16"/>
              </w:rPr>
              <w:t>9.60分</w:t>
            </w:r>
          </w:p>
        </w:tc>
      </w:tr>
      <w:tr w14:paraId="40BBE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CB6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DD8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1B7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E07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E81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489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43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55E8">
            <w:pPr>
              <w:jc w:val="center"/>
            </w:pPr>
            <w:r>
              <w:rPr>
                <w:rFonts w:ascii="宋体" w:hAnsi="宋体" w:eastAsia="宋体"/>
                <w:sz w:val="16"/>
              </w:rPr>
              <w:t>—</w:t>
            </w:r>
          </w:p>
        </w:tc>
      </w:tr>
      <w:tr w14:paraId="67ADB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E0F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BAF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BB76F">
            <w:pPr>
              <w:jc w:val="center"/>
            </w:pPr>
            <w:r>
              <w:rPr>
                <w:rFonts w:ascii="宋体" w:hAnsi="宋体" w:eastAsia="宋体"/>
                <w:sz w:val="16"/>
              </w:rPr>
              <w:t>55.95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7EBC">
            <w:pPr>
              <w:jc w:val="center"/>
            </w:pPr>
            <w:r>
              <w:rPr>
                <w:rFonts w:ascii="宋体" w:hAnsi="宋体" w:eastAsia="宋体"/>
                <w:sz w:val="16"/>
              </w:rPr>
              <w:t>55.95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A2869">
            <w:pPr>
              <w:jc w:val="center"/>
            </w:pPr>
            <w:r>
              <w:rPr>
                <w:rFonts w:ascii="宋体" w:hAnsi="宋体" w:eastAsia="宋体"/>
                <w:sz w:val="16"/>
              </w:rPr>
              <w:t>55.05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E89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2C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A009">
            <w:pPr>
              <w:jc w:val="center"/>
            </w:pPr>
            <w:r>
              <w:rPr>
                <w:rFonts w:ascii="宋体" w:hAnsi="宋体" w:eastAsia="宋体"/>
                <w:sz w:val="16"/>
              </w:rPr>
              <w:t>—</w:t>
            </w:r>
          </w:p>
        </w:tc>
      </w:tr>
      <w:tr w14:paraId="7BE60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58F5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8AD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539044">
            <w:pPr>
              <w:jc w:val="center"/>
            </w:pPr>
            <w:r>
              <w:rPr>
                <w:rFonts w:ascii="宋体" w:hAnsi="宋体" w:eastAsia="宋体"/>
                <w:sz w:val="16"/>
              </w:rPr>
              <w:t>实际完成情况</w:t>
            </w:r>
          </w:p>
        </w:tc>
      </w:tr>
      <w:tr w14:paraId="74EAD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BDC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30784">
            <w:pPr>
              <w:jc w:val="both"/>
            </w:pPr>
            <w:r>
              <w:rPr>
                <w:rFonts w:ascii="宋体" w:hAnsi="宋体" w:eastAsia="宋体"/>
                <w:sz w:val="16"/>
              </w:rPr>
              <w:t>项目资金55.95万元，其中：财政资金0万元，其他资金55.95万元。该项目资金用于全园419名幼儿2024年幼儿伙食费用及退费支出，用于我园党团组织活动支付。通过该项目的实施提升我园幼儿伙食质量水平及补助人数，有效保障我园幼儿教育的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8E498">
            <w:pPr>
              <w:jc w:val="both"/>
            </w:pPr>
            <w:r>
              <w:rPr>
                <w:rFonts w:ascii="宋体" w:hAnsi="宋体" w:eastAsia="宋体"/>
                <w:sz w:val="16"/>
              </w:rPr>
              <w:t>截至2024年12月31日，通过该项目的实施，已完成419名幼儿伙食费退费支出，开展有意义的党团活动，促进党建带团建高质量进行，保障幼儿园教育的高质量发展。</w:t>
            </w:r>
          </w:p>
        </w:tc>
      </w:tr>
      <w:tr w14:paraId="2C2587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934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4F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C4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FD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5A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F7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79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35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40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47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77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E9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AC390">
            <w:pPr>
              <w:jc w:val="center"/>
            </w:pPr>
            <w:r>
              <w:rPr>
                <w:rFonts w:ascii="宋体" w:hAnsi="宋体" w:eastAsia="宋体"/>
                <w:sz w:val="16"/>
              </w:rPr>
              <w:t>偏差原因分析及改进措施</w:t>
            </w:r>
          </w:p>
        </w:tc>
      </w:tr>
      <w:tr w14:paraId="7B3D47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C9A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FB5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0D1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28E1">
            <w:pPr>
              <w:jc w:val="center"/>
            </w:pPr>
            <w:r>
              <w:rPr>
                <w:rFonts w:ascii="宋体" w:hAnsi="宋体" w:eastAsia="宋体"/>
                <w:sz w:val="16"/>
              </w:rPr>
              <w:t>收益幼儿人数（人）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3F7D">
            <w:pPr>
              <w:jc w:val="center"/>
            </w:pPr>
            <w:r>
              <w:rPr>
                <w:rFonts w:ascii="宋体" w:hAnsi="宋体" w:eastAsia="宋体"/>
                <w:sz w:val="16"/>
              </w:rPr>
              <w:t>&gt;=419人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2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8D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98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3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C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61AC">
            <w:pPr>
              <w:jc w:val="center"/>
            </w:pPr>
            <w:r>
              <w:rPr>
                <w:rFonts w:ascii="宋体" w:hAnsi="宋体" w:eastAsia="宋体"/>
                <w:sz w:val="16"/>
              </w:rPr>
              <w:t>=419人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0A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75D0C">
            <w:pPr>
              <w:jc w:val="center"/>
            </w:pPr>
          </w:p>
        </w:tc>
      </w:tr>
      <w:tr w14:paraId="5C1C1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9F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94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FA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EC81">
            <w:pPr>
              <w:jc w:val="center"/>
            </w:pPr>
            <w:r>
              <w:rPr>
                <w:rFonts w:ascii="宋体" w:hAnsi="宋体" w:eastAsia="宋体"/>
                <w:sz w:val="16"/>
              </w:rPr>
              <w:t>党团活动人数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A3A5">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B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A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2B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6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E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DAC8">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3B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5071A">
            <w:pPr>
              <w:jc w:val="center"/>
            </w:pPr>
          </w:p>
        </w:tc>
      </w:tr>
      <w:tr w14:paraId="3CE48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81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ACA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D77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6B2E">
            <w:pPr>
              <w:jc w:val="center"/>
            </w:pPr>
            <w:r>
              <w:rPr>
                <w:rFonts w:ascii="宋体" w:hAnsi="宋体" w:eastAsia="宋体"/>
                <w:sz w:val="16"/>
              </w:rPr>
              <w:t>食谱执行率（%）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C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D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B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6F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B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2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2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1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1669">
            <w:pPr>
              <w:jc w:val="center"/>
            </w:pPr>
          </w:p>
        </w:tc>
      </w:tr>
      <w:tr w14:paraId="257B7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A4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76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8A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2F09">
            <w:pPr>
              <w:jc w:val="center"/>
            </w:pPr>
            <w:r>
              <w:rPr>
                <w:rFonts w:ascii="宋体" w:hAnsi="宋体" w:eastAsia="宋体"/>
                <w:sz w:val="16"/>
              </w:rPr>
              <w:t>党团活动开展达标率（%）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F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2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D2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69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E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3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C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E2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94CAA">
            <w:pPr>
              <w:jc w:val="center"/>
            </w:pPr>
          </w:p>
        </w:tc>
      </w:tr>
      <w:tr w14:paraId="473D4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36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B08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118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2686">
            <w:pPr>
              <w:jc w:val="center"/>
            </w:pPr>
            <w:r>
              <w:rPr>
                <w:rFonts w:ascii="宋体" w:hAnsi="宋体" w:eastAsia="宋体"/>
                <w:sz w:val="16"/>
              </w:rPr>
              <w:t>食材配送及时率（%）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0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B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EF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43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E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ED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6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9C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72265">
            <w:pPr>
              <w:jc w:val="center"/>
            </w:pPr>
          </w:p>
        </w:tc>
      </w:tr>
      <w:tr w14:paraId="4B512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59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CF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59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7D8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C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7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BE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6F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A9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B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3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99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256B">
            <w:pPr>
              <w:jc w:val="center"/>
            </w:pPr>
          </w:p>
        </w:tc>
      </w:tr>
      <w:tr w14:paraId="2C89C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398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9F0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39A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8998">
            <w:pPr>
              <w:jc w:val="center"/>
            </w:pPr>
            <w:r>
              <w:rPr>
                <w:rFonts w:ascii="宋体" w:hAnsi="宋体" w:eastAsia="宋体"/>
                <w:sz w:val="16"/>
              </w:rPr>
              <w:t>幼儿伙食支出数（万元）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CF48">
            <w:pPr>
              <w:jc w:val="center"/>
            </w:pPr>
            <w:r>
              <w:rPr>
                <w:rFonts w:ascii="宋体" w:hAnsi="宋体" w:eastAsia="宋体"/>
                <w:sz w:val="16"/>
              </w:rPr>
              <w:t>&lt;=55.64万元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F8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9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FB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1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91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8128">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3FAB">
            <w:pPr>
              <w:jc w:val="center"/>
            </w:pPr>
            <w:r>
              <w:rPr>
                <w:rFonts w:ascii="宋体" w:hAnsi="宋体" w:eastAsia="宋体"/>
                <w:sz w:val="16"/>
              </w:rPr>
              <w:t>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9374">
            <w:pPr>
              <w:jc w:val="center"/>
            </w:pPr>
            <w:r>
              <w:rPr>
                <w:rFonts w:ascii="宋体" w:hAnsi="宋体" w:eastAsia="宋体"/>
                <w:sz w:val="16"/>
              </w:rPr>
              <w:t>偏差原因：幼儿在</w:t>
            </w:r>
            <w:r>
              <w:rPr>
                <w:rFonts w:hint="eastAsia" w:ascii="宋体" w:hAnsi="宋体"/>
                <w:sz w:val="16"/>
                <w:lang w:eastAsia="zh-CN"/>
              </w:rPr>
              <w:t>园</w:t>
            </w:r>
            <w:r>
              <w:rPr>
                <w:rFonts w:ascii="宋体" w:hAnsi="宋体" w:eastAsia="宋体"/>
                <w:sz w:val="16"/>
              </w:rPr>
              <w:t>人数变化；改进措施：做好预算使用计划。</w:t>
            </w:r>
          </w:p>
        </w:tc>
      </w:tr>
      <w:tr w14:paraId="0D737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98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D9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03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620C">
            <w:pPr>
              <w:jc w:val="center"/>
            </w:pPr>
            <w:r>
              <w:rPr>
                <w:rFonts w:ascii="宋体" w:hAnsi="宋体" w:eastAsia="宋体"/>
                <w:sz w:val="16"/>
              </w:rPr>
              <w:t>党团活动费（万元）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19AB">
            <w:pPr>
              <w:jc w:val="center"/>
            </w:pPr>
            <w:r>
              <w:rPr>
                <w:rFonts w:ascii="宋体" w:hAnsi="宋体" w:eastAsia="宋体"/>
                <w:sz w:val="16"/>
              </w:rPr>
              <w:t>&lt;=0.31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4C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7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01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F0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04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F06B">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F1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EBCF">
            <w:pPr>
              <w:jc w:val="center"/>
            </w:pPr>
            <w:r>
              <w:rPr>
                <w:rFonts w:ascii="宋体" w:hAnsi="宋体" w:eastAsia="宋体"/>
                <w:sz w:val="16"/>
              </w:rPr>
              <w:t>偏差原因：团支部活动开展迟缓；改进措施：完善团支部经费使用办法。</w:t>
            </w:r>
          </w:p>
        </w:tc>
      </w:tr>
      <w:tr w14:paraId="4B8F0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B9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4FD6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4B4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925D">
            <w:pPr>
              <w:jc w:val="center"/>
            </w:pPr>
            <w:r>
              <w:rPr>
                <w:rFonts w:ascii="宋体" w:hAnsi="宋体" w:eastAsia="宋体"/>
                <w:sz w:val="16"/>
              </w:rPr>
              <w:t>可持续影响指标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11EE">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1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70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E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71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6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3FDE">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34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8E29D">
            <w:pPr>
              <w:jc w:val="center"/>
            </w:pPr>
          </w:p>
        </w:tc>
      </w:tr>
      <w:tr w14:paraId="1D35C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21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3F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6C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1364">
            <w:pPr>
              <w:jc w:val="center"/>
            </w:pPr>
            <w:r>
              <w:rPr>
                <w:rFonts w:ascii="宋体" w:hAnsi="宋体" w:eastAsia="宋体"/>
                <w:sz w:val="16"/>
              </w:rPr>
              <w:t>丰富食材种类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BDE3">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B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3F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8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22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B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11D0">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11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657E2">
            <w:pPr>
              <w:jc w:val="center"/>
            </w:pPr>
          </w:p>
        </w:tc>
      </w:tr>
      <w:tr w14:paraId="299F8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952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F6B5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EBD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9E61">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2F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BB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2A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1A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B6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11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C18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1F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771FA">
            <w:pPr>
              <w:jc w:val="center"/>
            </w:pPr>
          </w:p>
        </w:tc>
      </w:tr>
      <w:tr w14:paraId="797D9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8D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5D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9D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706F">
            <w:pPr>
              <w:jc w:val="center"/>
            </w:pPr>
            <w:r>
              <w:rPr>
                <w:rFonts w:ascii="宋体" w:hAnsi="宋体" w:eastAsia="宋体"/>
                <w:sz w:val="16"/>
              </w:rPr>
              <w:t>家长满意率（%）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89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A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C9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F7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A1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0B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C3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6B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D464">
            <w:pPr>
              <w:jc w:val="center"/>
            </w:pPr>
          </w:p>
        </w:tc>
      </w:tr>
      <w:tr w14:paraId="6F845B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54C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EB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7D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0B5AD">
            <w:pPr>
              <w:jc w:val="center"/>
            </w:pPr>
            <w:r>
              <w:rPr>
                <w:rFonts w:ascii="宋体" w:hAnsi="宋体" w:eastAsia="宋体"/>
                <w:sz w:val="16"/>
              </w:rPr>
              <w:t>89.31分</w:t>
            </w:r>
          </w:p>
        </w:tc>
      </w:tr>
    </w:tbl>
    <w:p w14:paraId="0F34C8F5">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5B82BEBC">
        <w:tblPrEx>
          <w:tblCellMar>
            <w:top w:w="0" w:type="dxa"/>
            <w:left w:w="108" w:type="dxa"/>
            <w:bottom w:w="0" w:type="dxa"/>
            <w:right w:w="108" w:type="dxa"/>
          </w:tblCellMar>
        </w:tblPrEx>
        <w:tc>
          <w:tcPr>
            <w:tcW w:w="8848" w:type="dxa"/>
            <w:gridSpan w:val="14"/>
            <w:vAlign w:val="center"/>
          </w:tcPr>
          <w:p w14:paraId="7EAF0E93">
            <w:pPr>
              <w:jc w:val="center"/>
            </w:pPr>
            <w:r>
              <w:rPr>
                <w:rFonts w:ascii="宋体" w:hAnsi="宋体" w:eastAsia="宋体"/>
                <w:sz w:val="24"/>
              </w:rPr>
              <w:t>项目支出绩效自评表</w:t>
            </w:r>
          </w:p>
        </w:tc>
      </w:tr>
      <w:tr w14:paraId="4C887B23">
        <w:tblPrEx>
          <w:tblCellMar>
            <w:top w:w="0" w:type="dxa"/>
            <w:left w:w="108" w:type="dxa"/>
            <w:bottom w:w="0" w:type="dxa"/>
            <w:right w:w="108" w:type="dxa"/>
          </w:tblCellMar>
        </w:tblPrEx>
        <w:tc>
          <w:tcPr>
            <w:tcW w:w="8848" w:type="dxa"/>
            <w:gridSpan w:val="14"/>
            <w:vAlign w:val="center"/>
          </w:tcPr>
          <w:p w14:paraId="4BE6FC11">
            <w:pPr>
              <w:jc w:val="center"/>
            </w:pPr>
            <w:r>
              <w:rPr>
                <w:rFonts w:ascii="宋体" w:hAnsi="宋体" w:eastAsia="宋体"/>
                <w:sz w:val="24"/>
              </w:rPr>
              <w:t>(2024年度)</w:t>
            </w:r>
          </w:p>
        </w:tc>
      </w:tr>
      <w:tr w14:paraId="2019C1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7E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8B0B32">
            <w:pPr>
              <w:jc w:val="center"/>
            </w:pPr>
            <w:r>
              <w:rPr>
                <w:rFonts w:ascii="宋体" w:hAnsi="宋体" w:eastAsia="宋体"/>
                <w:sz w:val="16"/>
              </w:rPr>
              <w:t>2024年其他资金结余</w:t>
            </w:r>
          </w:p>
        </w:tc>
      </w:tr>
      <w:tr w14:paraId="20891B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80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9B2DBC">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68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D1B0B6">
            <w:pPr>
              <w:jc w:val="center"/>
            </w:pPr>
            <w:r>
              <w:rPr>
                <w:rFonts w:ascii="宋体" w:hAnsi="宋体" w:eastAsia="宋体"/>
                <w:sz w:val="16"/>
              </w:rPr>
              <w:t>克孜勒苏柯尔克孜自治州第二幼儿园</w:t>
            </w:r>
          </w:p>
        </w:tc>
      </w:tr>
      <w:tr w14:paraId="3D9803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97F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796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DBA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240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17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A79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7CC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BA3F">
            <w:pPr>
              <w:jc w:val="center"/>
            </w:pPr>
            <w:r>
              <w:rPr>
                <w:rFonts w:ascii="宋体" w:hAnsi="宋体" w:eastAsia="宋体"/>
                <w:sz w:val="16"/>
              </w:rPr>
              <w:t>得分</w:t>
            </w:r>
          </w:p>
        </w:tc>
      </w:tr>
      <w:tr w14:paraId="0AE5F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82F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F42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A26AA">
            <w:pPr>
              <w:jc w:val="center"/>
            </w:pPr>
            <w:r>
              <w:rPr>
                <w:rFonts w:ascii="宋体" w:hAnsi="宋体" w:eastAsia="宋体"/>
                <w:sz w:val="16"/>
              </w:rPr>
              <w:t>14.77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39335">
            <w:pPr>
              <w:jc w:val="center"/>
            </w:pPr>
            <w:r>
              <w:rPr>
                <w:rFonts w:ascii="宋体" w:hAnsi="宋体" w:eastAsia="宋体"/>
                <w:sz w:val="16"/>
              </w:rPr>
              <w:t>14.77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803ED">
            <w:pPr>
              <w:jc w:val="center"/>
            </w:pPr>
            <w:r>
              <w:rPr>
                <w:rFonts w:ascii="宋体" w:hAnsi="宋体" w:eastAsia="宋体"/>
                <w:sz w:val="16"/>
              </w:rPr>
              <w:t>14.73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1D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25F4A">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243C">
            <w:pPr>
              <w:jc w:val="center"/>
            </w:pPr>
            <w:r>
              <w:rPr>
                <w:rFonts w:ascii="宋体" w:hAnsi="宋体" w:eastAsia="宋体"/>
                <w:sz w:val="16"/>
              </w:rPr>
              <w:t>9.93分</w:t>
            </w:r>
          </w:p>
        </w:tc>
      </w:tr>
      <w:tr w14:paraId="007FA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6C4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34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43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5BB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D82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34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6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4988">
            <w:pPr>
              <w:jc w:val="center"/>
            </w:pPr>
            <w:r>
              <w:rPr>
                <w:rFonts w:ascii="宋体" w:hAnsi="宋体" w:eastAsia="宋体"/>
                <w:sz w:val="16"/>
              </w:rPr>
              <w:t>—</w:t>
            </w:r>
          </w:p>
        </w:tc>
      </w:tr>
      <w:tr w14:paraId="3712B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725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4A7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33081">
            <w:pPr>
              <w:jc w:val="center"/>
            </w:pPr>
            <w:r>
              <w:rPr>
                <w:rFonts w:ascii="宋体" w:hAnsi="宋体" w:eastAsia="宋体"/>
                <w:sz w:val="16"/>
              </w:rPr>
              <w:t>14.77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EDA9A">
            <w:pPr>
              <w:jc w:val="center"/>
            </w:pPr>
            <w:r>
              <w:rPr>
                <w:rFonts w:ascii="宋体" w:hAnsi="宋体" w:eastAsia="宋体"/>
                <w:sz w:val="16"/>
              </w:rPr>
              <w:t>14.77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57F1B">
            <w:pPr>
              <w:jc w:val="center"/>
            </w:pPr>
            <w:r>
              <w:rPr>
                <w:rFonts w:ascii="宋体" w:hAnsi="宋体" w:eastAsia="宋体"/>
                <w:sz w:val="16"/>
              </w:rPr>
              <w:t>14.73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3D0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C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92EB">
            <w:pPr>
              <w:jc w:val="center"/>
            </w:pPr>
            <w:r>
              <w:rPr>
                <w:rFonts w:ascii="宋体" w:hAnsi="宋体" w:eastAsia="宋体"/>
                <w:sz w:val="16"/>
              </w:rPr>
              <w:t>—</w:t>
            </w:r>
          </w:p>
        </w:tc>
      </w:tr>
      <w:tr w14:paraId="77E08A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67F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972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C8746">
            <w:pPr>
              <w:jc w:val="center"/>
            </w:pPr>
            <w:r>
              <w:rPr>
                <w:rFonts w:ascii="宋体" w:hAnsi="宋体" w:eastAsia="宋体"/>
                <w:sz w:val="16"/>
              </w:rPr>
              <w:t>实际完成情况</w:t>
            </w:r>
          </w:p>
        </w:tc>
      </w:tr>
      <w:tr w14:paraId="28330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CC1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93532D">
            <w:pPr>
              <w:jc w:val="both"/>
            </w:pPr>
            <w:r>
              <w:rPr>
                <w:rFonts w:ascii="宋体" w:hAnsi="宋体" w:eastAsia="宋体"/>
                <w:sz w:val="16"/>
              </w:rPr>
              <w:t>项目资金14.77万元，其中：财政资金0万元，其他资金14.77万元。该项目资金用于全园419名幼儿2023年12月伙食费及2023年9-12月伙食退费支出，用于我园党团组织活动、幼儿诵读国学活动等支付。通过该项目的实施提升我园幼儿伙食质量水平及补助人数，丰富了我园幼儿生活，有效促进幼儿健康发展，保障我园教育的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BCFE8C">
            <w:pPr>
              <w:jc w:val="both"/>
            </w:pPr>
            <w:r>
              <w:rPr>
                <w:rFonts w:ascii="宋体" w:hAnsi="宋体" w:eastAsia="宋体"/>
                <w:sz w:val="16"/>
              </w:rPr>
              <w:t>截至2024年12月31日，完成退费幼儿人数419人，开展党团活动47人，开展幼儿诵读国学活动60人，通过该项目实施丰富了我园幼儿生活，有效促进幼儿健康发展，保障我园教育的高质量发展。</w:t>
            </w:r>
          </w:p>
        </w:tc>
      </w:tr>
      <w:tr w14:paraId="364AF7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4C6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DB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25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10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26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76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FD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2E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8C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51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A9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D9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51AE">
            <w:pPr>
              <w:jc w:val="center"/>
            </w:pPr>
            <w:r>
              <w:rPr>
                <w:rFonts w:ascii="宋体" w:hAnsi="宋体" w:eastAsia="宋体"/>
                <w:sz w:val="16"/>
              </w:rPr>
              <w:t>偏差原因分析及改进措施</w:t>
            </w:r>
          </w:p>
        </w:tc>
      </w:tr>
      <w:tr w14:paraId="05A45C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272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8F2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1F6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1E2B">
            <w:pPr>
              <w:jc w:val="center"/>
            </w:pPr>
            <w:r>
              <w:rPr>
                <w:rFonts w:ascii="宋体" w:hAnsi="宋体" w:eastAsia="宋体"/>
                <w:sz w:val="16"/>
              </w:rPr>
              <w:t>收益幼儿人数（人）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A4C6">
            <w:pPr>
              <w:jc w:val="center"/>
            </w:pPr>
            <w:r>
              <w:rPr>
                <w:rFonts w:ascii="宋体" w:hAnsi="宋体" w:eastAsia="宋体"/>
                <w:sz w:val="16"/>
              </w:rPr>
              <w:t>&gt;=419人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7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82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A6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E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A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6AA8">
            <w:pPr>
              <w:jc w:val="center"/>
            </w:pPr>
            <w:r>
              <w:rPr>
                <w:rFonts w:ascii="宋体" w:hAnsi="宋体" w:eastAsia="宋体"/>
                <w:sz w:val="16"/>
              </w:rPr>
              <w:t>=419人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DB8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BFBF2">
            <w:pPr>
              <w:jc w:val="center"/>
            </w:pPr>
          </w:p>
        </w:tc>
      </w:tr>
      <w:tr w14:paraId="7552D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BE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74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CA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7BAD">
            <w:pPr>
              <w:jc w:val="center"/>
            </w:pPr>
            <w:r>
              <w:rPr>
                <w:rFonts w:ascii="宋体" w:hAnsi="宋体" w:eastAsia="宋体"/>
                <w:sz w:val="16"/>
              </w:rPr>
              <w:t>党团活动人数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EAF9">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D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25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D6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4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D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CEC9">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41B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3B651">
            <w:pPr>
              <w:jc w:val="center"/>
            </w:pPr>
          </w:p>
        </w:tc>
      </w:tr>
      <w:tr w14:paraId="467E5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78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BF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04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4A8B">
            <w:pPr>
              <w:jc w:val="center"/>
            </w:pPr>
            <w:r>
              <w:rPr>
                <w:rFonts w:ascii="宋体" w:hAnsi="宋体" w:eastAsia="宋体"/>
                <w:sz w:val="16"/>
              </w:rPr>
              <w:t>开展诵读活动人数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416F">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B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34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83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D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E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F1A0">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963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3F4C1">
            <w:pPr>
              <w:jc w:val="center"/>
            </w:pPr>
          </w:p>
        </w:tc>
      </w:tr>
      <w:tr w14:paraId="590ED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7A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75D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F2F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0365">
            <w:pPr>
              <w:jc w:val="center"/>
            </w:pPr>
            <w:r>
              <w:rPr>
                <w:rFonts w:ascii="宋体" w:hAnsi="宋体" w:eastAsia="宋体"/>
                <w:sz w:val="16"/>
              </w:rPr>
              <w:t>食谱执行率（%）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1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1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32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71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D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C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A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84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4ADC8">
            <w:pPr>
              <w:jc w:val="center"/>
            </w:pPr>
          </w:p>
        </w:tc>
      </w:tr>
      <w:tr w14:paraId="68FB1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0E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29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3C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6F68">
            <w:pPr>
              <w:jc w:val="center"/>
            </w:pPr>
            <w:r>
              <w:rPr>
                <w:rFonts w:ascii="宋体" w:hAnsi="宋体" w:eastAsia="宋体"/>
                <w:sz w:val="16"/>
              </w:rPr>
              <w:t>活动开展达标率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F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C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DC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DDA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AE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9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6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9C6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1910E">
            <w:pPr>
              <w:jc w:val="center"/>
            </w:pPr>
          </w:p>
        </w:tc>
      </w:tr>
      <w:tr w14:paraId="0EC39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51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6A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B8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B168">
            <w:pPr>
              <w:jc w:val="center"/>
            </w:pPr>
            <w:r>
              <w:rPr>
                <w:rFonts w:ascii="宋体" w:hAnsi="宋体" w:eastAsia="宋体"/>
                <w:sz w:val="16"/>
              </w:rPr>
              <w:t>食材配送及时率（%）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C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C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AA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3E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8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6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3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427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9DAD6">
            <w:pPr>
              <w:jc w:val="center"/>
            </w:pPr>
          </w:p>
        </w:tc>
      </w:tr>
      <w:tr w14:paraId="01A22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FA5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DDB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3E9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473F">
            <w:pPr>
              <w:jc w:val="center"/>
            </w:pPr>
            <w:r>
              <w:rPr>
                <w:rFonts w:ascii="宋体" w:hAnsi="宋体" w:eastAsia="宋体"/>
                <w:sz w:val="16"/>
              </w:rPr>
              <w:t>伙食费支出（万元）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6381">
            <w:pPr>
              <w:jc w:val="center"/>
            </w:pPr>
            <w:r>
              <w:rPr>
                <w:rFonts w:ascii="宋体" w:hAnsi="宋体" w:eastAsia="宋体"/>
                <w:sz w:val="16"/>
              </w:rPr>
              <w:t>&lt;=13.62万元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17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1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0D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0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40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0549">
            <w:pPr>
              <w:jc w:val="center"/>
            </w:pPr>
            <w:r>
              <w:rPr>
                <w:rFonts w:ascii="宋体" w:hAnsi="宋体" w:eastAsia="宋体"/>
                <w:sz w:val="16"/>
              </w:rPr>
              <w:t>=13.62万元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7B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91F9">
            <w:pPr>
              <w:jc w:val="center"/>
            </w:pPr>
          </w:p>
        </w:tc>
      </w:tr>
      <w:tr w14:paraId="43BCD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3B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98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32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AC7D">
            <w:pPr>
              <w:jc w:val="center"/>
            </w:pPr>
            <w:r>
              <w:rPr>
                <w:rFonts w:ascii="宋体" w:hAnsi="宋体" w:eastAsia="宋体"/>
                <w:sz w:val="16"/>
              </w:rPr>
              <w:t>党团活动费支出数（万元）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FDCF">
            <w:pPr>
              <w:jc w:val="center"/>
            </w:pPr>
            <w:r>
              <w:rPr>
                <w:rFonts w:ascii="宋体" w:hAnsi="宋体" w:eastAsia="宋体"/>
                <w:sz w:val="16"/>
              </w:rPr>
              <w:t>&lt;=0.24万元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E4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6E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4E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E5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49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A682">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AC6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C946B">
            <w:pPr>
              <w:jc w:val="center"/>
            </w:pPr>
            <w:r>
              <w:rPr>
                <w:rFonts w:ascii="宋体" w:hAnsi="宋体" w:eastAsia="宋体"/>
                <w:sz w:val="16"/>
              </w:rPr>
              <w:t>偏差原因：缺乏计划性；改进措施：提前做好计划，减少偏差。</w:t>
            </w:r>
          </w:p>
        </w:tc>
      </w:tr>
      <w:tr w14:paraId="66318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74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5B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68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1866">
            <w:pPr>
              <w:jc w:val="center"/>
            </w:pPr>
            <w:r>
              <w:rPr>
                <w:rFonts w:ascii="宋体" w:hAnsi="宋体" w:eastAsia="宋体"/>
                <w:sz w:val="16"/>
              </w:rPr>
              <w:t>诵读活动支出数（万元）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9ADB">
            <w:pPr>
              <w:jc w:val="center"/>
            </w:pPr>
            <w:r>
              <w:rPr>
                <w:rFonts w:ascii="宋体" w:hAnsi="宋体" w:eastAsia="宋体"/>
                <w:sz w:val="16"/>
              </w:rPr>
              <w:t>&lt;=0.55万元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30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D9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AC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0B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F4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E1FD">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FC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4DDEA">
            <w:pPr>
              <w:jc w:val="center"/>
            </w:pPr>
            <w:r>
              <w:rPr>
                <w:rFonts w:ascii="宋体" w:hAnsi="宋体" w:eastAsia="宋体"/>
                <w:sz w:val="16"/>
              </w:rPr>
              <w:t>偏差原因：缺乏计划性；改进措施：提前做好计划，减少偏差。</w:t>
            </w:r>
          </w:p>
        </w:tc>
      </w:tr>
      <w:tr w14:paraId="13D41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AB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D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DB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4772">
            <w:pPr>
              <w:jc w:val="center"/>
            </w:pPr>
            <w:r>
              <w:rPr>
                <w:rFonts w:ascii="宋体" w:hAnsi="宋体" w:eastAsia="宋体"/>
                <w:sz w:val="16"/>
              </w:rPr>
              <w:t>其他支出（数）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2E78">
            <w:pPr>
              <w:jc w:val="center"/>
            </w:pPr>
            <w:r>
              <w:rPr>
                <w:rFonts w:ascii="宋体" w:hAnsi="宋体" w:eastAsia="宋体"/>
                <w:sz w:val="16"/>
              </w:rPr>
              <w:t>&lt;=0.36万元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DB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79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6A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CC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7D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1410">
            <w:pPr>
              <w:jc w:val="center"/>
            </w:pPr>
            <w:r>
              <w:rPr>
                <w:rFonts w:ascii="宋体" w:hAnsi="宋体" w:eastAsia="宋体"/>
                <w:sz w:val="16"/>
              </w:rPr>
              <w:t>=0.51万元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EA44">
            <w:pPr>
              <w:jc w:val="center"/>
            </w:pPr>
            <w:r>
              <w:rPr>
                <w:rFonts w:ascii="宋体" w:hAnsi="宋体" w:eastAsia="宋体"/>
                <w:sz w:val="16"/>
              </w:rPr>
              <w:t>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7358D">
            <w:pPr>
              <w:jc w:val="center"/>
            </w:pPr>
            <w:r>
              <w:rPr>
                <w:rFonts w:ascii="宋体" w:hAnsi="宋体" w:eastAsia="宋体"/>
                <w:sz w:val="16"/>
              </w:rPr>
              <w:t>偏差原因：缺乏计划性；改进措施：提前做好计划，减少偏差。</w:t>
            </w:r>
          </w:p>
        </w:tc>
      </w:tr>
      <w:tr w14:paraId="70040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19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6F84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93F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8861">
            <w:pPr>
              <w:jc w:val="center"/>
            </w:pPr>
            <w:r>
              <w:rPr>
                <w:rFonts w:ascii="宋体" w:hAnsi="宋体" w:eastAsia="宋体"/>
                <w:sz w:val="16"/>
              </w:rPr>
              <w:t>促进幼儿</w:t>
            </w:r>
            <w:r>
              <w:rPr>
                <w:rFonts w:hint="eastAsia" w:ascii="宋体" w:hAnsi="宋体"/>
                <w:sz w:val="16"/>
                <w:lang w:eastAsia="zh-CN"/>
              </w:rPr>
              <w:t>健康</w:t>
            </w:r>
            <w:r>
              <w:rPr>
                <w:rFonts w:ascii="宋体" w:hAnsi="宋体" w:eastAsia="宋体"/>
                <w:sz w:val="16"/>
              </w:rPr>
              <w:t>成长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73DD">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E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A5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D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6E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8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4CBE">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D5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34B2F">
            <w:pPr>
              <w:jc w:val="center"/>
            </w:pPr>
          </w:p>
        </w:tc>
      </w:tr>
      <w:tr w14:paraId="79667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B3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1A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C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1B57">
            <w:pPr>
              <w:jc w:val="center"/>
            </w:pPr>
            <w:r>
              <w:rPr>
                <w:rFonts w:ascii="宋体" w:hAnsi="宋体" w:eastAsia="宋体"/>
                <w:sz w:val="16"/>
              </w:rPr>
              <w:t>丰富食材种类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CC74">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8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5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CC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E2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7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93B7">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26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0A61">
            <w:pPr>
              <w:jc w:val="center"/>
            </w:pPr>
          </w:p>
        </w:tc>
      </w:tr>
      <w:tr w14:paraId="60354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3B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94E7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FBD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62C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3C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4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CE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8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86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6B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72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64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44DE1">
            <w:pPr>
              <w:jc w:val="center"/>
            </w:pPr>
          </w:p>
        </w:tc>
      </w:tr>
      <w:tr w14:paraId="3A48C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35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8D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9B2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A39A">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4A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3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AC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3F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CC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AF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69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7E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97EB">
            <w:pPr>
              <w:jc w:val="center"/>
            </w:pPr>
          </w:p>
        </w:tc>
      </w:tr>
      <w:tr w14:paraId="5628AC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103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33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333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777844">
            <w:pPr>
              <w:jc w:val="center"/>
            </w:pPr>
            <w:r>
              <w:rPr>
                <w:rFonts w:ascii="宋体" w:hAnsi="宋体" w:eastAsia="宋体"/>
                <w:sz w:val="16"/>
              </w:rPr>
              <w:t>92.85分</w:t>
            </w:r>
          </w:p>
        </w:tc>
      </w:tr>
    </w:tbl>
    <w:p w14:paraId="34A5BDB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2"/>
        <w:gridCol w:w="618"/>
        <w:gridCol w:w="632"/>
      </w:tblGrid>
      <w:tr w14:paraId="2B575BF0">
        <w:tblPrEx>
          <w:tblCellMar>
            <w:top w:w="0" w:type="dxa"/>
            <w:left w:w="108" w:type="dxa"/>
            <w:bottom w:w="0" w:type="dxa"/>
            <w:right w:w="108" w:type="dxa"/>
          </w:tblCellMar>
        </w:tblPrEx>
        <w:tc>
          <w:tcPr>
            <w:tcW w:w="8848" w:type="dxa"/>
            <w:gridSpan w:val="14"/>
            <w:vAlign w:val="center"/>
          </w:tcPr>
          <w:p w14:paraId="2063C5EE">
            <w:pPr>
              <w:jc w:val="center"/>
            </w:pPr>
            <w:r>
              <w:rPr>
                <w:rFonts w:ascii="宋体" w:hAnsi="宋体" w:eastAsia="宋体"/>
                <w:sz w:val="24"/>
              </w:rPr>
              <w:t>项目支出绩效自评表</w:t>
            </w:r>
          </w:p>
        </w:tc>
      </w:tr>
      <w:tr w14:paraId="373BAAD7">
        <w:tblPrEx>
          <w:tblCellMar>
            <w:top w:w="0" w:type="dxa"/>
            <w:left w:w="108" w:type="dxa"/>
            <w:bottom w:w="0" w:type="dxa"/>
            <w:right w:w="108" w:type="dxa"/>
          </w:tblCellMar>
        </w:tblPrEx>
        <w:tc>
          <w:tcPr>
            <w:tcW w:w="8848" w:type="dxa"/>
            <w:gridSpan w:val="14"/>
            <w:vAlign w:val="center"/>
          </w:tcPr>
          <w:p w14:paraId="7F224E6A">
            <w:pPr>
              <w:jc w:val="center"/>
            </w:pPr>
            <w:r>
              <w:rPr>
                <w:rFonts w:ascii="宋体" w:hAnsi="宋体" w:eastAsia="宋体"/>
                <w:sz w:val="24"/>
              </w:rPr>
              <w:t>(2024年度)</w:t>
            </w:r>
          </w:p>
        </w:tc>
      </w:tr>
      <w:tr w14:paraId="4FF80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36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73DEF2">
            <w:pPr>
              <w:jc w:val="center"/>
            </w:pPr>
            <w:r>
              <w:rPr>
                <w:rFonts w:ascii="宋体" w:hAnsi="宋体" w:eastAsia="宋体"/>
                <w:sz w:val="16"/>
              </w:rPr>
              <w:t>2024年城市幼儿园公用经费</w:t>
            </w:r>
          </w:p>
        </w:tc>
      </w:tr>
      <w:tr w14:paraId="3BBE18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65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FEE0EA">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E4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70560">
            <w:pPr>
              <w:jc w:val="center"/>
            </w:pPr>
            <w:r>
              <w:rPr>
                <w:rFonts w:ascii="宋体" w:hAnsi="宋体" w:eastAsia="宋体"/>
                <w:sz w:val="16"/>
              </w:rPr>
              <w:t>克孜勒苏柯尔克孜自治州第二幼儿园</w:t>
            </w:r>
          </w:p>
        </w:tc>
      </w:tr>
      <w:tr w14:paraId="3AD5D3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27C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F37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902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FAA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BEE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696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065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D59D">
            <w:pPr>
              <w:jc w:val="center"/>
            </w:pPr>
            <w:r>
              <w:rPr>
                <w:rFonts w:ascii="宋体" w:hAnsi="宋体" w:eastAsia="宋体"/>
                <w:sz w:val="16"/>
              </w:rPr>
              <w:t>得分</w:t>
            </w:r>
          </w:p>
        </w:tc>
      </w:tr>
      <w:tr w14:paraId="4CB56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00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8D6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51033">
            <w:pPr>
              <w:jc w:val="center"/>
            </w:pPr>
            <w:r>
              <w:rPr>
                <w:rFonts w:ascii="宋体" w:hAnsi="宋体" w:eastAsia="宋体"/>
                <w:sz w:val="16"/>
              </w:rPr>
              <w:t>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4EC90">
            <w:pPr>
              <w:jc w:val="center"/>
            </w:pPr>
            <w:r>
              <w:rPr>
                <w:rFonts w:ascii="宋体" w:hAnsi="宋体" w:eastAsia="宋体"/>
                <w:sz w:val="16"/>
              </w:rPr>
              <w:t>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AE636">
            <w:pPr>
              <w:jc w:val="center"/>
            </w:pPr>
            <w:r>
              <w:rPr>
                <w:rFonts w:ascii="宋体" w:hAnsi="宋体" w:eastAsia="宋体"/>
                <w:sz w:val="16"/>
              </w:rPr>
              <w:t>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F4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A3B4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7D40">
            <w:pPr>
              <w:jc w:val="center"/>
            </w:pPr>
            <w:r>
              <w:rPr>
                <w:rFonts w:ascii="宋体" w:hAnsi="宋体" w:eastAsia="宋体"/>
                <w:sz w:val="16"/>
              </w:rPr>
              <w:t>10.00分</w:t>
            </w:r>
          </w:p>
        </w:tc>
      </w:tr>
      <w:tr w14:paraId="0379A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22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6A7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56524">
            <w:pPr>
              <w:jc w:val="center"/>
            </w:pPr>
            <w:r>
              <w:rPr>
                <w:rFonts w:ascii="宋体" w:hAnsi="宋体" w:eastAsia="宋体"/>
                <w:sz w:val="16"/>
              </w:rPr>
              <w:t>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9BF3">
            <w:pPr>
              <w:jc w:val="center"/>
            </w:pPr>
            <w:r>
              <w:rPr>
                <w:rFonts w:ascii="宋体" w:hAnsi="宋体" w:eastAsia="宋体"/>
                <w:sz w:val="16"/>
              </w:rPr>
              <w:t>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CE9DF">
            <w:pPr>
              <w:jc w:val="center"/>
            </w:pPr>
            <w:r>
              <w:rPr>
                <w:rFonts w:ascii="宋体" w:hAnsi="宋体" w:eastAsia="宋体"/>
                <w:sz w:val="16"/>
              </w:rPr>
              <w:t>46.09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AD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2F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FB20">
            <w:pPr>
              <w:jc w:val="center"/>
            </w:pPr>
            <w:r>
              <w:rPr>
                <w:rFonts w:ascii="宋体" w:hAnsi="宋体" w:eastAsia="宋体"/>
                <w:sz w:val="16"/>
              </w:rPr>
              <w:t>—</w:t>
            </w:r>
          </w:p>
        </w:tc>
      </w:tr>
      <w:tr w14:paraId="57D6A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B43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465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6B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A2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A3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B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F1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8ABA">
            <w:pPr>
              <w:jc w:val="center"/>
            </w:pPr>
            <w:r>
              <w:rPr>
                <w:rFonts w:ascii="宋体" w:hAnsi="宋体" w:eastAsia="宋体"/>
                <w:sz w:val="16"/>
              </w:rPr>
              <w:t>—</w:t>
            </w:r>
          </w:p>
        </w:tc>
      </w:tr>
      <w:tr w14:paraId="6F7A85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921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907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50D410">
            <w:pPr>
              <w:jc w:val="center"/>
            </w:pPr>
            <w:r>
              <w:rPr>
                <w:rFonts w:ascii="宋体" w:hAnsi="宋体" w:eastAsia="宋体"/>
                <w:sz w:val="16"/>
              </w:rPr>
              <w:t>实际完成情况</w:t>
            </w:r>
          </w:p>
        </w:tc>
      </w:tr>
      <w:tr w14:paraId="7B4E3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76D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DF490">
            <w:pPr>
              <w:jc w:val="both"/>
            </w:pPr>
            <w:r>
              <w:rPr>
                <w:rFonts w:ascii="宋体" w:hAnsi="宋体" w:eastAsia="宋体"/>
                <w:sz w:val="16"/>
              </w:rPr>
              <w:t>该项目资金总额为46.09万元，主要用于提高我园办园条件，使幼儿入园后学习、生活的安全得到有效保障，包括办公耗材采购、水电网、暖气、校园安全隐患排除零星维修。通过该项目的实施，有效保障幼儿生活、学习的安全，提高了幼儿园环境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0AC1CE">
            <w:pPr>
              <w:jc w:val="both"/>
            </w:pPr>
            <w:r>
              <w:rPr>
                <w:rFonts w:ascii="宋体" w:hAnsi="宋体" w:eastAsia="宋体"/>
                <w:sz w:val="16"/>
              </w:rPr>
              <w:t>截至2024年12月31日，办公耗材、食堂和班级用品2批，水电网缴存月数12个月，</w:t>
            </w:r>
            <w:r>
              <w:rPr>
                <w:rFonts w:ascii="宋体" w:hAnsi="宋体" w:eastAsia="宋体"/>
                <w:sz w:val="16"/>
              </w:rPr>
              <w:tab/>
            </w:r>
            <w:r>
              <w:rPr>
                <w:rFonts w:ascii="宋体" w:hAnsi="宋体" w:eastAsia="宋体"/>
                <w:sz w:val="16"/>
              </w:rPr>
              <w:t>园内安全隐患排除零星维修12个月，通过该项目的实施，提高了我园办园条件，有效保障幼儿生活、学习的安全，提高了幼儿园环境质量。</w:t>
            </w:r>
          </w:p>
        </w:tc>
      </w:tr>
      <w:tr w14:paraId="2D39EE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B5A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BA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18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18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7D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90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C9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F5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4D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7F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72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C7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0066">
            <w:pPr>
              <w:jc w:val="center"/>
            </w:pPr>
            <w:r>
              <w:rPr>
                <w:rFonts w:ascii="宋体" w:hAnsi="宋体" w:eastAsia="宋体"/>
                <w:sz w:val="16"/>
              </w:rPr>
              <w:t>偏差原因分析及改进措施</w:t>
            </w:r>
          </w:p>
        </w:tc>
      </w:tr>
      <w:tr w14:paraId="7D8D1A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57A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66A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526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CDDC">
            <w:pPr>
              <w:jc w:val="center"/>
            </w:pPr>
            <w:r>
              <w:rPr>
                <w:rFonts w:ascii="宋体" w:hAnsi="宋体" w:eastAsia="宋体"/>
                <w:sz w:val="16"/>
              </w:rPr>
              <w:t>办公耗材、食堂和班级用品（批）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74C1">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C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3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80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7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AD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350C">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77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8D58">
            <w:pPr>
              <w:jc w:val="center"/>
            </w:pPr>
          </w:p>
        </w:tc>
      </w:tr>
      <w:tr w14:paraId="5C7F6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13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40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D7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177C">
            <w:pPr>
              <w:jc w:val="center"/>
            </w:pPr>
            <w:r>
              <w:rPr>
                <w:rFonts w:ascii="宋体" w:hAnsi="宋体" w:eastAsia="宋体"/>
                <w:sz w:val="16"/>
              </w:rPr>
              <w:t>水电网缴存月数（个月）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7B08">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E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AA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E4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E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6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11D6">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61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579D">
            <w:pPr>
              <w:jc w:val="center"/>
            </w:pPr>
          </w:p>
        </w:tc>
      </w:tr>
      <w:tr w14:paraId="2B3EC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5B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E9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5F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2942">
            <w:pPr>
              <w:jc w:val="center"/>
            </w:pPr>
            <w:r>
              <w:rPr>
                <w:rFonts w:ascii="宋体" w:hAnsi="宋体" w:eastAsia="宋体"/>
                <w:sz w:val="16"/>
              </w:rPr>
              <w:t>园内安全隐患排除零星维修（个月）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6778">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8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74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49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E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E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E7D2">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CB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C5286">
            <w:pPr>
              <w:jc w:val="center"/>
            </w:pPr>
          </w:p>
        </w:tc>
      </w:tr>
      <w:tr w14:paraId="160AD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FA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3AA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A0D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FC32">
            <w:pPr>
              <w:jc w:val="center"/>
            </w:pPr>
            <w:r>
              <w:rPr>
                <w:rFonts w:ascii="宋体" w:hAnsi="宋体" w:eastAsia="宋体"/>
                <w:sz w:val="16"/>
              </w:rPr>
              <w:t>办公耗材、食堂和班级用品质量</w:t>
            </w:r>
            <w:r>
              <w:rPr>
                <w:rFonts w:hint="eastAsia" w:ascii="宋体" w:hAnsi="宋体"/>
                <w:sz w:val="16"/>
                <w:lang w:eastAsia="zh-CN"/>
              </w:rPr>
              <w:t>合格</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11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F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5A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9B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72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0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89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30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AE217">
            <w:pPr>
              <w:jc w:val="center"/>
            </w:pPr>
          </w:p>
        </w:tc>
      </w:tr>
      <w:tr w14:paraId="02ECA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F4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A0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37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6BEB">
            <w:pPr>
              <w:jc w:val="center"/>
            </w:pPr>
            <w:r>
              <w:rPr>
                <w:rFonts w:ascii="宋体" w:hAnsi="宋体" w:eastAsia="宋体"/>
                <w:sz w:val="16"/>
              </w:rPr>
              <w:t>园内安全隐患消除率（%）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B2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7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1B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E5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02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F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30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81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A740">
            <w:pPr>
              <w:jc w:val="center"/>
            </w:pPr>
          </w:p>
        </w:tc>
      </w:tr>
      <w:tr w14:paraId="5941E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6A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B5A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D40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0AB8">
            <w:pPr>
              <w:jc w:val="center"/>
            </w:pPr>
            <w:r>
              <w:rPr>
                <w:rFonts w:ascii="宋体" w:hAnsi="宋体" w:eastAsia="宋体"/>
                <w:sz w:val="16"/>
              </w:rPr>
              <w:t>付款及时率（%）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9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C2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E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6A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F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C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2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92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CE95">
            <w:pPr>
              <w:jc w:val="center"/>
            </w:pPr>
          </w:p>
        </w:tc>
      </w:tr>
      <w:tr w14:paraId="57413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17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BA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C7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9B1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A41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1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B7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54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5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C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B59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F7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FEFE4">
            <w:pPr>
              <w:jc w:val="center"/>
            </w:pPr>
          </w:p>
        </w:tc>
      </w:tr>
      <w:tr w14:paraId="4847A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57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C1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F7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64F9">
            <w:pPr>
              <w:jc w:val="center"/>
            </w:pPr>
            <w:r>
              <w:rPr>
                <w:rFonts w:ascii="宋体" w:hAnsi="宋体" w:eastAsia="宋体"/>
                <w:sz w:val="16"/>
              </w:rPr>
              <w:t>维修完工及时率（%）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1F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F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B1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8C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61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0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8D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0D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17CAA">
            <w:pPr>
              <w:jc w:val="center"/>
            </w:pPr>
          </w:p>
        </w:tc>
      </w:tr>
      <w:tr w14:paraId="4A002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F36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FD3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978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D013">
            <w:pPr>
              <w:jc w:val="center"/>
            </w:pPr>
            <w:r>
              <w:rPr>
                <w:rFonts w:ascii="宋体" w:hAnsi="宋体" w:eastAsia="宋体"/>
                <w:sz w:val="16"/>
              </w:rPr>
              <w:t>办公耗材、食堂和班级用品购买（万元）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2CF9">
            <w:pPr>
              <w:jc w:val="center"/>
            </w:pPr>
            <w:r>
              <w:rPr>
                <w:rFonts w:ascii="宋体" w:hAnsi="宋体" w:eastAsia="宋体"/>
                <w:sz w:val="16"/>
              </w:rPr>
              <w:t>&lt;=20.17万元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CB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E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FD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B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5F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8C69">
            <w:pPr>
              <w:jc w:val="center"/>
            </w:pPr>
            <w:r>
              <w:rPr>
                <w:rFonts w:ascii="宋体" w:hAnsi="宋体" w:eastAsia="宋体"/>
                <w:sz w:val="16"/>
              </w:rPr>
              <w:t>=19.95万元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D728">
            <w:pPr>
              <w:jc w:val="center"/>
            </w:pPr>
            <w:r>
              <w:rPr>
                <w:rFonts w:ascii="宋体" w:hAnsi="宋体" w:eastAsia="宋体"/>
                <w:sz w:val="16"/>
              </w:rPr>
              <w:t>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D1862">
            <w:pPr>
              <w:jc w:val="center"/>
            </w:pPr>
            <w:r>
              <w:rPr>
                <w:rFonts w:ascii="宋体" w:hAnsi="宋体" w:eastAsia="宋体"/>
                <w:sz w:val="16"/>
              </w:rPr>
              <w:t>偏差原因：提高办公用品管理和利用；改进措施：完善保安日常办公用品管理</w:t>
            </w:r>
          </w:p>
        </w:tc>
      </w:tr>
      <w:tr w14:paraId="016B4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72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04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9B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2ACA">
            <w:pPr>
              <w:jc w:val="center"/>
            </w:pPr>
            <w:r>
              <w:rPr>
                <w:rFonts w:ascii="宋体" w:hAnsi="宋体" w:eastAsia="宋体"/>
                <w:sz w:val="16"/>
              </w:rPr>
              <w:t>水电网暖支付（万元）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A7B0">
            <w:pPr>
              <w:jc w:val="center"/>
            </w:pPr>
            <w:r>
              <w:rPr>
                <w:rFonts w:ascii="宋体" w:hAnsi="宋体" w:eastAsia="宋体"/>
                <w:sz w:val="16"/>
              </w:rPr>
              <w:t>&lt;=18.92万元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22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C6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83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4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08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35CB">
            <w:pPr>
              <w:jc w:val="center"/>
            </w:pPr>
            <w:r>
              <w:rPr>
                <w:rFonts w:ascii="宋体" w:hAnsi="宋体" w:eastAsia="宋体"/>
                <w:sz w:val="16"/>
              </w:rPr>
              <w:t>=20.35万元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C80C">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F4C74">
            <w:pPr>
              <w:jc w:val="center"/>
            </w:pPr>
            <w:r>
              <w:rPr>
                <w:rFonts w:ascii="宋体" w:hAnsi="宋体" w:eastAsia="宋体"/>
                <w:sz w:val="16"/>
              </w:rPr>
              <w:t>偏差原因：假期有工程施工，水电用量增加；改进措施：提前规划资金使用计划</w:t>
            </w:r>
          </w:p>
        </w:tc>
      </w:tr>
      <w:tr w14:paraId="41C1C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77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7C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2F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04BC">
            <w:pPr>
              <w:jc w:val="center"/>
            </w:pPr>
            <w:r>
              <w:rPr>
                <w:rFonts w:ascii="宋体" w:hAnsi="宋体" w:eastAsia="宋体"/>
                <w:sz w:val="16"/>
              </w:rPr>
              <w:t>园安全隐患排除零星维修（万元）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CC3D">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76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AB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C7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EC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90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0E13">
            <w:pPr>
              <w:jc w:val="center"/>
            </w:pPr>
            <w:r>
              <w:rPr>
                <w:rFonts w:ascii="宋体" w:hAnsi="宋体" w:eastAsia="宋体"/>
                <w:sz w:val="16"/>
              </w:rPr>
              <w:t>=5.79万元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C139">
            <w:pPr>
              <w:jc w:val="center"/>
            </w:pPr>
            <w:r>
              <w:rPr>
                <w:rFonts w:ascii="宋体" w:hAnsi="宋体" w:eastAsia="宋体"/>
                <w:sz w:val="16"/>
              </w:rPr>
              <w:t>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9BC01">
            <w:pPr>
              <w:jc w:val="center"/>
            </w:pPr>
            <w:r>
              <w:rPr>
                <w:rFonts w:ascii="宋体" w:hAnsi="宋体" w:eastAsia="宋体"/>
                <w:sz w:val="16"/>
              </w:rPr>
              <w:t>偏差原因：资金实际使用情况比计划较好；改进措施：提前规划资金使用计划</w:t>
            </w:r>
          </w:p>
        </w:tc>
      </w:tr>
      <w:tr w14:paraId="1C6B5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E28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04B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0D7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2F2A">
            <w:pPr>
              <w:jc w:val="center"/>
            </w:pPr>
            <w:r>
              <w:rPr>
                <w:rFonts w:ascii="宋体" w:hAnsi="宋体" w:eastAsia="宋体"/>
                <w:sz w:val="16"/>
              </w:rPr>
              <w:t>设计功能实现率（%）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3E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7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8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47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C7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E7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2E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3DD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FEAEE">
            <w:pPr>
              <w:jc w:val="center"/>
            </w:pPr>
          </w:p>
        </w:tc>
      </w:tr>
      <w:tr w14:paraId="0FFDA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76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234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8AA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A175">
            <w:pPr>
              <w:jc w:val="center"/>
            </w:pPr>
            <w:r>
              <w:rPr>
                <w:rFonts w:ascii="宋体" w:hAnsi="宋体" w:eastAsia="宋体"/>
                <w:sz w:val="16"/>
              </w:rPr>
              <w:t>有效排除隐患，保障幼儿环境安全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F59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2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64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10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65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3A4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F24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A6E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B4B98">
            <w:pPr>
              <w:jc w:val="center"/>
            </w:pPr>
          </w:p>
        </w:tc>
      </w:tr>
      <w:tr w14:paraId="5F65D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07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E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D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0DAC">
            <w:pPr>
              <w:jc w:val="center"/>
            </w:pPr>
            <w:r>
              <w:rPr>
                <w:rFonts w:ascii="宋体" w:hAnsi="宋体" w:eastAsia="宋体"/>
                <w:sz w:val="16"/>
              </w:rPr>
              <w:t>积极引导地方扩大普惠性学前教育资源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1E9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4B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1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5D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EF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FDC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980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86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E4B56">
            <w:pPr>
              <w:jc w:val="center"/>
            </w:pPr>
          </w:p>
        </w:tc>
      </w:tr>
      <w:tr w14:paraId="724FC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CC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6E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56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8395">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BD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5B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8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38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64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8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7D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87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20B42">
            <w:pPr>
              <w:jc w:val="center"/>
            </w:pPr>
          </w:p>
        </w:tc>
      </w:tr>
      <w:tr w14:paraId="19C2CD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C84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F9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17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AC8BCB">
            <w:pPr>
              <w:jc w:val="center"/>
            </w:pPr>
            <w:r>
              <w:rPr>
                <w:rFonts w:ascii="宋体" w:hAnsi="宋体" w:eastAsia="宋体"/>
                <w:sz w:val="16"/>
              </w:rPr>
              <w:t>96.69分</w:t>
            </w:r>
          </w:p>
        </w:tc>
      </w:tr>
    </w:tbl>
    <w:p w14:paraId="51F79C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70BF9A6F">
        <w:tblPrEx>
          <w:tblCellMar>
            <w:top w:w="0" w:type="dxa"/>
            <w:left w:w="108" w:type="dxa"/>
            <w:bottom w:w="0" w:type="dxa"/>
            <w:right w:w="108" w:type="dxa"/>
          </w:tblCellMar>
        </w:tblPrEx>
        <w:tc>
          <w:tcPr>
            <w:tcW w:w="8848" w:type="dxa"/>
            <w:gridSpan w:val="14"/>
            <w:vAlign w:val="center"/>
          </w:tcPr>
          <w:p w14:paraId="04CAEBFD">
            <w:pPr>
              <w:jc w:val="center"/>
            </w:pPr>
            <w:r>
              <w:rPr>
                <w:rFonts w:ascii="宋体" w:hAnsi="宋体" w:eastAsia="宋体"/>
                <w:sz w:val="24"/>
              </w:rPr>
              <w:t>项目支出绩效自评表</w:t>
            </w:r>
          </w:p>
        </w:tc>
      </w:tr>
      <w:tr w14:paraId="010C0897">
        <w:tblPrEx>
          <w:tblCellMar>
            <w:top w:w="0" w:type="dxa"/>
            <w:left w:w="108" w:type="dxa"/>
            <w:bottom w:w="0" w:type="dxa"/>
            <w:right w:w="108" w:type="dxa"/>
          </w:tblCellMar>
        </w:tblPrEx>
        <w:tc>
          <w:tcPr>
            <w:tcW w:w="8848" w:type="dxa"/>
            <w:gridSpan w:val="14"/>
            <w:vAlign w:val="center"/>
          </w:tcPr>
          <w:p w14:paraId="65285CCA">
            <w:pPr>
              <w:jc w:val="center"/>
            </w:pPr>
            <w:r>
              <w:rPr>
                <w:rFonts w:ascii="宋体" w:hAnsi="宋体" w:eastAsia="宋体"/>
                <w:sz w:val="24"/>
              </w:rPr>
              <w:t>(2024年度)</w:t>
            </w:r>
          </w:p>
        </w:tc>
      </w:tr>
      <w:tr w14:paraId="6CB3A0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98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463855">
            <w:pPr>
              <w:jc w:val="center"/>
            </w:pPr>
            <w:r>
              <w:rPr>
                <w:rFonts w:ascii="宋体" w:hAnsi="宋体" w:eastAsia="宋体"/>
                <w:sz w:val="16"/>
              </w:rPr>
              <w:t>克财教</w:t>
            </w:r>
            <w:r>
              <w:rPr>
                <w:rFonts w:hint="eastAsia" w:ascii="宋体" w:hAnsi="宋体"/>
                <w:sz w:val="16"/>
                <w:lang w:eastAsia="zh-CN"/>
              </w:rPr>
              <w:t>〔2023〕61号</w:t>
            </w:r>
            <w:r>
              <w:rPr>
                <w:rFonts w:ascii="宋体" w:hAnsi="宋体" w:eastAsia="宋体"/>
                <w:sz w:val="16"/>
              </w:rPr>
              <w:t>—中小学幼儿园配备保安人员工资补助</w:t>
            </w:r>
          </w:p>
        </w:tc>
      </w:tr>
      <w:tr w14:paraId="33FE5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53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FE4A6">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8F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7AEC5A">
            <w:pPr>
              <w:jc w:val="center"/>
            </w:pPr>
            <w:r>
              <w:rPr>
                <w:rFonts w:ascii="宋体" w:hAnsi="宋体" w:eastAsia="宋体"/>
                <w:sz w:val="16"/>
              </w:rPr>
              <w:t>克孜勒苏柯尔克孜自治州第二幼儿园</w:t>
            </w:r>
          </w:p>
        </w:tc>
      </w:tr>
      <w:tr w14:paraId="2C0C9C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C0E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076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5AB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CB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2AF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6D5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C61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7DEE">
            <w:pPr>
              <w:jc w:val="center"/>
            </w:pPr>
            <w:r>
              <w:rPr>
                <w:rFonts w:ascii="宋体" w:hAnsi="宋体" w:eastAsia="宋体"/>
                <w:sz w:val="16"/>
              </w:rPr>
              <w:t>得分</w:t>
            </w:r>
          </w:p>
        </w:tc>
      </w:tr>
      <w:tr w14:paraId="39DBB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488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09E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0ABD">
            <w:pPr>
              <w:jc w:val="center"/>
            </w:pPr>
            <w:r>
              <w:rPr>
                <w:rFonts w:ascii="宋体" w:hAnsi="宋体" w:eastAsia="宋体"/>
                <w:sz w:val="16"/>
              </w:rPr>
              <w:t>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4FB4F">
            <w:pPr>
              <w:jc w:val="center"/>
            </w:pPr>
            <w:r>
              <w:rPr>
                <w:rFonts w:ascii="宋体" w:hAnsi="宋体" w:eastAsia="宋体"/>
                <w:sz w:val="16"/>
              </w:rPr>
              <w:t>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25121">
            <w:pPr>
              <w:jc w:val="center"/>
            </w:pPr>
            <w:r>
              <w:rPr>
                <w:rFonts w:ascii="宋体" w:hAnsi="宋体" w:eastAsia="宋体"/>
                <w:sz w:val="16"/>
              </w:rPr>
              <w:t>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034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37263">
            <w:pPr>
              <w:jc w:val="center"/>
            </w:pPr>
            <w:r>
              <w:rPr>
                <w:rFonts w:ascii="宋体" w:hAnsi="宋体" w:eastAsia="宋体"/>
                <w:sz w:val="16"/>
              </w:rPr>
              <w:t>86.9%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AA93">
            <w:pPr>
              <w:jc w:val="center"/>
            </w:pPr>
            <w:r>
              <w:rPr>
                <w:rFonts w:ascii="宋体" w:hAnsi="宋体" w:eastAsia="宋体"/>
                <w:sz w:val="16"/>
              </w:rPr>
              <w:t>6.73分</w:t>
            </w:r>
          </w:p>
        </w:tc>
      </w:tr>
      <w:tr w14:paraId="63AF9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31C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8B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65FF1">
            <w:pPr>
              <w:jc w:val="center"/>
            </w:pPr>
            <w:r>
              <w:rPr>
                <w:rFonts w:ascii="宋体" w:hAnsi="宋体" w:eastAsia="宋体"/>
                <w:sz w:val="16"/>
              </w:rPr>
              <w:t>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3822">
            <w:pPr>
              <w:jc w:val="center"/>
            </w:pPr>
            <w:r>
              <w:rPr>
                <w:rFonts w:ascii="宋体" w:hAnsi="宋体" w:eastAsia="宋体"/>
                <w:sz w:val="16"/>
              </w:rPr>
              <w:t>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1DD31">
            <w:pPr>
              <w:jc w:val="center"/>
            </w:pPr>
            <w:r>
              <w:rPr>
                <w:rFonts w:ascii="宋体" w:hAnsi="宋体" w:eastAsia="宋体"/>
                <w:sz w:val="16"/>
              </w:rPr>
              <w:t>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C6A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CD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5C0E">
            <w:pPr>
              <w:jc w:val="center"/>
            </w:pPr>
            <w:r>
              <w:rPr>
                <w:rFonts w:ascii="宋体" w:hAnsi="宋体" w:eastAsia="宋体"/>
                <w:sz w:val="16"/>
              </w:rPr>
              <w:t>—</w:t>
            </w:r>
          </w:p>
        </w:tc>
      </w:tr>
      <w:tr w14:paraId="77A66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B52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B9B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DE4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35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86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AC8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39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F36A">
            <w:pPr>
              <w:jc w:val="center"/>
            </w:pPr>
            <w:r>
              <w:rPr>
                <w:rFonts w:ascii="宋体" w:hAnsi="宋体" w:eastAsia="宋体"/>
                <w:sz w:val="16"/>
              </w:rPr>
              <w:t>—</w:t>
            </w:r>
          </w:p>
        </w:tc>
      </w:tr>
      <w:tr w14:paraId="56CB2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C8C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F741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6DDF49">
            <w:pPr>
              <w:jc w:val="center"/>
            </w:pPr>
            <w:r>
              <w:rPr>
                <w:rFonts w:ascii="宋体" w:hAnsi="宋体" w:eastAsia="宋体"/>
                <w:sz w:val="16"/>
              </w:rPr>
              <w:t>实际完成情况</w:t>
            </w:r>
          </w:p>
        </w:tc>
      </w:tr>
      <w:tr w14:paraId="1A63D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C41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2DB76">
            <w:pPr>
              <w:jc w:val="both"/>
            </w:pPr>
            <w:r>
              <w:rPr>
                <w:rFonts w:ascii="宋体" w:hAnsi="宋体" w:eastAsia="宋体"/>
                <w:sz w:val="16"/>
              </w:rPr>
              <w:t>保安人员补助共保障了6名保安1-12月的工资待遇，保安人员补助经费减轻了我园办公经费紧张的资金情况，提高保安生活质量水平，配备的保安加强了幼儿园安全防范工作，促进幼儿园可持续稳定发展。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C08A9">
            <w:pPr>
              <w:jc w:val="both"/>
            </w:pPr>
            <w:r>
              <w:rPr>
                <w:rFonts w:hint="eastAsia" w:ascii="宋体" w:hAnsi="宋体"/>
                <w:sz w:val="16"/>
                <w:lang w:eastAsia="zh-CN"/>
              </w:rPr>
              <w:t>截至</w:t>
            </w:r>
            <w:r>
              <w:rPr>
                <w:rFonts w:ascii="宋体" w:hAnsi="宋体" w:eastAsia="宋体"/>
                <w:sz w:val="16"/>
              </w:rPr>
              <w:t>2024年12月31日，1月给6名保安发0.78万元，2月给5名保安发0.65万元，3月和4月给3名保安发0.78万元，5月给6名保安发0.6372元，6-12月给6名保安发5.46万元。我园已完成配备保安人数6人，通过该项目实施，提高保安生活质量水平，达到了加强学校安全防范工作，幼儿园可持续稳定发展的效果。</w:t>
            </w:r>
          </w:p>
        </w:tc>
      </w:tr>
      <w:tr w14:paraId="78CB7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55DC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BC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70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27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B4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4B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7F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64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EC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95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7A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09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06E85">
            <w:pPr>
              <w:jc w:val="center"/>
            </w:pPr>
            <w:r>
              <w:rPr>
                <w:rFonts w:ascii="宋体" w:hAnsi="宋体" w:eastAsia="宋体"/>
                <w:sz w:val="16"/>
              </w:rPr>
              <w:t>偏差原因分析及改进措施</w:t>
            </w:r>
          </w:p>
        </w:tc>
      </w:tr>
      <w:tr w14:paraId="11EF52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D23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C98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E63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DACB">
            <w:pPr>
              <w:jc w:val="center"/>
            </w:pPr>
            <w:r>
              <w:rPr>
                <w:rFonts w:ascii="宋体" w:hAnsi="宋体" w:eastAsia="宋体"/>
                <w:sz w:val="16"/>
              </w:rPr>
              <w:t>补助发放月数（次）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919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9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6A0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8D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F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7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BE0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115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12397">
            <w:pPr>
              <w:jc w:val="center"/>
            </w:pPr>
          </w:p>
        </w:tc>
      </w:tr>
      <w:tr w14:paraId="26DEB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D2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35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39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3920">
            <w:pPr>
              <w:jc w:val="center"/>
            </w:pPr>
            <w:r>
              <w:rPr>
                <w:rFonts w:ascii="宋体" w:hAnsi="宋体" w:eastAsia="宋体"/>
                <w:sz w:val="16"/>
              </w:rPr>
              <w:t>配备保安人数（人）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358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58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53D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30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8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A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1CBD">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F4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6E2DD">
            <w:pPr>
              <w:jc w:val="center"/>
            </w:pPr>
          </w:p>
        </w:tc>
      </w:tr>
      <w:tr w14:paraId="5C9EE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62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11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9FC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CBBF">
            <w:pPr>
              <w:jc w:val="center"/>
            </w:pPr>
            <w:r>
              <w:rPr>
                <w:rFonts w:ascii="宋体" w:hAnsi="宋体" w:eastAsia="宋体"/>
                <w:sz w:val="16"/>
              </w:rPr>
              <w:t>学校保安出勤率（%）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F2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E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342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9B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4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80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28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DE3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3C29">
            <w:pPr>
              <w:jc w:val="center"/>
            </w:pPr>
          </w:p>
        </w:tc>
      </w:tr>
      <w:tr w14:paraId="7AC80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8A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9B2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A2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1662">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4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F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3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D0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1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5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6D76">
            <w:pPr>
              <w:jc w:val="center"/>
            </w:pPr>
            <w:r>
              <w:rPr>
                <w:rFonts w:ascii="宋体" w:hAnsi="宋体" w:eastAsia="宋体"/>
                <w:sz w:val="16"/>
              </w:rPr>
              <w:t>=86.9%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3152">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517CF">
            <w:pPr>
              <w:jc w:val="center"/>
            </w:pPr>
            <w:r>
              <w:rPr>
                <w:rFonts w:ascii="宋体" w:hAnsi="宋体" w:eastAsia="宋体"/>
                <w:sz w:val="16"/>
              </w:rPr>
              <w:t>偏差原因：保安人员变动情况较大(2月3月有保安人员离职，5月有新保安入职）；改进措施：完善保安人员管理方案；</w:t>
            </w:r>
          </w:p>
        </w:tc>
      </w:tr>
      <w:tr w14:paraId="0202D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21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5C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8F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300A">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8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F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3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8C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E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73AE">
            <w:pPr>
              <w:jc w:val="center"/>
            </w:pPr>
            <w:r>
              <w:rPr>
                <w:rFonts w:ascii="宋体" w:hAnsi="宋体" w:eastAsia="宋体"/>
                <w:sz w:val="16"/>
              </w:rPr>
              <w:t>=86.9%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16FD">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4FC47">
            <w:pPr>
              <w:jc w:val="center"/>
            </w:pPr>
            <w:r>
              <w:rPr>
                <w:rFonts w:ascii="宋体" w:hAnsi="宋体" w:eastAsia="宋体"/>
                <w:sz w:val="16"/>
              </w:rPr>
              <w:t>偏差原因：保安人员变动情况较大(2月3月有保安人员离职，5月有新保安入职）；改进措施：完善保安人员管理方案；</w:t>
            </w:r>
          </w:p>
        </w:tc>
      </w:tr>
      <w:tr w14:paraId="1D056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2C4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E31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9F1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FB6B">
            <w:pPr>
              <w:jc w:val="center"/>
            </w:pPr>
            <w:r>
              <w:rPr>
                <w:rFonts w:ascii="宋体" w:hAnsi="宋体" w:eastAsia="宋体"/>
                <w:sz w:val="16"/>
              </w:rPr>
              <w:t>人员工资标准（万元）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8253">
            <w:pPr>
              <w:jc w:val="center"/>
            </w:pPr>
            <w:r>
              <w:rPr>
                <w:rFonts w:ascii="宋体" w:hAnsi="宋体" w:eastAsia="宋体"/>
                <w:sz w:val="16"/>
              </w:rPr>
              <w:t>&lt;=9.47万元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5A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5B5B">
            <w:pPr>
              <w:jc w:val="center"/>
            </w:pPr>
            <w:r>
              <w:rPr>
                <w:rFonts w:ascii="宋体" w:hAnsi="宋体" w:eastAsia="宋体"/>
                <w:sz w:val="16"/>
              </w:rPr>
              <w:t>9.34万元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7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E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DA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558F">
            <w:pPr>
              <w:jc w:val="center"/>
            </w:pPr>
            <w:r>
              <w:rPr>
                <w:rFonts w:ascii="宋体" w:hAnsi="宋体" w:eastAsia="宋体"/>
                <w:sz w:val="16"/>
              </w:rPr>
              <w:t>=8.31万元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82F6">
            <w:pPr>
              <w:jc w:val="center"/>
            </w:pPr>
            <w:r>
              <w:rPr>
                <w:rFonts w:ascii="宋体" w:hAnsi="宋体" w:eastAsia="宋体"/>
                <w:sz w:val="16"/>
              </w:rPr>
              <w:t>6.94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2A7A2">
            <w:pPr>
              <w:jc w:val="center"/>
            </w:pPr>
            <w:r>
              <w:rPr>
                <w:rFonts w:ascii="宋体" w:hAnsi="宋体" w:eastAsia="宋体"/>
                <w:sz w:val="16"/>
              </w:rPr>
              <w:t>偏差原因：2月3月有保安人员离职，5月有新保安入职；改进措施：完善保安人员管理方案；</w:t>
            </w:r>
          </w:p>
        </w:tc>
      </w:tr>
      <w:tr w14:paraId="65158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BC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82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C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FFB6">
            <w:pPr>
              <w:jc w:val="center"/>
            </w:pPr>
            <w:r>
              <w:rPr>
                <w:rFonts w:ascii="宋体" w:hAnsi="宋体" w:eastAsia="宋体"/>
                <w:sz w:val="16"/>
              </w:rPr>
              <w:t>保险费（万元）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6785">
            <w:pPr>
              <w:jc w:val="center"/>
            </w:pPr>
            <w:r>
              <w:rPr>
                <w:rFonts w:ascii="宋体" w:hAnsi="宋体" w:eastAsia="宋体"/>
                <w:sz w:val="16"/>
              </w:rPr>
              <w:t>&lt;=0.09万元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96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E6B7">
            <w:pPr>
              <w:jc w:val="center"/>
            </w:pPr>
            <w:r>
              <w:rPr>
                <w:rFonts w:ascii="宋体" w:hAnsi="宋体" w:eastAsia="宋体"/>
                <w:sz w:val="16"/>
              </w:rPr>
              <w:t>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4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C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58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9D4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2E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E6A54">
            <w:pPr>
              <w:jc w:val="center"/>
            </w:pPr>
            <w:r>
              <w:rPr>
                <w:rFonts w:ascii="宋体" w:hAnsi="宋体" w:eastAsia="宋体"/>
                <w:sz w:val="16"/>
              </w:rPr>
              <w:t>偏差原因：保险费由办公费支付；改进措施：完善方案提高项目资金使用效益。</w:t>
            </w:r>
          </w:p>
        </w:tc>
      </w:tr>
      <w:tr w14:paraId="2D3BB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AF4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BDB5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B4C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667A">
            <w:pPr>
              <w:jc w:val="center"/>
            </w:pPr>
            <w:r>
              <w:rPr>
                <w:rFonts w:ascii="宋体" w:hAnsi="宋体" w:eastAsia="宋体"/>
                <w:sz w:val="16"/>
              </w:rPr>
              <w:t>保障校园安全，提升校园安防力量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74D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B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665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64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1A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65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555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32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CC86A">
            <w:pPr>
              <w:jc w:val="center"/>
            </w:pPr>
          </w:p>
        </w:tc>
      </w:tr>
      <w:tr w14:paraId="394EC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E4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FE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60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5F9F">
            <w:pPr>
              <w:jc w:val="center"/>
            </w:pPr>
            <w:r>
              <w:rPr>
                <w:rFonts w:ascii="宋体" w:hAnsi="宋体" w:eastAsia="宋体"/>
                <w:sz w:val="16"/>
              </w:rPr>
              <w:t>满足校园安保需求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25A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50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F1CD">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2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DD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5A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E7A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DD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67DEE">
            <w:pPr>
              <w:jc w:val="center"/>
            </w:pPr>
          </w:p>
        </w:tc>
      </w:tr>
      <w:tr w14:paraId="2FC89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454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CE5C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A4B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369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FC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B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F88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DA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78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61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4A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B1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E1919">
            <w:pPr>
              <w:jc w:val="center"/>
            </w:pPr>
          </w:p>
        </w:tc>
      </w:tr>
      <w:tr w14:paraId="5EAD3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23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06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09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107D">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F1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F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00A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41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C2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A8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D2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57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0A52A">
            <w:pPr>
              <w:jc w:val="center"/>
            </w:pPr>
          </w:p>
        </w:tc>
      </w:tr>
      <w:tr w14:paraId="7CA76C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39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4C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CA6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6E30C2">
            <w:pPr>
              <w:jc w:val="center"/>
            </w:pPr>
            <w:r>
              <w:rPr>
                <w:rFonts w:ascii="宋体" w:hAnsi="宋体" w:eastAsia="宋体"/>
                <w:sz w:val="16"/>
              </w:rPr>
              <w:t>78.43分</w:t>
            </w:r>
          </w:p>
        </w:tc>
      </w:tr>
    </w:tbl>
    <w:p w14:paraId="7C3DD4F5">
      <w:r>
        <w:br w:type="page"/>
      </w:r>
    </w:p>
    <w:p w14:paraId="1115801F">
      <w:pPr>
        <w:spacing w:line="640" w:lineRule="exact"/>
        <w:ind w:firstLine="640"/>
        <w:jc w:val="both"/>
        <w:outlineLvl w:val="2"/>
      </w:pPr>
      <w:r>
        <w:rPr>
          <w:rFonts w:ascii="黑体" w:hAnsi="黑体" w:eastAsia="黑体"/>
          <w:sz w:val="32"/>
        </w:rPr>
        <w:t>十二、其他需说明的事项</w:t>
      </w:r>
    </w:p>
    <w:p w14:paraId="0B064F0C">
      <w:pPr>
        <w:spacing w:line="580" w:lineRule="exact"/>
        <w:ind w:firstLine="640"/>
        <w:jc w:val="both"/>
      </w:pPr>
      <w:r>
        <w:rPr>
          <w:rFonts w:ascii="仿宋_GB2312" w:hAnsi="仿宋_GB2312" w:eastAsia="仿宋_GB2312"/>
          <w:b w:val="0"/>
          <w:sz w:val="32"/>
        </w:rPr>
        <w:t>本单位无其他需说明的事项。</w:t>
      </w:r>
    </w:p>
    <w:p w14:paraId="79987675">
      <w:r>
        <w:br w:type="page"/>
      </w:r>
    </w:p>
    <w:p w14:paraId="2F28E71A">
      <w:pPr>
        <w:spacing w:line="240" w:lineRule="auto"/>
        <w:jc w:val="center"/>
        <w:outlineLvl w:val="1"/>
      </w:pPr>
      <w:r>
        <w:rPr>
          <w:rFonts w:ascii="黑体" w:hAnsi="黑体" w:eastAsia="黑体"/>
          <w:sz w:val="32"/>
        </w:rPr>
        <w:t>第三部分 专业名词解释</w:t>
      </w:r>
    </w:p>
    <w:p w14:paraId="1D32BA6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BA5010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C4A69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DEF92A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C2DB5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D95EA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F84D85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AFCB1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C633B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C5608F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3DB85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3C015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DC955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A8D8B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6DEE9F">
      <w:r>
        <w:br w:type="page"/>
      </w:r>
    </w:p>
    <w:p w14:paraId="35EF57EE">
      <w:pPr>
        <w:spacing w:line="240" w:lineRule="auto"/>
        <w:jc w:val="center"/>
        <w:outlineLvl w:val="1"/>
      </w:pPr>
      <w:r>
        <w:rPr>
          <w:rFonts w:ascii="黑体" w:hAnsi="黑体" w:eastAsia="黑体"/>
          <w:sz w:val="32"/>
        </w:rPr>
        <w:t>第四部分 部门决算报表（见附表）</w:t>
      </w:r>
    </w:p>
    <w:p w14:paraId="7C0DAF1D">
      <w:pPr>
        <w:spacing w:line="240" w:lineRule="auto"/>
        <w:ind w:firstLine="640"/>
        <w:jc w:val="both"/>
      </w:pPr>
      <w:r>
        <w:rPr>
          <w:rFonts w:ascii="仿宋_GB2312" w:hAnsi="仿宋_GB2312" w:eastAsia="仿宋_GB2312"/>
          <w:b w:val="0"/>
          <w:sz w:val="32"/>
        </w:rPr>
        <w:t>一、《收入支出决算总表》</w:t>
      </w:r>
    </w:p>
    <w:p w14:paraId="7C13D337">
      <w:pPr>
        <w:spacing w:line="240" w:lineRule="auto"/>
        <w:ind w:firstLine="640"/>
        <w:jc w:val="both"/>
      </w:pPr>
      <w:r>
        <w:rPr>
          <w:rFonts w:ascii="仿宋_GB2312" w:hAnsi="仿宋_GB2312" w:eastAsia="仿宋_GB2312"/>
          <w:b w:val="0"/>
          <w:sz w:val="32"/>
        </w:rPr>
        <w:t>二、《收入决算表》</w:t>
      </w:r>
    </w:p>
    <w:p w14:paraId="132E795F">
      <w:pPr>
        <w:spacing w:line="240" w:lineRule="auto"/>
        <w:ind w:firstLine="640"/>
        <w:jc w:val="both"/>
      </w:pPr>
      <w:r>
        <w:rPr>
          <w:rFonts w:ascii="仿宋_GB2312" w:hAnsi="仿宋_GB2312" w:eastAsia="仿宋_GB2312"/>
          <w:b w:val="0"/>
          <w:sz w:val="32"/>
        </w:rPr>
        <w:t>三、《支出决算表》</w:t>
      </w:r>
    </w:p>
    <w:p w14:paraId="7DD7AE78">
      <w:pPr>
        <w:spacing w:line="240" w:lineRule="auto"/>
        <w:ind w:firstLine="640"/>
        <w:jc w:val="both"/>
      </w:pPr>
      <w:r>
        <w:rPr>
          <w:rFonts w:ascii="仿宋_GB2312" w:hAnsi="仿宋_GB2312" w:eastAsia="仿宋_GB2312"/>
          <w:b w:val="0"/>
          <w:sz w:val="32"/>
        </w:rPr>
        <w:t>四、《财政拨款收入支出决算总表》</w:t>
      </w:r>
    </w:p>
    <w:p w14:paraId="65C0ACEE">
      <w:pPr>
        <w:spacing w:line="240" w:lineRule="auto"/>
        <w:ind w:firstLine="640"/>
        <w:jc w:val="both"/>
      </w:pPr>
      <w:r>
        <w:rPr>
          <w:rFonts w:ascii="仿宋_GB2312" w:hAnsi="仿宋_GB2312" w:eastAsia="仿宋_GB2312"/>
          <w:b w:val="0"/>
          <w:sz w:val="32"/>
        </w:rPr>
        <w:t>五、《一般公共预算财政拨款支出决算表》</w:t>
      </w:r>
    </w:p>
    <w:p w14:paraId="78E25CCD">
      <w:pPr>
        <w:spacing w:line="240" w:lineRule="auto"/>
        <w:ind w:firstLine="640"/>
        <w:jc w:val="both"/>
      </w:pPr>
      <w:r>
        <w:rPr>
          <w:rFonts w:ascii="仿宋_GB2312" w:hAnsi="仿宋_GB2312" w:eastAsia="仿宋_GB2312"/>
          <w:b w:val="0"/>
          <w:sz w:val="32"/>
        </w:rPr>
        <w:t>六、《一般公共预算财政拨款基本支出决算表》</w:t>
      </w:r>
    </w:p>
    <w:p w14:paraId="5070ADC6">
      <w:pPr>
        <w:spacing w:line="240" w:lineRule="auto"/>
        <w:ind w:firstLine="640"/>
        <w:jc w:val="both"/>
      </w:pPr>
      <w:r>
        <w:rPr>
          <w:rFonts w:ascii="仿宋_GB2312" w:hAnsi="仿宋_GB2312" w:eastAsia="仿宋_GB2312"/>
          <w:b w:val="0"/>
          <w:sz w:val="32"/>
        </w:rPr>
        <w:t>七、《政府性基金预算财政拨款收入支出决算表》</w:t>
      </w:r>
    </w:p>
    <w:p w14:paraId="065565BB">
      <w:pPr>
        <w:spacing w:line="240" w:lineRule="auto"/>
        <w:ind w:firstLine="640"/>
        <w:jc w:val="both"/>
      </w:pPr>
      <w:r>
        <w:rPr>
          <w:rFonts w:ascii="仿宋_GB2312" w:hAnsi="仿宋_GB2312" w:eastAsia="仿宋_GB2312"/>
          <w:b w:val="0"/>
          <w:sz w:val="32"/>
        </w:rPr>
        <w:t>八、《国有资本经营预算财政拨款收入支出决算表》</w:t>
      </w:r>
    </w:p>
    <w:p w14:paraId="105A5DE7">
      <w:pPr>
        <w:spacing w:line="240" w:lineRule="auto"/>
        <w:ind w:firstLine="640"/>
        <w:jc w:val="both"/>
      </w:pPr>
      <w:r>
        <w:rPr>
          <w:rFonts w:ascii="仿宋_GB2312" w:hAnsi="仿宋_GB2312" w:eastAsia="仿宋_GB2312"/>
          <w:b w:val="0"/>
          <w:sz w:val="32"/>
        </w:rPr>
        <w:t>九、《财政拨款“三公”经费支出决算表》</w:t>
      </w:r>
    </w:p>
    <w:p w14:paraId="1778B277">
      <w:pPr>
        <w:spacing w:line="240" w:lineRule="auto"/>
        <w:ind w:firstLine="640"/>
        <w:jc w:val="both"/>
      </w:pPr>
    </w:p>
    <w:p w14:paraId="375A991A">
      <w:pPr>
        <w:spacing w:line="240" w:lineRule="auto"/>
        <w:ind w:firstLine="640"/>
        <w:jc w:val="both"/>
      </w:pPr>
    </w:p>
    <w:p w14:paraId="132AAFBF">
      <w:pPr>
        <w:spacing w:line="240" w:lineRule="auto"/>
        <w:ind w:firstLine="640"/>
        <w:jc w:val="both"/>
      </w:pPr>
    </w:p>
    <w:p w14:paraId="22FD8EFC">
      <w:pPr>
        <w:spacing w:line="240" w:lineRule="auto"/>
        <w:ind w:firstLine="640"/>
        <w:jc w:val="both"/>
      </w:pPr>
    </w:p>
    <w:p w14:paraId="27B5EF9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9001B9-C3F0-4B5F-9624-E626549970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DFDB69D-9AE6-43C5-9F4B-9007A69914E7}"/>
  </w:font>
  <w:font w:name="仿宋_GB2312">
    <w:panose1 w:val="02010609030101010101"/>
    <w:charset w:val="86"/>
    <w:family w:val="modern"/>
    <w:pitch w:val="default"/>
    <w:sig w:usb0="00000001" w:usb1="080E0000" w:usb2="00000000" w:usb3="00000000" w:csb0="00040000" w:csb1="00000000"/>
    <w:embedRegular r:id="rId3" w:fontKey="{2A41F3F9-CC56-455C-B68E-E1697FF3E6D8}"/>
  </w:font>
  <w:font w:name="楷体_GB2312">
    <w:panose1 w:val="02010609030101010101"/>
    <w:charset w:val="86"/>
    <w:family w:val="auto"/>
    <w:pitch w:val="default"/>
    <w:sig w:usb0="00000001" w:usb1="080E0000" w:usb2="00000000" w:usb3="00000000" w:csb0="00040000" w:csb1="00000000"/>
    <w:embedRegular r:id="rId4" w:fontKey="{0C9258F4-5742-4766-9D41-3416BCFBBDF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2560EE"/>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4A69CC"/>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4652</Words>
  <Characters>5358</Characters>
  <Lines>0</Lines>
  <Paragraphs>0</Paragraphs>
  <TotalTime>40</TotalTime>
  <ScaleCrop>false</ScaleCrop>
  <LinksUpToDate>false</LinksUpToDate>
  <CharactersWithSpaces>5366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2025-09-02T03:59:34Z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