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克孜勒苏柯尔克孜自治州农村合作经济发展指导中心2024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B7B074">
      <w:r>
        <w:br w:type="page"/>
      </w:r>
    </w:p>
    <w:p w14:paraId="6B058362">
      <w:pPr>
        <w:spacing w:line="640" w:lineRule="exact"/>
        <w:jc w:val="center"/>
        <w:outlineLvl w:val="1"/>
      </w:pPr>
      <w:r>
        <w:rPr>
          <w:rFonts w:ascii="黑体" w:hAnsi="黑体" w:eastAsia="黑体"/>
          <w:sz w:val="32"/>
        </w:rPr>
        <w:t>第一部分 单位概况</w:t>
      </w:r>
    </w:p>
    <w:p w14:paraId="3224FF02">
      <w:pPr>
        <w:spacing w:line="640" w:lineRule="exact"/>
        <w:ind w:firstLine="640"/>
        <w:jc w:val="both"/>
        <w:outlineLvl w:val="2"/>
      </w:pPr>
      <w:r>
        <w:rPr>
          <w:rFonts w:ascii="黑体" w:hAnsi="黑体" w:eastAsia="黑体"/>
          <w:sz w:val="32"/>
        </w:rPr>
        <w:t>一、主要职能</w:t>
      </w:r>
    </w:p>
    <w:p w14:paraId="2F9570C7">
      <w:pPr>
        <w:spacing w:line="580" w:lineRule="exact"/>
        <w:ind w:firstLine="640"/>
        <w:jc w:val="both"/>
      </w:pPr>
      <w:r>
        <w:rPr>
          <w:rFonts w:ascii="仿宋_GB2312" w:hAnsi="仿宋_GB2312" w:eastAsia="仿宋_GB2312"/>
          <w:sz w:val="32"/>
        </w:rPr>
        <w:t>农村合作经济统计和农产品成本核算，农经统计是对国民经济和社会稳定情况进行调查、统计分析，提供统计资料，实行统计监督。农村集体经济组织的资产管理、财务管理、会计核算、审计监督、清产核资、村务公开等一系列</w:t>
      </w:r>
      <w:r>
        <w:rPr>
          <w:rFonts w:hint="eastAsia" w:ascii="仿宋_GB2312" w:hAnsi="仿宋_GB2312" w:eastAsia="仿宋_GB2312"/>
          <w:sz w:val="32"/>
          <w:lang w:eastAsia="zh-CN"/>
        </w:rPr>
        <w:t>工作</w:t>
      </w:r>
      <w:r>
        <w:rPr>
          <w:rFonts w:ascii="仿宋_GB2312" w:hAnsi="仿宋_GB2312" w:eastAsia="仿宋_GB2312"/>
          <w:sz w:val="32"/>
        </w:rPr>
        <w:t>，发展壮大农村集体经济、保护农民合法权益，防止农村集体资产流失的农村资产管理工作。负责农牧民负担监督，进行减轻农牧民负担执法大检查和专项治理工作，会同有关部门审核涉及农民负担的文件，协助有关机关处理涉及农民负担的案件，维护农民的正当权益。负责农村土地承包的合同管理、调处农村土地承包纠纷、做好延长土地承包期后续完善工作、维护农民土地承包经营权益和土地承包经营权的合理流转，正确引导农牧民进行土地承包经营权的流转。加快农民专业合作社的健康、有序发展，示范引导，着力提高农民组织化程度，增强农产品市场竞争力，促进农民增收和农村经济文化又好又快发展，做好相关指导、扶持和服务工作，推动克州新农村建设。</w:t>
      </w:r>
    </w:p>
    <w:p w14:paraId="55B5B061">
      <w:pPr>
        <w:spacing w:line="640" w:lineRule="exact"/>
        <w:ind w:firstLine="640"/>
        <w:jc w:val="both"/>
        <w:outlineLvl w:val="2"/>
      </w:pPr>
      <w:r>
        <w:rPr>
          <w:rFonts w:ascii="黑体" w:hAnsi="黑体" w:eastAsia="黑体"/>
          <w:sz w:val="32"/>
        </w:rPr>
        <w:t>二、机构设置及人员情况</w:t>
      </w:r>
    </w:p>
    <w:p w14:paraId="3488531F">
      <w:pPr>
        <w:spacing w:line="580" w:lineRule="exact"/>
        <w:ind w:firstLine="640"/>
        <w:jc w:val="both"/>
      </w:pPr>
      <w:r>
        <w:rPr>
          <w:rFonts w:ascii="仿宋_GB2312" w:hAnsi="仿宋_GB2312" w:eastAsia="仿宋_GB2312"/>
          <w:sz w:val="32"/>
        </w:rPr>
        <w:t>克孜勒苏柯尔克孜自治州农村合作经济发展指导中心2024年度，实有人数27人，其中：在职人员20人，增加0人；离休人员0人，增加0人；退休人员7人,增加0人。</w:t>
      </w:r>
    </w:p>
    <w:p w14:paraId="42150E5F">
      <w:pPr>
        <w:spacing w:line="580" w:lineRule="exact"/>
        <w:ind w:firstLine="640"/>
        <w:jc w:val="both"/>
      </w:pPr>
      <w:r>
        <w:rPr>
          <w:rFonts w:ascii="仿宋_GB2312" w:hAnsi="仿宋_GB2312" w:eastAsia="仿宋_GB2312"/>
          <w:sz w:val="32"/>
        </w:rPr>
        <w:t>克孜勒苏柯尔克孜自治州农村合作经济发展指导中心无下属预算单位，下设6个科室，分别是：办公室、农村资产管理财务审计科、农村经济统计科、农民负担监督管理科、农村土地承包管理科、农民专业合作社指导服务中心。</w:t>
      </w:r>
    </w:p>
    <w:p w14:paraId="4DBB621A">
      <w:r>
        <w:br w:type="page"/>
      </w:r>
    </w:p>
    <w:p w14:paraId="0DA2336B">
      <w:pPr>
        <w:spacing w:line="240" w:lineRule="auto"/>
        <w:jc w:val="center"/>
        <w:outlineLvl w:val="1"/>
      </w:pPr>
      <w:r>
        <w:rPr>
          <w:rFonts w:ascii="黑体" w:hAnsi="黑体" w:eastAsia="黑体"/>
          <w:sz w:val="32"/>
        </w:rPr>
        <w:t>第二部分 部门决算情况说明</w:t>
      </w:r>
    </w:p>
    <w:p w14:paraId="59FFDD45">
      <w:pPr>
        <w:spacing w:line="640" w:lineRule="exact"/>
        <w:ind w:firstLine="640"/>
        <w:jc w:val="both"/>
        <w:outlineLvl w:val="2"/>
      </w:pPr>
      <w:r>
        <w:rPr>
          <w:rFonts w:ascii="黑体" w:hAnsi="黑体" w:eastAsia="黑体"/>
          <w:sz w:val="32"/>
        </w:rPr>
        <w:t>一、收入支出决算总体情况说明</w:t>
      </w:r>
    </w:p>
    <w:p w14:paraId="54FFF1B6">
      <w:pPr>
        <w:spacing w:line="580" w:lineRule="exact"/>
        <w:ind w:firstLine="640"/>
        <w:jc w:val="both"/>
      </w:pPr>
      <w:r>
        <w:rPr>
          <w:rFonts w:ascii="仿宋_GB2312" w:hAnsi="仿宋_GB2312" w:eastAsia="仿宋_GB2312"/>
          <w:b/>
          <w:sz w:val="32"/>
        </w:rPr>
        <w:t>2024年度收入总计433.75万元，</w:t>
      </w:r>
      <w:r>
        <w:rPr>
          <w:rFonts w:ascii="仿宋_GB2312" w:hAnsi="仿宋_GB2312" w:eastAsia="仿宋_GB2312"/>
          <w:b w:val="0"/>
          <w:sz w:val="32"/>
        </w:rPr>
        <w:t>其中：本年收入合计433.75万元，使用非财政拨款结余（含专用结余）0.00万元，年初结转和结余0.00万元。</w:t>
      </w:r>
    </w:p>
    <w:p w14:paraId="09DB777A">
      <w:pPr>
        <w:spacing w:line="580" w:lineRule="exact"/>
        <w:ind w:firstLine="640"/>
        <w:jc w:val="both"/>
      </w:pPr>
      <w:r>
        <w:rPr>
          <w:rFonts w:ascii="仿宋_GB2312" w:hAnsi="仿宋_GB2312" w:eastAsia="仿宋_GB2312"/>
          <w:b/>
          <w:sz w:val="32"/>
        </w:rPr>
        <w:t>2024年度支出总计433.75万元，</w:t>
      </w:r>
      <w:r>
        <w:rPr>
          <w:rFonts w:ascii="仿宋_GB2312" w:hAnsi="仿宋_GB2312" w:eastAsia="仿宋_GB2312"/>
          <w:b w:val="0"/>
          <w:sz w:val="32"/>
        </w:rPr>
        <w:t>其中：本年支出合计433.75万元，结余分配0.00万元，年末结转和结余0.00万元。</w:t>
      </w:r>
    </w:p>
    <w:p w14:paraId="0D00E420">
      <w:pPr>
        <w:spacing w:line="580" w:lineRule="exact"/>
        <w:ind w:firstLine="640"/>
        <w:jc w:val="both"/>
      </w:pPr>
      <w:r>
        <w:rPr>
          <w:rFonts w:ascii="仿宋_GB2312" w:hAnsi="仿宋_GB2312" w:eastAsia="仿宋_GB2312"/>
          <w:b w:val="0"/>
          <w:sz w:val="32"/>
        </w:rPr>
        <w:t>收入支出总体与上年相比，增加48.56万元，增长12.61%，主要原因是：本年在职人员工资调增，社保、公积金基数调增，人员经费增加。</w:t>
      </w:r>
    </w:p>
    <w:p w14:paraId="2F884BFB">
      <w:pPr>
        <w:spacing w:line="640" w:lineRule="exact"/>
        <w:ind w:firstLine="640"/>
        <w:jc w:val="both"/>
        <w:outlineLvl w:val="2"/>
      </w:pPr>
      <w:r>
        <w:rPr>
          <w:rFonts w:ascii="黑体" w:hAnsi="黑体" w:eastAsia="黑体"/>
          <w:sz w:val="32"/>
        </w:rPr>
        <w:t>二、收入决算情况说明</w:t>
      </w:r>
    </w:p>
    <w:p w14:paraId="47740E99">
      <w:pPr>
        <w:spacing w:line="580" w:lineRule="exact"/>
        <w:ind w:firstLine="640"/>
        <w:jc w:val="both"/>
      </w:pPr>
      <w:r>
        <w:rPr>
          <w:rFonts w:ascii="仿宋_GB2312" w:hAnsi="仿宋_GB2312" w:eastAsia="仿宋_GB2312"/>
          <w:b/>
          <w:sz w:val="32"/>
        </w:rPr>
        <w:t>本年收入433.75万元，</w:t>
      </w:r>
      <w:r>
        <w:rPr>
          <w:rFonts w:ascii="仿宋_GB2312" w:hAnsi="仿宋_GB2312" w:eastAsia="仿宋_GB2312"/>
          <w:b w:val="0"/>
          <w:sz w:val="32"/>
        </w:rPr>
        <w:t>其中：财政拨款收入433.75万元，占100.00%；上级补助收入0.00万元，占0.00%；事业收入0.00万元，占0.00%；经营收入0.00万元，占0.00%；附属单位上缴收入0.00万元，占0.00%；其他收入0.00万元，占0.00%。</w:t>
      </w:r>
    </w:p>
    <w:p w14:paraId="2FFC9384">
      <w:pPr>
        <w:spacing w:line="640" w:lineRule="exact"/>
        <w:ind w:firstLine="640"/>
        <w:jc w:val="both"/>
        <w:outlineLvl w:val="2"/>
      </w:pPr>
      <w:r>
        <w:rPr>
          <w:rFonts w:ascii="黑体" w:hAnsi="黑体" w:eastAsia="黑体"/>
          <w:sz w:val="32"/>
        </w:rPr>
        <w:t>三、支出决算情况说明</w:t>
      </w:r>
    </w:p>
    <w:p w14:paraId="7378662D">
      <w:pPr>
        <w:spacing w:line="580" w:lineRule="exact"/>
        <w:ind w:firstLine="640"/>
        <w:jc w:val="both"/>
      </w:pPr>
      <w:r>
        <w:rPr>
          <w:rFonts w:ascii="仿宋_GB2312" w:hAnsi="仿宋_GB2312" w:eastAsia="仿宋_GB2312"/>
          <w:b/>
          <w:sz w:val="32"/>
        </w:rPr>
        <w:t>本年支出433.75万元，</w:t>
      </w:r>
      <w:r>
        <w:rPr>
          <w:rFonts w:ascii="仿宋_GB2312" w:hAnsi="仿宋_GB2312" w:eastAsia="仿宋_GB2312"/>
          <w:b w:val="0"/>
          <w:sz w:val="32"/>
        </w:rPr>
        <w:t>其中：基本支出398.86万元，占91.96%；项目支出34.89万元，占8.04%；上缴上级支出0.00万元，占0.00%；经营支出0.00万元，占0.00%；对附属单位补助支出0.00万元，占0.00%。</w:t>
      </w:r>
    </w:p>
    <w:p w14:paraId="06B1B8EF">
      <w:pPr>
        <w:spacing w:line="640" w:lineRule="exact"/>
        <w:ind w:firstLine="640"/>
        <w:jc w:val="both"/>
        <w:outlineLvl w:val="2"/>
      </w:pPr>
      <w:r>
        <w:rPr>
          <w:rFonts w:ascii="黑体" w:hAnsi="黑体" w:eastAsia="黑体"/>
          <w:sz w:val="32"/>
        </w:rPr>
        <w:t>四、财政拨款收入支出决算总体情况说明</w:t>
      </w:r>
    </w:p>
    <w:p w14:paraId="07E07E2C">
      <w:pPr>
        <w:spacing w:line="580" w:lineRule="exact"/>
        <w:ind w:firstLine="640"/>
        <w:jc w:val="both"/>
      </w:pPr>
      <w:r>
        <w:rPr>
          <w:rFonts w:ascii="仿宋_GB2312" w:hAnsi="仿宋_GB2312" w:eastAsia="仿宋_GB2312"/>
          <w:b/>
          <w:sz w:val="32"/>
        </w:rPr>
        <w:t>2024年度财政拨款收入总计433.75万元，</w:t>
      </w:r>
      <w:r>
        <w:rPr>
          <w:rFonts w:ascii="仿宋_GB2312" w:hAnsi="仿宋_GB2312" w:eastAsia="仿宋_GB2312"/>
          <w:b w:val="0"/>
          <w:sz w:val="32"/>
        </w:rPr>
        <w:t>其中：年初财政拨款结转和结余0.00万元，本年财政拨款收入433.75万元。</w:t>
      </w:r>
      <w:r>
        <w:rPr>
          <w:rFonts w:ascii="仿宋_GB2312" w:hAnsi="仿宋_GB2312" w:eastAsia="仿宋_GB2312"/>
          <w:b/>
          <w:sz w:val="32"/>
        </w:rPr>
        <w:t>财政拨款支出总计433.75万元，</w:t>
      </w:r>
      <w:r>
        <w:rPr>
          <w:rFonts w:ascii="仿宋_GB2312" w:hAnsi="仿宋_GB2312" w:eastAsia="仿宋_GB2312"/>
          <w:b w:val="0"/>
          <w:sz w:val="32"/>
        </w:rPr>
        <w:t>其中：年末财政拨款结转和结余0.00万元，本年财政拨款支出433.75万元。</w:t>
      </w:r>
    </w:p>
    <w:p w14:paraId="28CC8DF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增加48.58万元，增长12.61%，主要原因是：本年在职人员工资调增，社保、公积金基数调增，人员经费增加。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年初预算数409.91万元，决算数433.75万元，预决算差异率5.82%，主要原因是：年中追加人员工资、社保、公积金基数调增部分资金，导致预决算存在差异。</w:t>
      </w:r>
    </w:p>
    <w:p w14:paraId="563CA256">
      <w:pPr>
        <w:spacing w:line="640" w:lineRule="exact"/>
        <w:ind w:firstLine="640"/>
        <w:jc w:val="both"/>
        <w:outlineLvl w:val="2"/>
      </w:pPr>
      <w:r>
        <w:rPr>
          <w:rFonts w:ascii="黑体" w:hAnsi="黑体" w:eastAsia="黑体"/>
          <w:sz w:val="32"/>
        </w:rPr>
        <w:t>五、一般公共预算财政拨款支出决算情况说明</w:t>
      </w:r>
    </w:p>
    <w:p w14:paraId="21434FAB">
      <w:pPr>
        <w:spacing w:line="640" w:lineRule="exact"/>
        <w:ind w:firstLine="640"/>
        <w:jc w:val="both"/>
        <w:outlineLvl w:val="3"/>
      </w:pPr>
      <w:r>
        <w:rPr>
          <w:rFonts w:ascii="楷体_GB2312" w:hAnsi="楷体_GB2312" w:eastAsia="楷体_GB2312"/>
          <w:b/>
          <w:sz w:val="32"/>
        </w:rPr>
        <w:t>（一）一般公共预算财政拨款支出决算总体情况</w:t>
      </w:r>
    </w:p>
    <w:p w14:paraId="3C9DA109">
      <w:pPr>
        <w:spacing w:line="580" w:lineRule="exact"/>
        <w:ind w:firstLine="640"/>
        <w:jc w:val="both"/>
      </w:pPr>
      <w:r>
        <w:rPr>
          <w:rFonts w:ascii="仿宋_GB2312" w:hAnsi="仿宋_GB2312" w:eastAsia="仿宋_GB2312"/>
          <w:b/>
          <w:sz w:val="32"/>
        </w:rPr>
        <w:t>2024年度一般公共预算财政拨款支出433.75万元，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增加48.58万元，增长12.61%，主要原因是：本年在职人员工资调增，社保、公积金基数调增，人员经费增加。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年初预算数409.91万元，决算数433.75万元，预决算差异率5.82%，主要原因是：年中追加人员工资、社保、公积金基数调增部分资金，导致预决算存在差异。</w:t>
      </w:r>
    </w:p>
    <w:p w14:paraId="0D66F7B5">
      <w:pPr>
        <w:spacing w:line="640" w:lineRule="exact"/>
        <w:ind w:firstLine="640"/>
        <w:jc w:val="both"/>
        <w:outlineLvl w:val="3"/>
      </w:pPr>
      <w:r>
        <w:rPr>
          <w:rFonts w:ascii="楷体_GB2312" w:hAnsi="楷体_GB2312" w:eastAsia="楷体_GB2312"/>
          <w:b/>
          <w:sz w:val="32"/>
        </w:rPr>
        <w:t>（二）一般公共预算财政拨款支出决算结构情况</w:t>
      </w:r>
    </w:p>
    <w:p w14:paraId="0B496365">
      <w:pPr>
        <w:spacing w:line="580" w:lineRule="exact"/>
        <w:ind w:firstLine="640"/>
        <w:jc w:val="both"/>
      </w:pPr>
      <w:r>
        <w:rPr>
          <w:rFonts w:ascii="仿宋_GB2312" w:hAnsi="仿宋_GB2312" w:eastAsia="仿宋_GB2312"/>
          <w:b w:val="0"/>
          <w:sz w:val="32"/>
        </w:rPr>
        <w:t>1.社会保障和就业支出(类)47.39万元,占10.93%。</w:t>
      </w:r>
    </w:p>
    <w:p w14:paraId="37C03DE5">
      <w:pPr>
        <w:spacing w:line="580" w:lineRule="exact"/>
        <w:ind w:firstLine="640"/>
        <w:jc w:val="both"/>
      </w:pPr>
      <w:r>
        <w:rPr>
          <w:rFonts w:ascii="仿宋_GB2312" w:hAnsi="仿宋_GB2312" w:eastAsia="仿宋_GB2312"/>
          <w:b w:val="0"/>
          <w:sz w:val="32"/>
        </w:rPr>
        <w:t>2.农林水支出(类)386.36万元,占89.07%。</w:t>
      </w:r>
    </w:p>
    <w:p w14:paraId="30A1AD6F">
      <w:pPr>
        <w:spacing w:line="640" w:lineRule="exact"/>
        <w:ind w:firstLine="640"/>
        <w:jc w:val="both"/>
        <w:outlineLvl w:val="3"/>
      </w:pPr>
      <w:r>
        <w:rPr>
          <w:rFonts w:ascii="楷体_GB2312" w:hAnsi="楷体_GB2312" w:eastAsia="楷体_GB2312"/>
          <w:b/>
          <w:sz w:val="32"/>
        </w:rPr>
        <w:t>（三）一般公共预算财政拨款支出决算具体情况</w:t>
      </w:r>
    </w:p>
    <w:p w14:paraId="44A3F935">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1.社会保障和就业支出(类)行政事业单位养老支出(款)行政单位离退休(项):支出决算数为11.46万元，比上年决算增加2.14万元，增长22.96%,主要原因是：本年增加退休人员基础绩效奖，退休费支出增加。</w:t>
      </w:r>
    </w:p>
    <w:p w14:paraId="5ADD688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35.94万元，比上年决算增加6.05万元，增长20.24%,主要原因是：本年在职人员工资基数调增，养老缴费基数上涨，相应支出增加。</w:t>
      </w:r>
    </w:p>
    <w:p w14:paraId="3A666706">
      <w:pPr>
        <w:spacing w:line="580" w:lineRule="exact"/>
        <w:ind w:firstLine="640"/>
        <w:jc w:val="both"/>
      </w:pPr>
      <w:r>
        <w:rPr>
          <w:rFonts w:ascii="仿宋_GB2312" w:hAnsi="仿宋_GB2312" w:eastAsia="仿宋_GB2312"/>
          <w:b w:val="0"/>
          <w:sz w:val="32"/>
        </w:rPr>
        <w:t>3.农林水支出(类)农业农村(款)行政运行(项):支出决算数为351.47万元，比上年决算增加38.62万元，增长12.34%,主要原因是：本年在职人员工资调增，导致相关人员经费较上年有所增加。</w:t>
      </w:r>
    </w:p>
    <w:p w14:paraId="0E13D3CB">
      <w:pPr>
        <w:spacing w:line="580" w:lineRule="exact"/>
        <w:ind w:firstLine="640"/>
        <w:jc w:val="both"/>
      </w:pPr>
      <w:r>
        <w:rPr>
          <w:rFonts w:ascii="仿宋_GB2312" w:hAnsi="仿宋_GB2312" w:eastAsia="仿宋_GB2312"/>
          <w:b w:val="0"/>
          <w:sz w:val="32"/>
        </w:rPr>
        <w:t>4.农林水支出(类)农业农村(款)农业生产发展(项):支出决算数为0.00万元，比上年决算减少6.00万元，下降100.00%,主要原因是：本年功能科目调整，农业生产发展资金项目上年在农业生产发展</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列支，本年调整至农村合作经济</w:t>
      </w:r>
      <w:r>
        <w:rPr>
          <w:rFonts w:hint="eastAsia" w:ascii="仿宋_GB2312" w:hAnsi="仿宋_GB2312" w:eastAsia="仿宋_GB2312"/>
          <w:b w:val="0"/>
          <w:sz w:val="32"/>
          <w:lang w:val="en-US" w:eastAsia="zh-CN"/>
        </w:rPr>
        <w:t>科目</w:t>
      </w:r>
      <w:r>
        <w:rPr>
          <w:rFonts w:ascii="仿宋_GB2312" w:hAnsi="仿宋_GB2312" w:eastAsia="仿宋_GB2312"/>
          <w:b w:val="0"/>
          <w:sz w:val="32"/>
        </w:rPr>
        <w:t>，导致经费减少。</w:t>
      </w:r>
    </w:p>
    <w:p w14:paraId="010E627B">
      <w:pPr>
        <w:spacing w:line="580" w:lineRule="exact"/>
        <w:ind w:firstLine="640"/>
        <w:jc w:val="both"/>
      </w:pPr>
      <w:r>
        <w:rPr>
          <w:rFonts w:ascii="仿宋_GB2312" w:hAnsi="仿宋_GB2312" w:eastAsia="仿宋_GB2312"/>
          <w:b w:val="0"/>
          <w:sz w:val="32"/>
        </w:rPr>
        <w:t>5.农林水支出(类)农业农村(款)农村合作经济(项):支出决算数为17.50万元，比上年决算增加7.50万元，增长75.00%,主要原因是：本年功能科目调整，农业生产发展资金项目上年在农业生产发展</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列支，本年调整至农村合作经济</w:t>
      </w:r>
      <w:r>
        <w:rPr>
          <w:rFonts w:hint="eastAsia" w:ascii="仿宋_GB2312" w:hAnsi="仿宋_GB2312" w:eastAsia="仿宋_GB2312"/>
          <w:b w:val="0"/>
          <w:sz w:val="32"/>
          <w:lang w:val="en-US" w:eastAsia="zh-CN"/>
        </w:rPr>
        <w:t>科目</w:t>
      </w:r>
      <w:r>
        <w:rPr>
          <w:rFonts w:ascii="仿宋_GB2312" w:hAnsi="仿宋_GB2312" w:eastAsia="仿宋_GB2312"/>
          <w:b w:val="0"/>
          <w:sz w:val="32"/>
        </w:rPr>
        <w:t>，导致经费增加。</w:t>
      </w:r>
    </w:p>
    <w:p w14:paraId="755FC38B">
      <w:pPr>
        <w:spacing w:line="580" w:lineRule="exact"/>
        <w:ind w:firstLine="640"/>
        <w:jc w:val="both"/>
      </w:pPr>
      <w:r>
        <w:rPr>
          <w:rFonts w:ascii="仿宋_GB2312" w:hAnsi="仿宋_GB2312" w:eastAsia="仿宋_GB2312"/>
          <w:b w:val="0"/>
          <w:sz w:val="32"/>
        </w:rPr>
        <w:t>6.农林水支出(类)农业农村(款)其他农业农村支出(项):支出决算数为17.39万元，比上年决算增加0.28万元，增长1.64%,主要原因是：本年增加为民办实事经费。</w:t>
      </w:r>
    </w:p>
    <w:p w14:paraId="66B6963C">
      <w:pPr>
        <w:spacing w:line="640" w:lineRule="exact"/>
        <w:ind w:firstLine="640"/>
        <w:jc w:val="both"/>
        <w:outlineLvl w:val="2"/>
      </w:pPr>
      <w:r>
        <w:rPr>
          <w:rFonts w:ascii="黑体" w:hAnsi="黑体" w:eastAsia="黑体"/>
          <w:sz w:val="32"/>
        </w:rPr>
        <w:t>六、一般公共预算财政拨款基本支出决算情况说明</w:t>
      </w:r>
    </w:p>
    <w:p w14:paraId="309290CD">
      <w:pPr>
        <w:spacing w:line="580" w:lineRule="exact"/>
        <w:ind w:firstLine="640"/>
        <w:jc w:val="both"/>
      </w:pPr>
      <w:r>
        <w:rPr>
          <w:rFonts w:ascii="仿宋_GB2312" w:hAnsi="仿宋_GB2312" w:eastAsia="仿宋_GB2312"/>
          <w:b w:val="0"/>
          <w:sz w:val="32"/>
        </w:rPr>
        <w:t>2024年度一般公共预算财政拨款基本支出398.86万元，其中：</w:t>
      </w:r>
      <w:r>
        <w:rPr>
          <w:rFonts w:ascii="仿宋_GB2312" w:hAnsi="仿宋_GB2312" w:eastAsia="仿宋_GB2312"/>
          <w:b/>
          <w:sz w:val="32"/>
        </w:rPr>
        <w:t>人员经费385.89万元，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包括：基本工资、津贴补贴、奖金、机关事业单位基本养老保险缴费、职工基本医疗保险缴费、其他社会保障缴费、住房公积金、其他工资福利支出、退休费、生活补助、奖励金。</w:t>
      </w:r>
    </w:p>
    <w:p w14:paraId="790696FF">
      <w:pPr>
        <w:spacing w:line="580" w:lineRule="exact"/>
        <w:ind w:firstLine="640"/>
        <w:jc w:val="both"/>
      </w:pPr>
      <w:r>
        <w:rPr>
          <w:rFonts w:ascii="仿宋_GB2312" w:hAnsi="仿宋_GB2312" w:eastAsia="仿宋_GB2312"/>
          <w:b/>
          <w:sz w:val="32"/>
        </w:rPr>
        <w:t>公用经费12.97万元，</w:t>
      </w:r>
      <w:r>
        <w:rPr>
          <w:rFonts w:ascii="仿宋_GB2312" w:hAnsi="仿宋_GB2312" w:eastAsia="仿宋_GB2312"/>
          <w:b w:val="0"/>
          <w:sz w:val="32"/>
        </w:rPr>
        <w:t>包括：办公费、印刷费、水费、电费、邮电费、差旅费、维修（护）费、劳务费、工会经费、福利费、公务用车运行维护费、其他商品和服务支出。</w:t>
      </w:r>
    </w:p>
    <w:p w14:paraId="6387A939">
      <w:pPr>
        <w:spacing w:line="640" w:lineRule="exact"/>
        <w:ind w:firstLine="640"/>
        <w:jc w:val="both"/>
        <w:outlineLvl w:val="2"/>
      </w:pPr>
      <w:r>
        <w:rPr>
          <w:rFonts w:ascii="黑体" w:hAnsi="黑体" w:eastAsia="黑体"/>
          <w:sz w:val="32"/>
        </w:rPr>
        <w:t>七、政府性基金预算财政拨款收入支出决算情况说明</w:t>
      </w:r>
    </w:p>
    <w:p w14:paraId="079C6B0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B38A60">
      <w:pPr>
        <w:spacing w:line="640" w:lineRule="exact"/>
        <w:ind w:firstLine="640"/>
        <w:jc w:val="both"/>
        <w:outlineLvl w:val="2"/>
      </w:pPr>
      <w:r>
        <w:rPr>
          <w:rFonts w:ascii="黑体" w:hAnsi="黑体" w:eastAsia="黑体"/>
          <w:sz w:val="32"/>
        </w:rPr>
        <w:t>八、国有资本经营预算财政拨款收入支出决算情况说明</w:t>
      </w:r>
    </w:p>
    <w:p w14:paraId="152EA00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7B3CDE">
      <w:pPr>
        <w:spacing w:line="640" w:lineRule="exact"/>
        <w:ind w:firstLine="640"/>
        <w:jc w:val="both"/>
        <w:outlineLvl w:val="2"/>
      </w:pPr>
      <w:r>
        <w:rPr>
          <w:rFonts w:ascii="黑体" w:hAnsi="黑体" w:eastAsia="黑体"/>
          <w:sz w:val="32"/>
        </w:rPr>
        <w:t>九、财政拨款“三公”经费</w:t>
      </w:r>
      <w:bookmarkStart w:id="0" w:name="_GoBack"/>
      <w:bookmarkEnd w:id="0"/>
      <w:r>
        <w:rPr>
          <w:rFonts w:ascii="黑体" w:hAnsi="黑体" w:eastAsia="黑体"/>
          <w:sz w:val="32"/>
        </w:rPr>
        <w:t>支出决算情况说明</w:t>
      </w:r>
    </w:p>
    <w:p w14:paraId="148E2BBC">
      <w:pPr>
        <w:spacing w:line="580" w:lineRule="exact"/>
        <w:ind w:firstLine="640"/>
        <w:jc w:val="both"/>
      </w:pPr>
      <w:r>
        <w:rPr>
          <w:rFonts w:ascii="仿宋_GB2312" w:hAnsi="仿宋_GB2312" w:eastAsia="仿宋_GB2312"/>
          <w:b/>
          <w:sz w:val="32"/>
        </w:rPr>
        <w:t>2024年度财政拨款“三公”经费支出2.10万元，</w:t>
      </w:r>
      <w:r>
        <w:rPr>
          <w:rFonts w:ascii="仿宋_GB2312" w:hAnsi="仿宋_GB2312" w:eastAsia="仿宋_GB2312"/>
          <w:b w:val="0"/>
          <w:sz w:val="32"/>
        </w:rPr>
        <w:t>比上年减少0.04万元，下降1.87%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2.10万元，占100.00%，比上年减少0.04万元，下降1.87%，主要原因是：严格落实中央八项规定精神，厉行节约，减少公务用车运行维护费。公务接待费支出0.00万元，占0.00%，比上年增加0.00万元，增长0.00%，主要原因是：2023年与2024年均未安排公务接待费支出。</w:t>
      </w:r>
    </w:p>
    <w:p w14:paraId="3770CD2C">
      <w:pPr>
        <w:spacing w:line="580" w:lineRule="exact"/>
        <w:ind w:firstLine="640"/>
        <w:jc w:val="both"/>
      </w:pPr>
      <w:r>
        <w:rPr>
          <w:rFonts w:ascii="仿宋_GB2312" w:hAnsi="仿宋_GB2312" w:eastAsia="仿宋_GB2312"/>
          <w:b/>
          <w:sz w:val="32"/>
        </w:rPr>
        <w:t>具体情况如下：</w:t>
      </w:r>
    </w:p>
    <w:p w14:paraId="509D1BB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D785BD">
      <w:pPr>
        <w:spacing w:line="580" w:lineRule="exact"/>
        <w:ind w:firstLine="640"/>
        <w:jc w:val="both"/>
      </w:pPr>
      <w:r>
        <w:rPr>
          <w:rFonts w:ascii="仿宋_GB2312" w:hAnsi="仿宋_GB2312" w:eastAsia="仿宋_GB2312"/>
          <w:b w:val="0"/>
          <w:sz w:val="32"/>
        </w:rPr>
        <w:t>公务用车购置及运行维护费2.10万元，其中：公务用车购置费0.00万元，公务用车运行维护费2.10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03364B1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454A8A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万元，决算数2.10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万元，决算数2.10万元，预决算差异率0.00%，主要原因是：严格按照预算执行，预决算无差异。公务接待费全年预算数0.00万元，决算数0.00万元，预决算差异率0.00%，主要原因是：本单位无公务接待费。</w:t>
      </w:r>
    </w:p>
    <w:p w14:paraId="3A881DF3">
      <w:pPr>
        <w:spacing w:line="640" w:lineRule="exact"/>
        <w:ind w:firstLine="640"/>
        <w:jc w:val="both"/>
        <w:outlineLvl w:val="2"/>
      </w:pPr>
      <w:r>
        <w:rPr>
          <w:rFonts w:ascii="黑体" w:hAnsi="黑体" w:eastAsia="黑体"/>
          <w:sz w:val="32"/>
        </w:rPr>
        <w:t>十、其他重要事项的情况说明</w:t>
      </w:r>
    </w:p>
    <w:p w14:paraId="6867DF86">
      <w:pPr>
        <w:spacing w:line="640" w:lineRule="exact"/>
        <w:ind w:firstLine="640"/>
        <w:jc w:val="both"/>
        <w:outlineLvl w:val="3"/>
      </w:pPr>
      <w:r>
        <w:rPr>
          <w:rFonts w:ascii="楷体_GB2312" w:hAnsi="楷体_GB2312" w:eastAsia="楷体_GB2312"/>
          <w:b/>
          <w:sz w:val="32"/>
        </w:rPr>
        <w:t>（一）机关运行经费及公用经费支出情况</w:t>
      </w:r>
    </w:p>
    <w:p w14:paraId="498D421F">
      <w:pPr>
        <w:spacing w:line="580" w:lineRule="exact"/>
        <w:ind w:firstLine="640"/>
        <w:jc w:val="both"/>
      </w:pPr>
      <w:r>
        <w:rPr>
          <w:rFonts w:ascii="仿宋_GB2312" w:hAnsi="仿宋_GB2312" w:eastAsia="仿宋_GB2312"/>
          <w:b w:val="0"/>
          <w:sz w:val="32"/>
        </w:rPr>
        <w:t>2024年度克孜勒苏柯尔克孜自治州农村合作经济发展指导中心（行政单位和参照公务员法管理事业单位）机关运行经费支出12.97万元，比上年增加2.73万元，增长26.66%，主要原因是：本年</w:t>
      </w:r>
      <w:r>
        <w:rPr>
          <w:rFonts w:hint="eastAsia" w:ascii="仿宋_GB2312" w:hAnsi="仿宋_GB2312" w:eastAsia="仿宋_GB2312"/>
          <w:b w:val="0"/>
          <w:sz w:val="32"/>
          <w:lang w:val="en-US" w:eastAsia="zh-CN"/>
        </w:rPr>
        <w:t>购置</w:t>
      </w:r>
      <w:r>
        <w:rPr>
          <w:rFonts w:ascii="仿宋_GB2312" w:hAnsi="仿宋_GB2312" w:eastAsia="仿宋_GB2312"/>
          <w:b w:val="0"/>
          <w:sz w:val="32"/>
        </w:rPr>
        <w:t>办公用品，导致机关运行经费较上年增加。</w:t>
      </w:r>
    </w:p>
    <w:p w14:paraId="11154882">
      <w:pPr>
        <w:spacing w:line="640" w:lineRule="exact"/>
        <w:ind w:firstLine="640"/>
        <w:jc w:val="both"/>
        <w:outlineLvl w:val="3"/>
      </w:pPr>
      <w:r>
        <w:rPr>
          <w:rFonts w:ascii="楷体_GB2312" w:hAnsi="楷体_GB2312" w:eastAsia="楷体_GB2312"/>
          <w:b/>
          <w:sz w:val="32"/>
        </w:rPr>
        <w:t>（二）政府采购情况</w:t>
      </w:r>
    </w:p>
    <w:p w14:paraId="5A345E6A">
      <w:pPr>
        <w:spacing w:line="580" w:lineRule="exact"/>
        <w:ind w:firstLine="640"/>
        <w:jc w:val="both"/>
      </w:pPr>
      <w:r>
        <w:rPr>
          <w:rFonts w:ascii="仿宋_GB2312" w:hAnsi="仿宋_GB2312" w:eastAsia="仿宋_GB2312"/>
          <w:b w:val="0"/>
          <w:sz w:val="32"/>
        </w:rPr>
        <w:t>2024年度政府采购支出总额7.43万元，其中：政府采购货物支出3.89万元、政府采购工程支出0.15万元、政府采购服务支出3.40万元。</w:t>
      </w:r>
    </w:p>
    <w:p w14:paraId="372CEB5A">
      <w:pPr>
        <w:spacing w:line="580" w:lineRule="exact"/>
        <w:ind w:firstLine="640"/>
        <w:jc w:val="both"/>
      </w:pPr>
      <w:r>
        <w:rPr>
          <w:rFonts w:ascii="仿宋_GB2312" w:hAnsi="仿宋_GB2312" w:eastAsia="仿宋_GB2312"/>
          <w:b w:val="0"/>
          <w:sz w:val="32"/>
        </w:rPr>
        <w:t>授予中小企业合同金额5.55万元，占政府采购支出总额的74.70%，其中：授予小微企业合同金额5.29万元，占政府采购支出总额的71.20%。</w:t>
      </w:r>
    </w:p>
    <w:p w14:paraId="015E5CD3">
      <w:pPr>
        <w:spacing w:line="640" w:lineRule="exact"/>
        <w:ind w:firstLine="640"/>
        <w:jc w:val="both"/>
        <w:outlineLvl w:val="3"/>
      </w:pPr>
      <w:r>
        <w:rPr>
          <w:rFonts w:ascii="楷体_GB2312" w:hAnsi="楷体_GB2312" w:eastAsia="楷体_GB2312"/>
          <w:b/>
          <w:sz w:val="32"/>
        </w:rPr>
        <w:t>（三）国有资产占用情况说明</w:t>
      </w:r>
    </w:p>
    <w:p w14:paraId="28F46015">
      <w:pPr>
        <w:spacing w:line="580" w:lineRule="exact"/>
        <w:ind w:firstLine="640"/>
        <w:jc w:val="both"/>
      </w:pPr>
      <w:r>
        <w:rPr>
          <w:rFonts w:ascii="仿宋_GB2312" w:hAnsi="仿宋_GB2312" w:eastAsia="仿宋_GB2312"/>
          <w:b w:val="0"/>
          <w:sz w:val="32"/>
        </w:rPr>
        <w:t>截至2024年12月31日，房屋0.00平方米，价值0.00万元。车辆1辆，价值19.45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5967DE7">
      <w:pPr>
        <w:spacing w:line="640" w:lineRule="exact"/>
        <w:ind w:firstLine="640"/>
        <w:jc w:val="both"/>
        <w:outlineLvl w:val="2"/>
      </w:pPr>
      <w:r>
        <w:rPr>
          <w:rFonts w:ascii="黑体" w:hAnsi="黑体" w:eastAsia="黑体"/>
          <w:sz w:val="32"/>
        </w:rPr>
        <w:t>十一、预算绩效的情况说明</w:t>
      </w:r>
    </w:p>
    <w:p w14:paraId="4D2632E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433.75万元，实际执行总额433.75万元；预算绩效评价项目5个，全年预算数34.89万元，全年执行数34.89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不论预算单位在开展日常管理，还是财政部门组织实施绩效评价，都需要具备一定专业素养和实战经验的专业人员。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62D2E88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D921884">
        <w:tblPrEx>
          <w:tblCellMar>
            <w:top w:w="0" w:type="dxa"/>
            <w:left w:w="108" w:type="dxa"/>
            <w:bottom w:w="0" w:type="dxa"/>
            <w:right w:w="108" w:type="dxa"/>
          </w:tblCellMar>
        </w:tblPrEx>
        <w:tc>
          <w:tcPr>
            <w:tcW w:w="8840" w:type="dxa"/>
            <w:gridSpan w:val="8"/>
            <w:vAlign w:val="center"/>
          </w:tcPr>
          <w:p w14:paraId="4955CB72">
            <w:pPr>
              <w:jc w:val="center"/>
            </w:pPr>
            <w:r>
              <w:rPr>
                <w:rFonts w:ascii="宋体" w:hAnsi="宋体" w:eastAsia="宋体"/>
                <w:sz w:val="24"/>
              </w:rPr>
              <w:t>单位整体支出绩效自评表</w:t>
            </w:r>
          </w:p>
        </w:tc>
      </w:tr>
      <w:tr w14:paraId="716DB560">
        <w:tblPrEx>
          <w:tblCellMar>
            <w:top w:w="0" w:type="dxa"/>
            <w:left w:w="108" w:type="dxa"/>
            <w:bottom w:w="0" w:type="dxa"/>
            <w:right w:w="108" w:type="dxa"/>
          </w:tblCellMar>
        </w:tblPrEx>
        <w:tc>
          <w:tcPr>
            <w:tcW w:w="8840" w:type="dxa"/>
            <w:gridSpan w:val="8"/>
            <w:vAlign w:val="center"/>
          </w:tcPr>
          <w:p w14:paraId="7A69E2F6">
            <w:pPr>
              <w:jc w:val="center"/>
            </w:pPr>
            <w:r>
              <w:rPr>
                <w:rFonts w:ascii="宋体" w:hAnsi="宋体" w:eastAsia="宋体"/>
                <w:sz w:val="24"/>
              </w:rPr>
              <w:t>（2024年度）</w:t>
            </w:r>
          </w:p>
        </w:tc>
      </w:tr>
      <w:tr w14:paraId="65B200C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2EBF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E7498">
            <w:pPr>
              <w:jc w:val="center"/>
            </w:pPr>
            <w:r>
              <w:rPr>
                <w:rFonts w:ascii="宋体" w:hAnsi="宋体" w:eastAsia="宋体"/>
                <w:sz w:val="16"/>
              </w:rPr>
              <w:t>克孜勒苏柯尔克孜自治州农村合作经济发展指导中心</w:t>
            </w:r>
          </w:p>
        </w:tc>
      </w:tr>
      <w:tr w14:paraId="657DAA0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9C4B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0AE7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A0479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72CA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C2B98">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292C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4AEC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BF7C6">
            <w:pPr>
              <w:jc w:val="center"/>
            </w:pPr>
            <w:r>
              <w:rPr>
                <w:rFonts w:ascii="宋体" w:hAnsi="宋体" w:eastAsia="宋体"/>
                <w:sz w:val="16"/>
              </w:rPr>
              <w:t>得分</w:t>
            </w:r>
          </w:p>
        </w:tc>
      </w:tr>
      <w:tr w14:paraId="63B4A0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955A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5B0B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C092E">
            <w:pPr>
              <w:jc w:val="center"/>
            </w:pPr>
            <w:r>
              <w:rPr>
                <w:rFonts w:ascii="宋体" w:hAnsi="宋体" w:eastAsia="宋体"/>
                <w:sz w:val="16"/>
              </w:rPr>
              <w:t>409.91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2E4D6">
            <w:pPr>
              <w:jc w:val="center"/>
            </w:pPr>
            <w:r>
              <w:rPr>
                <w:rFonts w:ascii="宋体" w:hAnsi="宋体" w:eastAsia="宋体"/>
                <w:sz w:val="16"/>
              </w:rPr>
              <w:t>433.75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13CF0">
            <w:pPr>
              <w:jc w:val="center"/>
            </w:pPr>
            <w:r>
              <w:rPr>
                <w:rFonts w:ascii="宋体" w:hAnsi="宋体" w:eastAsia="宋体"/>
                <w:sz w:val="16"/>
              </w:rPr>
              <w:t>433.75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0DD9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A6A47">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3DF1A">
            <w:pPr>
              <w:jc w:val="center"/>
              <w:rPr>
                <w:rFonts w:hint="default" w:eastAsia="宋体"/>
                <w:lang w:val="en-US" w:eastAsia="zh-CN"/>
              </w:rPr>
            </w:pPr>
            <w:r>
              <w:rPr>
                <w:rFonts w:hint="eastAsia" w:ascii="宋体" w:hAnsi="宋体"/>
                <w:sz w:val="16"/>
                <w:lang w:val="en-US" w:eastAsia="zh-CN"/>
              </w:rPr>
              <w:t>10</w:t>
            </w:r>
          </w:p>
        </w:tc>
      </w:tr>
      <w:tr w14:paraId="6A627C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E960E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956C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79F02">
            <w:pPr>
              <w:jc w:val="center"/>
            </w:pPr>
            <w:r>
              <w:rPr>
                <w:rFonts w:ascii="宋体" w:hAnsi="宋体" w:eastAsia="宋体"/>
                <w:sz w:val="16"/>
              </w:rPr>
              <w:t>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E7D8F">
            <w:pPr>
              <w:jc w:val="center"/>
            </w:pPr>
            <w:r>
              <w:rPr>
                <w:rFonts w:ascii="宋体" w:hAnsi="宋体" w:eastAsia="宋体"/>
                <w:sz w:val="16"/>
              </w:rPr>
              <w:t>24.89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B1BD4">
            <w:pPr>
              <w:jc w:val="center"/>
            </w:pPr>
            <w:r>
              <w:rPr>
                <w:rFonts w:ascii="宋体" w:hAnsi="宋体" w:eastAsia="宋体"/>
                <w:sz w:val="16"/>
              </w:rPr>
              <w:t>24.89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90E2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644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CE00D">
            <w:pPr>
              <w:jc w:val="center"/>
            </w:pPr>
            <w:r>
              <w:rPr>
                <w:rFonts w:ascii="宋体" w:hAnsi="宋体" w:eastAsia="宋体"/>
                <w:sz w:val="16"/>
              </w:rPr>
              <w:t>—</w:t>
            </w:r>
          </w:p>
        </w:tc>
      </w:tr>
      <w:tr w14:paraId="6C77D96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7800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0A0C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50AEF">
            <w:pPr>
              <w:jc w:val="center"/>
            </w:pPr>
            <w:r>
              <w:rPr>
                <w:rFonts w:ascii="宋体" w:hAnsi="宋体" w:eastAsia="宋体"/>
                <w:sz w:val="16"/>
              </w:rPr>
              <w:t>402.02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84A46">
            <w:pPr>
              <w:jc w:val="center"/>
            </w:pPr>
            <w:r>
              <w:rPr>
                <w:rFonts w:ascii="宋体" w:hAnsi="宋体" w:eastAsia="宋体"/>
                <w:sz w:val="16"/>
              </w:rPr>
              <w:t>408.86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CCC13">
            <w:pPr>
              <w:jc w:val="center"/>
            </w:pPr>
            <w:r>
              <w:rPr>
                <w:rFonts w:ascii="宋体" w:hAnsi="宋体" w:eastAsia="宋体"/>
                <w:sz w:val="16"/>
              </w:rPr>
              <w:t>408.86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E61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314E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B26F2">
            <w:pPr>
              <w:jc w:val="center"/>
            </w:pPr>
            <w:r>
              <w:rPr>
                <w:rFonts w:ascii="宋体" w:hAnsi="宋体" w:eastAsia="宋体"/>
                <w:sz w:val="16"/>
              </w:rPr>
              <w:t>—</w:t>
            </w:r>
          </w:p>
        </w:tc>
      </w:tr>
      <w:tr w14:paraId="50E293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AB1E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C453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D56D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B395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4549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9235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D21B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0DA72">
            <w:pPr>
              <w:jc w:val="center"/>
            </w:pPr>
            <w:r>
              <w:rPr>
                <w:rFonts w:ascii="宋体" w:hAnsi="宋体" w:eastAsia="宋体"/>
                <w:sz w:val="16"/>
              </w:rPr>
              <w:t>—</w:t>
            </w:r>
          </w:p>
        </w:tc>
      </w:tr>
      <w:tr w14:paraId="1398B4F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5ABA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9D181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432BFA">
            <w:pPr>
              <w:jc w:val="center"/>
            </w:pPr>
            <w:r>
              <w:rPr>
                <w:rFonts w:ascii="宋体" w:hAnsi="宋体" w:eastAsia="宋体"/>
                <w:sz w:val="16"/>
              </w:rPr>
              <w:t>实际完成情况</w:t>
            </w:r>
          </w:p>
        </w:tc>
      </w:tr>
      <w:tr w14:paraId="2C58D3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A1ADA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40EB87">
            <w:pPr>
              <w:jc w:val="both"/>
            </w:pPr>
            <w:r>
              <w:rPr>
                <w:rFonts w:ascii="宋体" w:hAnsi="宋体" w:eastAsia="宋体"/>
                <w:sz w:val="16"/>
              </w:rPr>
              <w:t>促进家庭农场高质量发展，创建自治州级示范家庭农场4家；认真做好新型农业经营主体培训工作，指导培训农民专业合作示范化建设、引导家庭农场建设、规范新型经营主体的财务管理，计划举办全州新型农业经营主体培训班1期；为确保防范和打击非法集资活动，开展农民专业合作社、家庭农场非法集资排查4次，为公正及时解决农村土地承包经营纠纷，维护农民群众的合法权益，开展县市农村土地承包经营纠纷调解仲裁考评1次，农村政策与改革统计年报和集体资产年度清查是农村改革发展成果的体现，开展年度农村政策与改革统计年报和农村集体资产清查1次，深化农村集体产权制度改革，开展村民委员会与村集体经济组织事务分离4个村。</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DC1AAE">
            <w:pPr>
              <w:jc w:val="both"/>
            </w:pPr>
            <w:r>
              <w:rPr>
                <w:rFonts w:ascii="宋体" w:hAnsi="宋体" w:eastAsia="宋体"/>
                <w:sz w:val="16"/>
              </w:rPr>
              <w:t>截至2024年12月31日，已完成：1.创建自治州级示范家庭农场，培育一批经营规范，效益显著，带动能力强的家庭农场典型，打造规模化、标准化、品牌化的家庭农场示范，发挥引领作用，带动周边农户增收和农业产业升级。2.开展农民专业合作社、家庭农场非法集资排查，防范金融风险，保护农民合法权益，发现并整治以农民专业合作社、家庭农场为名义开展的</w:t>
            </w:r>
            <w:r>
              <w:rPr>
                <w:rFonts w:hint="eastAsia" w:ascii="宋体" w:hAnsi="宋体"/>
                <w:sz w:val="16"/>
                <w:lang w:eastAsia="zh-CN"/>
              </w:rPr>
              <w:t>非法集资</w:t>
            </w:r>
            <w:r>
              <w:rPr>
                <w:rFonts w:ascii="宋体" w:hAnsi="宋体" w:eastAsia="宋体"/>
                <w:sz w:val="16"/>
              </w:rPr>
              <w:t>活动，规范农村合作经济组织经营行为，维护农村金融秩序，推动农业经营主体通过合法渠道融资。3.开展县市农村土地承包经营纠纷调解仲裁，依法化解农村土地矛盾、维护农民合法权益，促进农村社会稳定，通过规范开展调解仲裁，可有效将土地矛盾化解在基层，为乡村振兴营造和谐稳定的发展环境。4.开展年度农村政策与改革统计年报和农村集体资产清查，是重要基础性工作，对摸清农村集体家底，推进农村集体产权制度改革，实施乡村振兴战略具有重要意义，通过开展统计年报和资产清查，为农村集体经济发展和乡村治理提供科学决策依据。5.开展村民委员会与村集体经济组织事务分离，是贯彻落实中央关于深化农村集体产权制度改革的决策部署，村民委员会依法履行基层群众性自治组织职能，村集体经济组织独立承担集体资产经营管理职能，建立权责明确，运转协调的村级治理新机制，进一步理顺村级组织职能关系，促进农村集体经济健康发展。</w:t>
            </w:r>
          </w:p>
        </w:tc>
      </w:tr>
      <w:tr w14:paraId="4D82BB0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F844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9CD5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DD31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DB5A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63FA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8D82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48139">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334E9">
            <w:pPr>
              <w:jc w:val="center"/>
            </w:pPr>
            <w:r>
              <w:rPr>
                <w:rFonts w:ascii="宋体" w:hAnsi="宋体" w:eastAsia="宋体"/>
                <w:sz w:val="16"/>
              </w:rPr>
              <w:t>得分</w:t>
            </w:r>
          </w:p>
        </w:tc>
      </w:tr>
      <w:tr w14:paraId="11C97F5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E614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065B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2E739">
            <w:pPr>
              <w:jc w:val="center"/>
            </w:pPr>
            <w:r>
              <w:rPr>
                <w:rFonts w:ascii="宋体" w:hAnsi="宋体" w:eastAsia="宋体"/>
                <w:sz w:val="16"/>
              </w:rPr>
              <w:t>创建自治州级示范家庭农场（家）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0A119">
            <w:pPr>
              <w:jc w:val="center"/>
            </w:pPr>
            <w:r>
              <w:rPr>
                <w:rFonts w:ascii="宋体" w:hAnsi="宋体" w:eastAsia="宋体"/>
                <w:sz w:val="16"/>
              </w:rPr>
              <w:t>=4家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738CA">
            <w:pPr>
              <w:jc w:val="center"/>
            </w:pPr>
            <w:r>
              <w:rPr>
                <w:rFonts w:ascii="宋体" w:hAnsi="宋体" w:eastAsia="宋体"/>
                <w:sz w:val="16"/>
              </w:rPr>
              <w:t>关于开展2024年克孜勒苏柯尔克孜自治州级示范家庭农场申报认定工作的通知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451C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092FC">
            <w:pPr>
              <w:jc w:val="center"/>
            </w:pPr>
            <w:r>
              <w:rPr>
                <w:rFonts w:ascii="宋体" w:hAnsi="宋体" w:eastAsia="宋体"/>
                <w:sz w:val="16"/>
              </w:rPr>
              <w:t>2家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97241">
            <w:pPr>
              <w:jc w:val="center"/>
            </w:pPr>
            <w:r>
              <w:rPr>
                <w:rFonts w:ascii="宋体" w:hAnsi="宋体" w:eastAsia="宋体"/>
                <w:sz w:val="16"/>
              </w:rPr>
              <w:t>9</w:t>
            </w:r>
          </w:p>
        </w:tc>
      </w:tr>
      <w:tr w14:paraId="374288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2CC4E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75A57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AF9F5">
            <w:pPr>
              <w:jc w:val="center"/>
            </w:pPr>
            <w:r>
              <w:rPr>
                <w:rFonts w:ascii="宋体" w:hAnsi="宋体" w:eastAsia="宋体"/>
                <w:sz w:val="16"/>
              </w:rPr>
              <w:t>开展农民专业合作社、家庭农场非法集资排查（次）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2F29F">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D7158">
            <w:pPr>
              <w:jc w:val="center"/>
            </w:pPr>
            <w:r>
              <w:rPr>
                <w:rFonts w:ascii="宋体" w:hAnsi="宋体" w:eastAsia="宋体"/>
                <w:sz w:val="16"/>
              </w:rPr>
              <w:t>克州农经中心2024年重点业务工作计划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E4E6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1B1A0">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9EAAE">
            <w:pPr>
              <w:jc w:val="center"/>
            </w:pPr>
            <w:r>
              <w:rPr>
                <w:rFonts w:ascii="宋体" w:hAnsi="宋体" w:eastAsia="宋体"/>
                <w:sz w:val="16"/>
              </w:rPr>
              <w:t>18</w:t>
            </w:r>
          </w:p>
        </w:tc>
      </w:tr>
      <w:tr w14:paraId="2C2727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68F86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E5EB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209F2">
            <w:pPr>
              <w:jc w:val="center"/>
            </w:pPr>
            <w:r>
              <w:rPr>
                <w:rFonts w:ascii="宋体" w:hAnsi="宋体" w:eastAsia="宋体"/>
                <w:sz w:val="16"/>
              </w:rPr>
              <w:t>开展县市农村土地承包经营纠纷调解仲裁考评（次）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AC168">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BB36E">
            <w:pPr>
              <w:jc w:val="center"/>
            </w:pPr>
            <w:r>
              <w:rPr>
                <w:rFonts w:ascii="宋体" w:hAnsi="宋体" w:eastAsia="宋体"/>
                <w:sz w:val="16"/>
              </w:rPr>
              <w:t>关于做好2023年农村土地承包经营纠纷调解仲裁考评工作的通知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CF23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86EFB">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19473">
            <w:pPr>
              <w:jc w:val="center"/>
            </w:pPr>
            <w:r>
              <w:rPr>
                <w:rFonts w:ascii="宋体" w:hAnsi="宋体" w:eastAsia="宋体"/>
                <w:sz w:val="16"/>
              </w:rPr>
              <w:t>18</w:t>
            </w:r>
          </w:p>
        </w:tc>
      </w:tr>
      <w:tr w14:paraId="413B2B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E2C08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A5A9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62D3A">
            <w:pPr>
              <w:jc w:val="center"/>
            </w:pPr>
            <w:r>
              <w:rPr>
                <w:rFonts w:ascii="宋体" w:hAnsi="宋体" w:eastAsia="宋体"/>
                <w:sz w:val="16"/>
              </w:rPr>
              <w:t>开展年度农村政策与改革统计年报和农村集体资产清查（次）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85E2D">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6DEA5">
            <w:pPr>
              <w:jc w:val="center"/>
            </w:pPr>
            <w:r>
              <w:rPr>
                <w:rFonts w:ascii="宋体" w:hAnsi="宋体" w:eastAsia="宋体"/>
                <w:sz w:val="16"/>
              </w:rPr>
              <w:t>关于做好2023年度农村政策与改革统计年报和农村集体资产清查工作的通知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D68E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07954">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EBD38">
            <w:pPr>
              <w:jc w:val="center"/>
            </w:pPr>
            <w:r>
              <w:rPr>
                <w:rFonts w:ascii="宋体" w:hAnsi="宋体" w:eastAsia="宋体"/>
                <w:sz w:val="16"/>
              </w:rPr>
              <w:t>18</w:t>
            </w:r>
          </w:p>
        </w:tc>
      </w:tr>
      <w:tr w14:paraId="670C6F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25BC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1ECBD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E2503">
            <w:pPr>
              <w:jc w:val="center"/>
            </w:pPr>
            <w:r>
              <w:rPr>
                <w:rFonts w:ascii="宋体" w:hAnsi="宋体" w:eastAsia="宋体"/>
                <w:sz w:val="16"/>
              </w:rPr>
              <w:t>开展村民委员会与村集体经济组织事务分离（村）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7A7E1">
            <w:pPr>
              <w:jc w:val="center"/>
            </w:pPr>
            <w:r>
              <w:rPr>
                <w:rFonts w:ascii="宋体" w:hAnsi="宋体" w:eastAsia="宋体"/>
                <w:sz w:val="16"/>
              </w:rPr>
              <w:t>=4村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2FB13">
            <w:pPr>
              <w:jc w:val="center"/>
            </w:pPr>
            <w:r>
              <w:rPr>
                <w:rFonts w:ascii="宋体" w:hAnsi="宋体" w:eastAsia="宋体"/>
                <w:sz w:val="16"/>
              </w:rPr>
              <w:t>关于开展村民委员会与村集体经济组织事务分离的通知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9388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65D39">
            <w:pPr>
              <w:jc w:val="center"/>
            </w:pPr>
            <w:r>
              <w:rPr>
                <w:rFonts w:ascii="宋体" w:hAnsi="宋体" w:eastAsia="宋体"/>
                <w:sz w:val="16"/>
              </w:rPr>
              <w:t>4村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B9FF0">
            <w:pPr>
              <w:jc w:val="center"/>
            </w:pPr>
            <w:r>
              <w:rPr>
                <w:rFonts w:ascii="宋体" w:hAnsi="宋体" w:eastAsia="宋体"/>
                <w:sz w:val="16"/>
              </w:rPr>
              <w:t>18</w:t>
            </w:r>
          </w:p>
        </w:tc>
      </w:tr>
    </w:tbl>
    <w:p w14:paraId="1D508E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296B521">
        <w:tblPrEx>
          <w:tblCellMar>
            <w:top w:w="0" w:type="dxa"/>
            <w:left w:w="108" w:type="dxa"/>
            <w:bottom w:w="0" w:type="dxa"/>
            <w:right w:w="108" w:type="dxa"/>
          </w:tblCellMar>
        </w:tblPrEx>
        <w:tc>
          <w:tcPr>
            <w:tcW w:w="8848" w:type="dxa"/>
            <w:gridSpan w:val="14"/>
            <w:vAlign w:val="center"/>
          </w:tcPr>
          <w:p w14:paraId="4C6F709B">
            <w:pPr>
              <w:jc w:val="center"/>
            </w:pPr>
            <w:r>
              <w:rPr>
                <w:rFonts w:ascii="宋体" w:hAnsi="宋体" w:eastAsia="宋体"/>
                <w:sz w:val="24"/>
              </w:rPr>
              <w:t>项目支出绩效自评表</w:t>
            </w:r>
          </w:p>
        </w:tc>
      </w:tr>
      <w:tr w14:paraId="327B5554">
        <w:tblPrEx>
          <w:tblCellMar>
            <w:top w:w="0" w:type="dxa"/>
            <w:left w:w="108" w:type="dxa"/>
            <w:bottom w:w="0" w:type="dxa"/>
            <w:right w:w="108" w:type="dxa"/>
          </w:tblCellMar>
        </w:tblPrEx>
        <w:tc>
          <w:tcPr>
            <w:tcW w:w="8848" w:type="dxa"/>
            <w:gridSpan w:val="14"/>
            <w:vAlign w:val="center"/>
          </w:tcPr>
          <w:p w14:paraId="17870893">
            <w:pPr>
              <w:jc w:val="center"/>
            </w:pPr>
            <w:r>
              <w:rPr>
                <w:rFonts w:ascii="宋体" w:hAnsi="宋体" w:eastAsia="宋体"/>
                <w:sz w:val="24"/>
              </w:rPr>
              <w:t>(2024年度)</w:t>
            </w:r>
          </w:p>
        </w:tc>
      </w:tr>
      <w:tr w14:paraId="74842C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D7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1FA362">
            <w:pPr>
              <w:jc w:val="center"/>
            </w:pPr>
            <w:r>
              <w:rPr>
                <w:rFonts w:ascii="宋体" w:hAnsi="宋体" w:eastAsia="宋体"/>
                <w:sz w:val="16"/>
              </w:rPr>
              <w:t>2023年为民办实事工作经费</w:t>
            </w:r>
          </w:p>
        </w:tc>
      </w:tr>
      <w:tr w14:paraId="52671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72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6E9E4">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53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38DDA">
            <w:pPr>
              <w:jc w:val="center"/>
            </w:pPr>
            <w:r>
              <w:rPr>
                <w:rFonts w:ascii="宋体" w:hAnsi="宋体" w:eastAsia="宋体"/>
                <w:sz w:val="16"/>
              </w:rPr>
              <w:t>克孜勒苏柯尔克孜自治州农村合作经济发展指导中心</w:t>
            </w:r>
          </w:p>
        </w:tc>
      </w:tr>
      <w:tr w14:paraId="308CBA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186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6A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19A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1F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CE0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CE4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235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A8C1">
            <w:pPr>
              <w:jc w:val="center"/>
            </w:pPr>
            <w:r>
              <w:rPr>
                <w:rFonts w:ascii="宋体" w:hAnsi="宋体" w:eastAsia="宋体"/>
                <w:sz w:val="16"/>
              </w:rPr>
              <w:t>得分</w:t>
            </w:r>
          </w:p>
        </w:tc>
      </w:tr>
      <w:tr w14:paraId="5D7C8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807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58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8638E">
            <w:pPr>
              <w:jc w:val="center"/>
            </w:pPr>
            <w:r>
              <w:rPr>
                <w:rFonts w:ascii="宋体" w:hAnsi="宋体" w:eastAsia="宋体"/>
                <w:sz w:val="16"/>
              </w:rPr>
              <w:t>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34F42">
            <w:pPr>
              <w:jc w:val="center"/>
            </w:pPr>
            <w:r>
              <w:rPr>
                <w:rFonts w:ascii="宋体" w:hAnsi="宋体" w:eastAsia="宋体"/>
                <w:sz w:val="16"/>
              </w:rPr>
              <w:t>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D55E">
            <w:pPr>
              <w:jc w:val="center"/>
            </w:pPr>
            <w:r>
              <w:rPr>
                <w:rFonts w:ascii="宋体" w:hAnsi="宋体" w:eastAsia="宋体"/>
                <w:sz w:val="16"/>
              </w:rPr>
              <w:t>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81C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B7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B951">
            <w:pPr>
              <w:jc w:val="center"/>
            </w:pPr>
            <w:r>
              <w:rPr>
                <w:rFonts w:ascii="宋体" w:hAnsi="宋体" w:eastAsia="宋体"/>
                <w:sz w:val="16"/>
              </w:rPr>
              <w:t>10.00分</w:t>
            </w:r>
          </w:p>
        </w:tc>
      </w:tr>
      <w:tr w14:paraId="295DA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45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5C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63859">
            <w:pPr>
              <w:jc w:val="center"/>
            </w:pPr>
            <w:r>
              <w:rPr>
                <w:rFonts w:ascii="宋体" w:hAnsi="宋体" w:eastAsia="宋体"/>
                <w:sz w:val="16"/>
              </w:rPr>
              <w:t>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B2B5D">
            <w:pPr>
              <w:jc w:val="center"/>
            </w:pPr>
            <w:r>
              <w:rPr>
                <w:rFonts w:ascii="宋体" w:hAnsi="宋体" w:eastAsia="宋体"/>
                <w:sz w:val="16"/>
              </w:rPr>
              <w:t>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D62B">
            <w:pPr>
              <w:jc w:val="center"/>
            </w:pPr>
            <w:r>
              <w:rPr>
                <w:rFonts w:ascii="宋体" w:hAnsi="宋体" w:eastAsia="宋体"/>
                <w:sz w:val="16"/>
              </w:rPr>
              <w:t>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AFC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2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C391">
            <w:pPr>
              <w:jc w:val="center"/>
            </w:pPr>
            <w:r>
              <w:rPr>
                <w:rFonts w:ascii="宋体" w:hAnsi="宋体" w:eastAsia="宋体"/>
                <w:sz w:val="16"/>
              </w:rPr>
              <w:t>—</w:t>
            </w:r>
          </w:p>
        </w:tc>
      </w:tr>
      <w:tr w14:paraId="091B4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5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9B4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6C9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34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FC9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8D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12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425B">
            <w:pPr>
              <w:jc w:val="center"/>
            </w:pPr>
            <w:r>
              <w:rPr>
                <w:rFonts w:ascii="宋体" w:hAnsi="宋体" w:eastAsia="宋体"/>
                <w:sz w:val="16"/>
              </w:rPr>
              <w:t>—</w:t>
            </w:r>
          </w:p>
        </w:tc>
      </w:tr>
      <w:tr w14:paraId="71EE3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63B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572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1ECEA4">
            <w:pPr>
              <w:jc w:val="center"/>
            </w:pPr>
            <w:r>
              <w:rPr>
                <w:rFonts w:ascii="宋体" w:hAnsi="宋体" w:eastAsia="宋体"/>
                <w:sz w:val="16"/>
              </w:rPr>
              <w:t>实际完成情况</w:t>
            </w:r>
          </w:p>
        </w:tc>
      </w:tr>
      <w:tr w14:paraId="1B4B4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E92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0B1EE">
            <w:pPr>
              <w:jc w:val="both"/>
            </w:pPr>
            <w:r>
              <w:rPr>
                <w:rFonts w:ascii="宋体" w:hAnsi="宋体" w:eastAsia="宋体"/>
                <w:sz w:val="16"/>
              </w:rPr>
              <w:t>该项目总投资0.39万元，其中：财政资金0.39万元，其他资金0万元，主要用于为民办实事经费和资金用于第一书记工作经费，营造安定和谐稳定的社会局面，着力解决农民反映的热点、难点问题，开展各项文体活动、职业技能培训、节日慰问等，有利于营造安定和谐稳定的社会局面，通过该项目实施达到确保工作队各项工作顺利开展，完成相关任务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1AEE69">
            <w:pPr>
              <w:jc w:val="both"/>
            </w:pPr>
            <w:r>
              <w:rPr>
                <w:rFonts w:ascii="宋体" w:hAnsi="宋体" w:eastAsia="宋体"/>
                <w:sz w:val="16"/>
              </w:rPr>
              <w:t>截至2024年12月31日，该项目执行数为0.39万元，已完成：为民办实事好事次数1次，开展文体活动次数1次，通过该项目的实施，有效保障我单位工作队各项工作顺利开展，完成群众工作各项任务。</w:t>
            </w:r>
          </w:p>
        </w:tc>
      </w:tr>
      <w:tr w14:paraId="62272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07E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12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5A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FE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A2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52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98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73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49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46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C1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78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61480">
            <w:pPr>
              <w:jc w:val="center"/>
            </w:pPr>
            <w:r>
              <w:rPr>
                <w:rFonts w:ascii="宋体" w:hAnsi="宋体" w:eastAsia="宋体"/>
                <w:sz w:val="16"/>
              </w:rPr>
              <w:t>偏差原因分析及改进措施</w:t>
            </w:r>
          </w:p>
        </w:tc>
      </w:tr>
      <w:tr w14:paraId="34DFAE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E95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E15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395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E308">
            <w:pPr>
              <w:jc w:val="center"/>
            </w:pPr>
            <w:r>
              <w:rPr>
                <w:rFonts w:ascii="宋体" w:hAnsi="宋体" w:eastAsia="宋体"/>
                <w:sz w:val="16"/>
              </w:rPr>
              <w:t>为民办实事好事次数（次）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20F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B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A1A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8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B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0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C7F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B6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4A21">
            <w:pPr>
              <w:jc w:val="center"/>
            </w:pPr>
          </w:p>
        </w:tc>
      </w:tr>
      <w:tr w14:paraId="7B30E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E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9D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08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309A">
            <w:pPr>
              <w:jc w:val="center"/>
            </w:pPr>
            <w:r>
              <w:rPr>
                <w:rFonts w:ascii="宋体" w:hAnsi="宋体" w:eastAsia="宋体"/>
                <w:sz w:val="16"/>
              </w:rPr>
              <w:t>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376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A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148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6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54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D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F81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4A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3D18">
            <w:pPr>
              <w:jc w:val="center"/>
            </w:pPr>
          </w:p>
        </w:tc>
      </w:tr>
      <w:tr w14:paraId="6CF01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F0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9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B1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678F">
            <w:pPr>
              <w:jc w:val="center"/>
            </w:pPr>
            <w:r>
              <w:rPr>
                <w:rFonts w:ascii="宋体" w:hAnsi="宋体" w:eastAsia="宋体"/>
                <w:sz w:val="16"/>
              </w:rPr>
              <w:t>开展文体活动参与率(%)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61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B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130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6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5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C1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36B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D4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EB88F">
            <w:pPr>
              <w:jc w:val="center"/>
            </w:pPr>
          </w:p>
        </w:tc>
      </w:tr>
      <w:tr w14:paraId="3FECB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63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5E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0F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4E4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4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A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B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F31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E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3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8E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20C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98A94">
            <w:pPr>
              <w:jc w:val="center"/>
            </w:pPr>
          </w:p>
        </w:tc>
      </w:tr>
      <w:tr w14:paraId="5DA67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34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97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B7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755E">
            <w:pPr>
              <w:jc w:val="center"/>
            </w:pPr>
            <w:r>
              <w:rPr>
                <w:rFonts w:ascii="宋体" w:hAnsi="宋体" w:eastAsia="宋体"/>
                <w:sz w:val="16"/>
              </w:rPr>
              <w:t>开展文化活动经费（万元）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177C">
            <w:pPr>
              <w:jc w:val="center"/>
            </w:pPr>
            <w:r>
              <w:rPr>
                <w:rFonts w:ascii="宋体" w:hAnsi="宋体" w:eastAsia="宋体"/>
                <w:sz w:val="16"/>
              </w:rPr>
              <w:t>&lt;=0.39万元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0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F8FB">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E1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7C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43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79EA">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9AD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72FF">
            <w:pPr>
              <w:jc w:val="center"/>
            </w:pPr>
          </w:p>
        </w:tc>
      </w:tr>
      <w:tr w14:paraId="67338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23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81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CF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E6FA">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030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4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DB2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9E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D5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A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467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D74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6C7D">
            <w:pPr>
              <w:jc w:val="center"/>
            </w:pPr>
          </w:p>
        </w:tc>
      </w:tr>
      <w:tr w14:paraId="6BB9C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63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2F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0A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DB6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8D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4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B4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0E7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D0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B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06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472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AFBF5">
            <w:pPr>
              <w:jc w:val="center"/>
            </w:pPr>
          </w:p>
        </w:tc>
      </w:tr>
      <w:tr w14:paraId="382BFB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24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12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BF4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2D3403">
            <w:pPr>
              <w:jc w:val="center"/>
            </w:pPr>
            <w:r>
              <w:rPr>
                <w:rFonts w:ascii="宋体" w:hAnsi="宋体" w:eastAsia="宋体"/>
                <w:sz w:val="16"/>
              </w:rPr>
              <w:t>100分</w:t>
            </w:r>
          </w:p>
        </w:tc>
      </w:tr>
    </w:tbl>
    <w:p w14:paraId="4E0D6A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EDAD71">
        <w:tblPrEx>
          <w:tblCellMar>
            <w:top w:w="0" w:type="dxa"/>
            <w:left w:w="108" w:type="dxa"/>
            <w:bottom w:w="0" w:type="dxa"/>
            <w:right w:w="108" w:type="dxa"/>
          </w:tblCellMar>
        </w:tblPrEx>
        <w:tc>
          <w:tcPr>
            <w:tcW w:w="8848" w:type="dxa"/>
            <w:gridSpan w:val="14"/>
            <w:vAlign w:val="center"/>
          </w:tcPr>
          <w:p w14:paraId="558C3616">
            <w:pPr>
              <w:jc w:val="center"/>
            </w:pPr>
            <w:r>
              <w:rPr>
                <w:rFonts w:ascii="宋体" w:hAnsi="宋体" w:eastAsia="宋体"/>
                <w:sz w:val="24"/>
              </w:rPr>
              <w:t>项目支出绩效自评表</w:t>
            </w:r>
          </w:p>
        </w:tc>
      </w:tr>
      <w:tr w14:paraId="48BCAEB1">
        <w:tblPrEx>
          <w:tblCellMar>
            <w:top w:w="0" w:type="dxa"/>
            <w:left w:w="108" w:type="dxa"/>
            <w:bottom w:w="0" w:type="dxa"/>
            <w:right w:w="108" w:type="dxa"/>
          </w:tblCellMar>
        </w:tblPrEx>
        <w:tc>
          <w:tcPr>
            <w:tcW w:w="8848" w:type="dxa"/>
            <w:gridSpan w:val="14"/>
            <w:vAlign w:val="center"/>
          </w:tcPr>
          <w:p w14:paraId="4081F9E6">
            <w:pPr>
              <w:jc w:val="center"/>
            </w:pPr>
            <w:r>
              <w:rPr>
                <w:rFonts w:ascii="宋体" w:hAnsi="宋体" w:eastAsia="宋体"/>
                <w:sz w:val="24"/>
              </w:rPr>
              <w:t>(2024年度)</w:t>
            </w:r>
          </w:p>
        </w:tc>
      </w:tr>
      <w:tr w14:paraId="3E0F91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89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936E86">
            <w:pPr>
              <w:jc w:val="center"/>
            </w:pPr>
            <w:r>
              <w:rPr>
                <w:rFonts w:ascii="宋体" w:hAnsi="宋体" w:eastAsia="宋体"/>
                <w:sz w:val="16"/>
              </w:rPr>
              <w:t>2024年为民办实事和第一书记工作经费</w:t>
            </w:r>
          </w:p>
        </w:tc>
      </w:tr>
      <w:tr w14:paraId="17759F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B6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659E5">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8C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DB718">
            <w:pPr>
              <w:jc w:val="center"/>
            </w:pPr>
            <w:r>
              <w:rPr>
                <w:rFonts w:ascii="宋体" w:hAnsi="宋体" w:eastAsia="宋体"/>
                <w:sz w:val="16"/>
              </w:rPr>
              <w:t>克孜勒苏柯尔克孜自治州农村合作经济发展指导中心</w:t>
            </w:r>
          </w:p>
        </w:tc>
      </w:tr>
      <w:tr w14:paraId="1B9D9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A54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565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A6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ECB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4D7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943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59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85C3">
            <w:pPr>
              <w:jc w:val="center"/>
            </w:pPr>
            <w:r>
              <w:rPr>
                <w:rFonts w:ascii="宋体" w:hAnsi="宋体" w:eastAsia="宋体"/>
                <w:sz w:val="16"/>
              </w:rPr>
              <w:t>得分</w:t>
            </w:r>
          </w:p>
        </w:tc>
      </w:tr>
      <w:tr w14:paraId="244AE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AB6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E9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E49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55AC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0229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05B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F9A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0071">
            <w:pPr>
              <w:jc w:val="center"/>
            </w:pPr>
            <w:r>
              <w:rPr>
                <w:rFonts w:ascii="宋体" w:hAnsi="宋体" w:eastAsia="宋体"/>
                <w:sz w:val="16"/>
              </w:rPr>
              <w:t>10.00分</w:t>
            </w:r>
          </w:p>
        </w:tc>
      </w:tr>
      <w:tr w14:paraId="154AC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39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45D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DB4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D812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5CFD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D0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7C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A849">
            <w:pPr>
              <w:jc w:val="center"/>
            </w:pPr>
            <w:r>
              <w:rPr>
                <w:rFonts w:ascii="宋体" w:hAnsi="宋体" w:eastAsia="宋体"/>
                <w:sz w:val="16"/>
              </w:rPr>
              <w:t>—</w:t>
            </w:r>
          </w:p>
        </w:tc>
      </w:tr>
      <w:tr w14:paraId="7DC88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D00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535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C95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90C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B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8B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E8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B8D0">
            <w:pPr>
              <w:jc w:val="center"/>
            </w:pPr>
            <w:r>
              <w:rPr>
                <w:rFonts w:ascii="宋体" w:hAnsi="宋体" w:eastAsia="宋体"/>
                <w:sz w:val="16"/>
              </w:rPr>
              <w:t>—</w:t>
            </w:r>
          </w:p>
        </w:tc>
      </w:tr>
      <w:tr w14:paraId="79BEC6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A18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259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F383AD">
            <w:pPr>
              <w:jc w:val="center"/>
            </w:pPr>
            <w:r>
              <w:rPr>
                <w:rFonts w:ascii="宋体" w:hAnsi="宋体" w:eastAsia="宋体"/>
                <w:sz w:val="16"/>
              </w:rPr>
              <w:t>实际完成情况</w:t>
            </w:r>
          </w:p>
        </w:tc>
      </w:tr>
      <w:tr w14:paraId="1C673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23C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52BF9">
            <w:pPr>
              <w:jc w:val="both"/>
            </w:pPr>
            <w:r>
              <w:rPr>
                <w:rFonts w:ascii="宋体" w:hAnsi="宋体" w:eastAsia="宋体"/>
                <w:sz w:val="16"/>
              </w:rPr>
              <w:t>该项目总投资17万元，其中：财政资金17万元，其他资金0万元，主要用于为民办实事经费和资金用于第一书记工作经费，营造安定和谐稳定的社会局面，着力解决农民反映的热点、难点问题，开展各项文体活动、节日慰问等，有利于营造安定和谐稳定的社会局面，通过该项目实施达到确保工作队各项工作顺利开展，完成相关任务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E93743">
            <w:pPr>
              <w:jc w:val="both"/>
            </w:pPr>
            <w:r>
              <w:rPr>
                <w:rFonts w:ascii="宋体" w:hAnsi="宋体" w:eastAsia="宋体"/>
                <w:sz w:val="16"/>
              </w:rPr>
              <w:t>截至2024年12月31日，该项目执行数为17万元，已完成：宣传活动场次2次，开展文体活动次数4场次，帮助困难家庭80户，节日期间慰问、座谈次数2次，通过该项目的实施，有效保障营造安定和谐稳定的社会局面，确保工作队各项工作顺利开展，完成相关任务效果。</w:t>
            </w:r>
          </w:p>
        </w:tc>
      </w:tr>
      <w:tr w14:paraId="7B446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EB3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81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75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7D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4C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95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4B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51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5B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5D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48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ED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B8CE">
            <w:pPr>
              <w:jc w:val="center"/>
            </w:pPr>
            <w:r>
              <w:rPr>
                <w:rFonts w:ascii="宋体" w:hAnsi="宋体" w:eastAsia="宋体"/>
                <w:sz w:val="16"/>
              </w:rPr>
              <w:t>偏差原因分析及改进措施</w:t>
            </w:r>
          </w:p>
        </w:tc>
      </w:tr>
      <w:tr w14:paraId="04F8A6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E7B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98E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345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4BA8">
            <w:pPr>
              <w:jc w:val="center"/>
            </w:pPr>
            <w:r>
              <w:rPr>
                <w:rFonts w:ascii="宋体" w:hAnsi="宋体" w:eastAsia="宋体"/>
                <w:sz w:val="16"/>
              </w:rPr>
              <w:t>宣传活动场次（次）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C33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2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B22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6F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5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6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822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AA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79E84">
            <w:pPr>
              <w:jc w:val="center"/>
            </w:pPr>
          </w:p>
        </w:tc>
      </w:tr>
      <w:tr w14:paraId="5CA82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5C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65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BA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F017">
            <w:pPr>
              <w:jc w:val="center"/>
            </w:pPr>
            <w:r>
              <w:rPr>
                <w:rFonts w:ascii="宋体" w:hAnsi="宋体" w:eastAsia="宋体"/>
                <w:sz w:val="16"/>
              </w:rPr>
              <w:t>开展文体活动次数（场次）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AAC2">
            <w:pPr>
              <w:jc w:val="center"/>
            </w:pPr>
            <w:r>
              <w:rPr>
                <w:rFonts w:ascii="宋体" w:hAnsi="宋体" w:eastAsia="宋体"/>
                <w:sz w:val="16"/>
              </w:rPr>
              <w:t>&gt;=4场次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8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C4BA">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3D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C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B9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39A6">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EA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FBF7">
            <w:pPr>
              <w:jc w:val="center"/>
            </w:pPr>
          </w:p>
        </w:tc>
      </w:tr>
      <w:tr w14:paraId="72C8A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C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87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44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7E3A">
            <w:pPr>
              <w:jc w:val="center"/>
            </w:pPr>
            <w:r>
              <w:rPr>
                <w:rFonts w:ascii="宋体" w:hAnsi="宋体" w:eastAsia="宋体"/>
                <w:sz w:val="16"/>
              </w:rPr>
              <w:t>帮助困难家庭（户）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BE95">
            <w:pPr>
              <w:jc w:val="center"/>
            </w:pPr>
            <w:r>
              <w:rPr>
                <w:rFonts w:ascii="宋体" w:hAnsi="宋体" w:eastAsia="宋体"/>
                <w:sz w:val="16"/>
              </w:rPr>
              <w:t>&gt;=80户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F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E0A7">
            <w:pPr>
              <w:jc w:val="center"/>
            </w:pPr>
            <w:r>
              <w:rPr>
                <w:rFonts w:ascii="宋体" w:hAnsi="宋体" w:eastAsia="宋体"/>
                <w:sz w:val="16"/>
              </w:rPr>
              <w:t>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FC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E6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3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1E63">
            <w:pPr>
              <w:jc w:val="center"/>
            </w:pPr>
            <w:r>
              <w:rPr>
                <w:rFonts w:ascii="宋体" w:hAnsi="宋体" w:eastAsia="宋体"/>
                <w:sz w:val="16"/>
              </w:rPr>
              <w:t>=80户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1C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7846E">
            <w:pPr>
              <w:jc w:val="center"/>
            </w:pPr>
          </w:p>
        </w:tc>
      </w:tr>
      <w:tr w14:paraId="7CB82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A5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D7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EB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7839">
            <w:pPr>
              <w:jc w:val="center"/>
            </w:pPr>
            <w:r>
              <w:rPr>
                <w:rFonts w:ascii="宋体" w:hAnsi="宋体" w:eastAsia="宋体"/>
                <w:sz w:val="16"/>
              </w:rPr>
              <w:t>节日期间慰问、座谈次数（次）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CDD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1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B50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20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C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B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A3D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73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E191">
            <w:pPr>
              <w:jc w:val="center"/>
            </w:pPr>
          </w:p>
        </w:tc>
      </w:tr>
      <w:tr w14:paraId="41AF0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32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1EB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28F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099C">
            <w:pPr>
              <w:jc w:val="center"/>
            </w:pPr>
            <w:r>
              <w:rPr>
                <w:rFonts w:ascii="宋体" w:hAnsi="宋体" w:eastAsia="宋体"/>
                <w:sz w:val="16"/>
              </w:rPr>
              <w:t>开展文体活动参与率(%)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D4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67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94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04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9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1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3DE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BBF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72E14">
            <w:pPr>
              <w:jc w:val="center"/>
            </w:pPr>
          </w:p>
        </w:tc>
      </w:tr>
      <w:tr w14:paraId="3659D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03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4C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74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31F7">
            <w:pPr>
              <w:jc w:val="center"/>
            </w:pPr>
            <w:r>
              <w:rPr>
                <w:rFonts w:ascii="宋体" w:hAnsi="宋体" w:eastAsia="宋体"/>
                <w:sz w:val="16"/>
              </w:rPr>
              <w:t>走访群众覆盖率（%）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C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8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D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F3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D6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E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3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FC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02CF8">
            <w:pPr>
              <w:jc w:val="center"/>
            </w:pPr>
          </w:p>
        </w:tc>
      </w:tr>
      <w:tr w14:paraId="5BD7D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1C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87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7C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265D">
            <w:pPr>
              <w:jc w:val="center"/>
            </w:pPr>
            <w:r>
              <w:rPr>
                <w:rFonts w:ascii="宋体" w:hAnsi="宋体" w:eastAsia="宋体"/>
                <w:sz w:val="16"/>
              </w:rPr>
              <w:t>帮助困难家庭及时率（%）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2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0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7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E8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3D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4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6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12F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337D7">
            <w:pPr>
              <w:jc w:val="center"/>
            </w:pPr>
          </w:p>
        </w:tc>
      </w:tr>
      <w:tr w14:paraId="3704E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9A3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A8A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EFB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202">
            <w:pPr>
              <w:jc w:val="center"/>
            </w:pPr>
            <w:r>
              <w:rPr>
                <w:rFonts w:ascii="宋体" w:hAnsi="宋体" w:eastAsia="宋体"/>
                <w:sz w:val="16"/>
              </w:rPr>
              <w:t>开展文体活动（万元）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954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2E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EC40">
            <w:pPr>
              <w:jc w:val="center"/>
            </w:pPr>
            <w:r>
              <w:rPr>
                <w:rFonts w:ascii="宋体" w:hAnsi="宋体" w:eastAsia="宋体"/>
                <w:sz w:val="16"/>
              </w:rPr>
              <w:t>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38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4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FC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C27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1F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9177">
            <w:pPr>
              <w:jc w:val="center"/>
            </w:pPr>
          </w:p>
        </w:tc>
      </w:tr>
      <w:tr w14:paraId="7E7FF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5B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08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0B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CBFE">
            <w:pPr>
              <w:jc w:val="center"/>
            </w:pPr>
            <w:r>
              <w:rPr>
                <w:rFonts w:ascii="宋体" w:hAnsi="宋体" w:eastAsia="宋体"/>
                <w:sz w:val="16"/>
              </w:rPr>
              <w:t>宣传活动经费（万元）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19C3">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F8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9A64">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CF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0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9E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8C01">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331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70ED4">
            <w:pPr>
              <w:jc w:val="center"/>
            </w:pPr>
          </w:p>
        </w:tc>
      </w:tr>
      <w:tr w14:paraId="22EE9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9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E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00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30B3">
            <w:pPr>
              <w:jc w:val="center"/>
            </w:pPr>
            <w:r>
              <w:rPr>
                <w:rFonts w:ascii="宋体" w:hAnsi="宋体" w:eastAsia="宋体"/>
                <w:sz w:val="16"/>
              </w:rPr>
              <w:t>帮助困难家庭（万元）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40C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5F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D9A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E2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C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B9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4F0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54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16514">
            <w:pPr>
              <w:jc w:val="center"/>
            </w:pPr>
          </w:p>
        </w:tc>
      </w:tr>
      <w:tr w14:paraId="27289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E3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15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85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0438">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A1F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A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F7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F6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50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2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896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C3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ED61F">
            <w:pPr>
              <w:jc w:val="center"/>
            </w:pPr>
          </w:p>
        </w:tc>
      </w:tr>
      <w:tr w14:paraId="6E198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FE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4B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E0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254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D5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C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0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E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C5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52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0E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7F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7286">
            <w:pPr>
              <w:jc w:val="center"/>
            </w:pPr>
          </w:p>
        </w:tc>
      </w:tr>
      <w:tr w14:paraId="6BF361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77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40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0D5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D30BC">
            <w:pPr>
              <w:jc w:val="center"/>
            </w:pPr>
            <w:r>
              <w:rPr>
                <w:rFonts w:ascii="宋体" w:hAnsi="宋体" w:eastAsia="宋体"/>
                <w:sz w:val="16"/>
              </w:rPr>
              <w:t>100分</w:t>
            </w:r>
          </w:p>
        </w:tc>
      </w:tr>
    </w:tbl>
    <w:p w14:paraId="710299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272DF15">
        <w:tblPrEx>
          <w:tblCellMar>
            <w:top w:w="0" w:type="dxa"/>
            <w:left w:w="108" w:type="dxa"/>
            <w:bottom w:w="0" w:type="dxa"/>
            <w:right w:w="108" w:type="dxa"/>
          </w:tblCellMar>
        </w:tblPrEx>
        <w:tc>
          <w:tcPr>
            <w:tcW w:w="8848" w:type="dxa"/>
            <w:gridSpan w:val="14"/>
            <w:vAlign w:val="center"/>
          </w:tcPr>
          <w:p w14:paraId="6F4B1D16">
            <w:pPr>
              <w:jc w:val="center"/>
            </w:pPr>
            <w:r>
              <w:rPr>
                <w:rFonts w:ascii="宋体" w:hAnsi="宋体" w:eastAsia="宋体"/>
                <w:sz w:val="24"/>
              </w:rPr>
              <w:t>项目支出绩效自评表</w:t>
            </w:r>
          </w:p>
        </w:tc>
      </w:tr>
      <w:tr w14:paraId="0D097E28">
        <w:tblPrEx>
          <w:tblCellMar>
            <w:top w:w="0" w:type="dxa"/>
            <w:left w:w="108" w:type="dxa"/>
            <w:bottom w:w="0" w:type="dxa"/>
            <w:right w:w="108" w:type="dxa"/>
          </w:tblCellMar>
        </w:tblPrEx>
        <w:tc>
          <w:tcPr>
            <w:tcW w:w="8848" w:type="dxa"/>
            <w:gridSpan w:val="14"/>
            <w:vAlign w:val="center"/>
          </w:tcPr>
          <w:p w14:paraId="4C3E0C05">
            <w:pPr>
              <w:jc w:val="center"/>
            </w:pPr>
            <w:r>
              <w:rPr>
                <w:rFonts w:ascii="宋体" w:hAnsi="宋体" w:eastAsia="宋体"/>
                <w:sz w:val="24"/>
              </w:rPr>
              <w:t>(2024年度)</w:t>
            </w:r>
          </w:p>
        </w:tc>
      </w:tr>
      <w:tr w14:paraId="30FDC9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B5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683778">
            <w:pPr>
              <w:jc w:val="center"/>
            </w:pPr>
            <w:r>
              <w:rPr>
                <w:rFonts w:ascii="宋体" w:hAnsi="宋体" w:eastAsia="宋体"/>
                <w:sz w:val="16"/>
              </w:rPr>
              <w:t>2024年自治区农业生产发展资金</w:t>
            </w:r>
          </w:p>
        </w:tc>
      </w:tr>
      <w:tr w14:paraId="12C93F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F0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C5F95">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40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0B21B0">
            <w:pPr>
              <w:jc w:val="center"/>
            </w:pPr>
            <w:r>
              <w:rPr>
                <w:rFonts w:ascii="宋体" w:hAnsi="宋体" w:eastAsia="宋体"/>
                <w:sz w:val="16"/>
              </w:rPr>
              <w:t>克孜勒苏柯尔克孜自治州农村合作经济发展指导中心</w:t>
            </w:r>
          </w:p>
        </w:tc>
      </w:tr>
      <w:tr w14:paraId="6594BD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DEA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21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E0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F4B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819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95E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FAF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D4EB">
            <w:pPr>
              <w:jc w:val="center"/>
            </w:pPr>
            <w:r>
              <w:rPr>
                <w:rFonts w:ascii="宋体" w:hAnsi="宋体" w:eastAsia="宋体"/>
                <w:sz w:val="16"/>
              </w:rPr>
              <w:t>得分</w:t>
            </w:r>
          </w:p>
        </w:tc>
      </w:tr>
      <w:tr w14:paraId="0CFB5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38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7F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F9AC6">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FF20">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B15C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69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7D4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79B9">
            <w:pPr>
              <w:jc w:val="center"/>
            </w:pPr>
            <w:r>
              <w:rPr>
                <w:rFonts w:ascii="宋体" w:hAnsi="宋体" w:eastAsia="宋体"/>
                <w:sz w:val="16"/>
              </w:rPr>
              <w:t>10.00分</w:t>
            </w:r>
          </w:p>
        </w:tc>
      </w:tr>
      <w:tr w14:paraId="1FCD6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60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26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BA38">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D3682">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0BA37">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01D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12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6CDD">
            <w:pPr>
              <w:jc w:val="center"/>
            </w:pPr>
            <w:r>
              <w:rPr>
                <w:rFonts w:ascii="宋体" w:hAnsi="宋体" w:eastAsia="宋体"/>
                <w:sz w:val="16"/>
              </w:rPr>
              <w:t>—</w:t>
            </w:r>
          </w:p>
        </w:tc>
      </w:tr>
      <w:tr w14:paraId="36F15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2B4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05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789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28B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DD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CBB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F0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7651">
            <w:pPr>
              <w:jc w:val="center"/>
            </w:pPr>
            <w:r>
              <w:rPr>
                <w:rFonts w:ascii="宋体" w:hAnsi="宋体" w:eastAsia="宋体"/>
                <w:sz w:val="16"/>
              </w:rPr>
              <w:t>—</w:t>
            </w:r>
          </w:p>
        </w:tc>
      </w:tr>
      <w:tr w14:paraId="7F4C7B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914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746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BE2CC">
            <w:pPr>
              <w:jc w:val="center"/>
            </w:pPr>
            <w:r>
              <w:rPr>
                <w:rFonts w:ascii="宋体" w:hAnsi="宋体" w:eastAsia="宋体"/>
                <w:sz w:val="16"/>
              </w:rPr>
              <w:t>实际完成情况</w:t>
            </w:r>
          </w:p>
        </w:tc>
      </w:tr>
      <w:tr w14:paraId="35C8E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1F8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ABF880">
            <w:pPr>
              <w:jc w:val="both"/>
            </w:pPr>
            <w:r>
              <w:rPr>
                <w:rFonts w:ascii="宋体" w:hAnsi="宋体" w:eastAsia="宋体"/>
                <w:sz w:val="16"/>
              </w:rPr>
              <w:t>该项目总投资7.5万元，其中：财政资金7.5万元，其他资金0万元，根据《关于提前下达2024年自治区农业生产发展资金预算的通知》（克财农</w:t>
            </w:r>
            <w:r>
              <w:rPr>
                <w:rFonts w:hint="eastAsia" w:ascii="宋体" w:hAnsi="宋体"/>
                <w:sz w:val="16"/>
                <w:lang w:eastAsia="zh-CN"/>
              </w:rPr>
              <w:t>〔2022〕44号</w:t>
            </w:r>
            <w:r>
              <w:rPr>
                <w:rFonts w:ascii="宋体" w:hAnsi="宋体" w:eastAsia="宋体"/>
                <w:sz w:val="16"/>
              </w:rPr>
              <w:t>）文件要求，资金主要用于对三县一市辖属农民合作社，家庭农场、农村集体经济组织、农业生产社会化服务等新型农业经营主体培训、督导检查、项目审计等指导服务工作任务，有利于我州新型农业经营主体规范化发展，完善基础制度，加强能力建设，通过该项目实施达到我州新型农业经营主体高质量发展，全面推进乡村振兴，加快农业农村现代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5238A5">
            <w:pPr>
              <w:jc w:val="both"/>
            </w:pPr>
            <w:r>
              <w:rPr>
                <w:rFonts w:ascii="宋体" w:hAnsi="宋体" w:eastAsia="宋体"/>
                <w:sz w:val="16"/>
              </w:rPr>
              <w:t>截至2024年12月31日，该项目执行数为7.5万元，已完成：新型职业农民培育人数48人，指导服务次数5次，通过该项目的实施，有效保障我州新型农业经营主体规范化发展，完善基础制度，加强能力建设，我州新型农业经营主体高质量发展，全面推进乡村振兴，加快农业农村现代化。</w:t>
            </w:r>
          </w:p>
        </w:tc>
      </w:tr>
      <w:tr w14:paraId="46673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FB0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4E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92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6B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CD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89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6A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A2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A7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F5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51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7C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F59CB">
            <w:pPr>
              <w:jc w:val="center"/>
            </w:pPr>
            <w:r>
              <w:rPr>
                <w:rFonts w:ascii="宋体" w:hAnsi="宋体" w:eastAsia="宋体"/>
                <w:sz w:val="16"/>
              </w:rPr>
              <w:t>偏差原因分析及改进措施</w:t>
            </w:r>
          </w:p>
        </w:tc>
      </w:tr>
      <w:tr w14:paraId="2C6AAB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C06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237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A8D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7EE4">
            <w:pPr>
              <w:jc w:val="center"/>
            </w:pPr>
            <w:r>
              <w:rPr>
                <w:rFonts w:ascii="宋体" w:hAnsi="宋体" w:eastAsia="宋体"/>
                <w:sz w:val="16"/>
              </w:rPr>
              <w:t>开展新型农业经营主体指导服务（次）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A3D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C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9A0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A1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0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3C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850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B2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2439">
            <w:pPr>
              <w:jc w:val="center"/>
            </w:pPr>
          </w:p>
        </w:tc>
      </w:tr>
      <w:tr w14:paraId="52AAF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76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1B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9A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7A8">
            <w:pPr>
              <w:jc w:val="center"/>
            </w:pPr>
            <w:r>
              <w:rPr>
                <w:rFonts w:ascii="宋体" w:hAnsi="宋体" w:eastAsia="宋体"/>
                <w:sz w:val="16"/>
              </w:rPr>
              <w:t>开展新型农业经营主体培训（人）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2916">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B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A1F5">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A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F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EB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0F9C">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EE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36E6">
            <w:pPr>
              <w:jc w:val="center"/>
            </w:pPr>
            <w:r>
              <w:rPr>
                <w:rFonts w:ascii="宋体" w:hAnsi="宋体" w:eastAsia="宋体"/>
                <w:sz w:val="16"/>
              </w:rPr>
              <w:t>偏差原因：此次培训在基层开展培训，用更少的经费培训更多的学员。改进措施：今后编制绩效目标时与基层单位多联系，将绩效目标编制更加精准。</w:t>
            </w:r>
          </w:p>
        </w:tc>
      </w:tr>
      <w:tr w14:paraId="321CC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AF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43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9D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2ABE">
            <w:pPr>
              <w:jc w:val="center"/>
            </w:pPr>
            <w:r>
              <w:rPr>
                <w:rFonts w:ascii="宋体" w:hAnsi="宋体" w:eastAsia="宋体"/>
                <w:sz w:val="16"/>
              </w:rPr>
              <w:t>新型农业经营主体培训（%）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5F5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30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9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81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E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B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0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E6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ED114">
            <w:pPr>
              <w:jc w:val="center"/>
            </w:pPr>
          </w:p>
        </w:tc>
      </w:tr>
      <w:tr w14:paraId="78EBF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54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F9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2A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09E6">
            <w:pPr>
              <w:jc w:val="center"/>
            </w:pPr>
            <w:r>
              <w:rPr>
                <w:rFonts w:ascii="宋体" w:hAnsi="宋体" w:eastAsia="宋体"/>
                <w:sz w:val="16"/>
              </w:rPr>
              <w:t>年度指导任务按时完成率（%）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0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3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B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4D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1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2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9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D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7EFF6">
            <w:pPr>
              <w:jc w:val="center"/>
            </w:pPr>
          </w:p>
        </w:tc>
      </w:tr>
      <w:tr w14:paraId="6933A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452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A1A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C7E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AEFC">
            <w:pPr>
              <w:jc w:val="center"/>
            </w:pPr>
            <w:r>
              <w:rPr>
                <w:rFonts w:ascii="宋体" w:hAnsi="宋体" w:eastAsia="宋体"/>
                <w:sz w:val="16"/>
              </w:rPr>
              <w:t>保障指导服务工作开展经费（万元）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773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52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142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90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3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D0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300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C44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1F1CE">
            <w:pPr>
              <w:jc w:val="center"/>
            </w:pPr>
          </w:p>
        </w:tc>
      </w:tr>
      <w:tr w14:paraId="7ED62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D7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23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95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36D3">
            <w:pPr>
              <w:jc w:val="center"/>
            </w:pPr>
            <w:r>
              <w:rPr>
                <w:rFonts w:ascii="宋体" w:hAnsi="宋体" w:eastAsia="宋体"/>
                <w:sz w:val="16"/>
              </w:rPr>
              <w:t>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5958">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87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775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AF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B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DF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EBAD">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1A3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46D31">
            <w:pPr>
              <w:jc w:val="center"/>
            </w:pPr>
          </w:p>
        </w:tc>
      </w:tr>
      <w:tr w14:paraId="636CA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01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F3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74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5BBC">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FC5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63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84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C3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C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F3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5E0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EB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3D021">
            <w:pPr>
              <w:jc w:val="center"/>
            </w:pPr>
          </w:p>
        </w:tc>
      </w:tr>
      <w:tr w14:paraId="43C7D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1E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91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20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EA19">
            <w:pPr>
              <w:jc w:val="center"/>
            </w:pPr>
            <w:r>
              <w:rPr>
                <w:rFonts w:ascii="宋体" w:hAnsi="宋体" w:eastAsia="宋体"/>
                <w:sz w:val="16"/>
              </w:rPr>
              <w:t>新型农业经营主体发展良好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6CF7">
            <w:pPr>
              <w:jc w:val="center"/>
            </w:pPr>
            <w:r>
              <w:rPr>
                <w:rFonts w:ascii="宋体" w:hAnsi="宋体" w:eastAsia="宋体"/>
                <w:sz w:val="16"/>
              </w:rPr>
              <w:t>发展良好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C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FE8E">
            <w:pPr>
              <w:jc w:val="center"/>
            </w:pPr>
            <w:r>
              <w:rPr>
                <w:rFonts w:ascii="宋体" w:hAnsi="宋体" w:eastAsia="宋体"/>
                <w:sz w:val="16"/>
              </w:rPr>
              <w:t>发展良好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71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75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09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3143">
            <w:pPr>
              <w:jc w:val="center"/>
            </w:pPr>
            <w:r>
              <w:rPr>
                <w:rFonts w:ascii="宋体" w:hAnsi="宋体" w:eastAsia="宋体"/>
                <w:sz w:val="16"/>
              </w:rPr>
              <w:t>发展良好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6F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C5E0">
            <w:pPr>
              <w:jc w:val="center"/>
            </w:pPr>
          </w:p>
        </w:tc>
      </w:tr>
      <w:tr w14:paraId="61C6D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E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84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C3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0BB9">
            <w:pPr>
              <w:jc w:val="center"/>
            </w:pPr>
            <w:r>
              <w:rPr>
                <w:rFonts w:ascii="宋体" w:hAnsi="宋体" w:eastAsia="宋体"/>
                <w:sz w:val="16"/>
              </w:rPr>
              <w:t>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DA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2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D4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BF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28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9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75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03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98A0">
            <w:pPr>
              <w:jc w:val="center"/>
            </w:pPr>
          </w:p>
        </w:tc>
      </w:tr>
      <w:tr w14:paraId="4D4049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8B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3FC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661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6A146D">
            <w:pPr>
              <w:jc w:val="center"/>
            </w:pPr>
            <w:r>
              <w:rPr>
                <w:rFonts w:ascii="宋体" w:hAnsi="宋体" w:eastAsia="宋体"/>
                <w:sz w:val="16"/>
              </w:rPr>
              <w:t>98分</w:t>
            </w:r>
          </w:p>
        </w:tc>
      </w:tr>
    </w:tbl>
    <w:p w14:paraId="0FED13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A197094">
        <w:tblPrEx>
          <w:tblCellMar>
            <w:top w:w="0" w:type="dxa"/>
            <w:left w:w="108" w:type="dxa"/>
            <w:bottom w:w="0" w:type="dxa"/>
            <w:right w:w="108" w:type="dxa"/>
          </w:tblCellMar>
        </w:tblPrEx>
        <w:tc>
          <w:tcPr>
            <w:tcW w:w="8848" w:type="dxa"/>
            <w:gridSpan w:val="14"/>
            <w:vAlign w:val="center"/>
          </w:tcPr>
          <w:p w14:paraId="35A06C59">
            <w:pPr>
              <w:jc w:val="center"/>
            </w:pPr>
            <w:r>
              <w:rPr>
                <w:rFonts w:ascii="宋体" w:hAnsi="宋体" w:eastAsia="宋体"/>
                <w:sz w:val="24"/>
              </w:rPr>
              <w:t>项目支出绩效自评表</w:t>
            </w:r>
          </w:p>
        </w:tc>
      </w:tr>
      <w:tr w14:paraId="45A1013B">
        <w:tblPrEx>
          <w:tblCellMar>
            <w:top w:w="0" w:type="dxa"/>
            <w:left w:w="108" w:type="dxa"/>
            <w:bottom w:w="0" w:type="dxa"/>
            <w:right w:w="108" w:type="dxa"/>
          </w:tblCellMar>
        </w:tblPrEx>
        <w:tc>
          <w:tcPr>
            <w:tcW w:w="8848" w:type="dxa"/>
            <w:gridSpan w:val="14"/>
            <w:vAlign w:val="center"/>
          </w:tcPr>
          <w:p w14:paraId="2E539734">
            <w:pPr>
              <w:jc w:val="center"/>
            </w:pPr>
            <w:r>
              <w:rPr>
                <w:rFonts w:ascii="宋体" w:hAnsi="宋体" w:eastAsia="宋体"/>
                <w:sz w:val="24"/>
              </w:rPr>
              <w:t>(2024年度)</w:t>
            </w:r>
          </w:p>
        </w:tc>
      </w:tr>
      <w:tr w14:paraId="39E36A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07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7C1542">
            <w:pPr>
              <w:jc w:val="center"/>
            </w:pPr>
            <w:r>
              <w:rPr>
                <w:rFonts w:ascii="宋体" w:hAnsi="宋体" w:eastAsia="宋体"/>
                <w:sz w:val="16"/>
              </w:rPr>
              <w:t>农村土地仲裁确权工作经费</w:t>
            </w:r>
          </w:p>
        </w:tc>
      </w:tr>
      <w:tr w14:paraId="1C792F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AE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0F8D3">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BC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9B4B4A">
            <w:pPr>
              <w:jc w:val="center"/>
            </w:pPr>
            <w:r>
              <w:rPr>
                <w:rFonts w:ascii="宋体" w:hAnsi="宋体" w:eastAsia="宋体"/>
                <w:sz w:val="16"/>
              </w:rPr>
              <w:t>克孜勒苏柯尔克孜自治州农村合作经济发展指导中心</w:t>
            </w:r>
          </w:p>
        </w:tc>
      </w:tr>
      <w:tr w14:paraId="619C52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006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CC3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E8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6C1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A10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E7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0FB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7B5B">
            <w:pPr>
              <w:jc w:val="center"/>
            </w:pPr>
            <w:r>
              <w:rPr>
                <w:rFonts w:ascii="宋体" w:hAnsi="宋体" w:eastAsia="宋体"/>
                <w:sz w:val="16"/>
              </w:rPr>
              <w:t>得分</w:t>
            </w:r>
          </w:p>
        </w:tc>
      </w:tr>
      <w:tr w14:paraId="0DE36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7EB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D7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2232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1A91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53C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85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1ED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2A83">
            <w:pPr>
              <w:jc w:val="center"/>
            </w:pPr>
            <w:r>
              <w:rPr>
                <w:rFonts w:ascii="宋体" w:hAnsi="宋体" w:eastAsia="宋体"/>
                <w:sz w:val="16"/>
              </w:rPr>
              <w:t>10.00分</w:t>
            </w:r>
          </w:p>
        </w:tc>
      </w:tr>
      <w:tr w14:paraId="1855D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A65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9EA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971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3FB9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85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025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4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D8A9">
            <w:pPr>
              <w:jc w:val="center"/>
            </w:pPr>
            <w:r>
              <w:rPr>
                <w:rFonts w:ascii="宋体" w:hAnsi="宋体" w:eastAsia="宋体"/>
                <w:sz w:val="16"/>
              </w:rPr>
              <w:t>—</w:t>
            </w:r>
          </w:p>
        </w:tc>
      </w:tr>
      <w:tr w14:paraId="76AC8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B0A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F1C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1D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4FB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7D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36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8B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C57D">
            <w:pPr>
              <w:jc w:val="center"/>
            </w:pPr>
            <w:r>
              <w:rPr>
                <w:rFonts w:ascii="宋体" w:hAnsi="宋体" w:eastAsia="宋体"/>
                <w:sz w:val="16"/>
              </w:rPr>
              <w:t>—</w:t>
            </w:r>
          </w:p>
        </w:tc>
      </w:tr>
      <w:tr w14:paraId="0DA26B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D36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66F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3F09D">
            <w:pPr>
              <w:jc w:val="center"/>
            </w:pPr>
            <w:r>
              <w:rPr>
                <w:rFonts w:ascii="宋体" w:hAnsi="宋体" w:eastAsia="宋体"/>
                <w:sz w:val="16"/>
              </w:rPr>
              <w:t>实际完成情况</w:t>
            </w:r>
          </w:p>
        </w:tc>
      </w:tr>
      <w:tr w14:paraId="20797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1AA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040B1">
            <w:pPr>
              <w:jc w:val="both"/>
            </w:pPr>
            <w:r>
              <w:rPr>
                <w:rFonts w:ascii="宋体" w:hAnsi="宋体" w:eastAsia="宋体"/>
                <w:sz w:val="16"/>
              </w:rPr>
              <w:t>该项目资金5万元，其中财政资金5万元，资金主要用于对全州农村承包经营及承包经营合同纠纷开展仲裁，妥善处理农村土地纠纷案件，提升调解仲裁信息化水平，指导全州农村土地经营权流转服务工作。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BCD963">
            <w:pPr>
              <w:jc w:val="both"/>
            </w:pPr>
            <w:r>
              <w:rPr>
                <w:rFonts w:ascii="宋体" w:hAnsi="宋体" w:eastAsia="宋体"/>
                <w:sz w:val="16"/>
              </w:rPr>
              <w:t>截至2024年12月31日，该项目执行数为5万元，已完成指导工作次数4次，购买办公用品耗材批次4次，保障公务用车数量1辆，通过该项目的实施，有效保障指导全州各县市农村土地纠纷仲裁调解工作的顺利开展，监督全州农村土地经营权流转服务工作有序开展，农村集体机动地调查整理工作稳步推进。</w:t>
            </w:r>
          </w:p>
        </w:tc>
      </w:tr>
      <w:tr w14:paraId="683218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A9E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A0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3B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D2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72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C4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DF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7F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8C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58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5A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A5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21F5C">
            <w:pPr>
              <w:jc w:val="center"/>
            </w:pPr>
            <w:r>
              <w:rPr>
                <w:rFonts w:ascii="宋体" w:hAnsi="宋体" w:eastAsia="宋体"/>
                <w:sz w:val="16"/>
              </w:rPr>
              <w:t>偏差原因分析及改进措施</w:t>
            </w:r>
          </w:p>
        </w:tc>
      </w:tr>
      <w:tr w14:paraId="6E1C18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100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466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926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E98A">
            <w:pPr>
              <w:jc w:val="center"/>
            </w:pPr>
            <w:r>
              <w:rPr>
                <w:rFonts w:ascii="宋体" w:hAnsi="宋体" w:eastAsia="宋体"/>
                <w:sz w:val="16"/>
              </w:rPr>
              <w:t>指导工作次数(次）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17F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8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F0F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12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3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92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A0C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D70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FF99F">
            <w:pPr>
              <w:jc w:val="center"/>
            </w:pPr>
          </w:p>
        </w:tc>
      </w:tr>
      <w:tr w14:paraId="0F15A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30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0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E1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B38E">
            <w:pPr>
              <w:jc w:val="center"/>
            </w:pPr>
            <w:r>
              <w:rPr>
                <w:rFonts w:ascii="宋体" w:hAnsi="宋体" w:eastAsia="宋体"/>
                <w:sz w:val="16"/>
              </w:rPr>
              <w:t>购买办公用品耗材批次(批次）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5D6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E4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5AF5">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B9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4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A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1C6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DBB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7400B">
            <w:pPr>
              <w:jc w:val="center"/>
            </w:pPr>
          </w:p>
        </w:tc>
      </w:tr>
      <w:tr w14:paraId="784EB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2C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59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26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DAB7">
            <w:pPr>
              <w:jc w:val="center"/>
            </w:pPr>
            <w:r>
              <w:rPr>
                <w:rFonts w:ascii="宋体" w:hAnsi="宋体" w:eastAsia="宋体"/>
                <w:sz w:val="16"/>
              </w:rPr>
              <w:t>保障公务用车数量（辆）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82F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2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519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A8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8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4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823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976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301C0">
            <w:pPr>
              <w:jc w:val="center"/>
            </w:pPr>
          </w:p>
        </w:tc>
      </w:tr>
      <w:tr w14:paraId="05D94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65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307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F45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1550">
            <w:pPr>
              <w:jc w:val="center"/>
            </w:pPr>
            <w:r>
              <w:rPr>
                <w:rFonts w:ascii="宋体" w:hAnsi="宋体" w:eastAsia="宋体"/>
                <w:sz w:val="16"/>
              </w:rPr>
              <w:t>农村土地仲裁确权工作通过率（%）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9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2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9E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72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74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C7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9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E6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6E31B">
            <w:pPr>
              <w:jc w:val="center"/>
            </w:pPr>
          </w:p>
        </w:tc>
      </w:tr>
      <w:tr w14:paraId="47177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39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7B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1C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9615">
            <w:pPr>
              <w:jc w:val="center"/>
            </w:pPr>
            <w:r>
              <w:rPr>
                <w:rFonts w:ascii="宋体" w:hAnsi="宋体" w:eastAsia="宋体"/>
                <w:sz w:val="16"/>
              </w:rPr>
              <w:t>购买办公用品耗材验收合格率（%）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C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1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B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6D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6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7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D6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97A92">
            <w:pPr>
              <w:jc w:val="center"/>
            </w:pPr>
          </w:p>
        </w:tc>
      </w:tr>
      <w:tr w14:paraId="4D7FD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D4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5D8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D9B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1397">
            <w:pPr>
              <w:jc w:val="center"/>
            </w:pPr>
            <w:r>
              <w:rPr>
                <w:rFonts w:ascii="宋体" w:hAnsi="宋体" w:eastAsia="宋体"/>
                <w:sz w:val="16"/>
              </w:rPr>
              <w:t>年度指导工作任务按时完成率（%）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A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E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7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CC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E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65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2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B3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A421">
            <w:pPr>
              <w:jc w:val="center"/>
            </w:pPr>
          </w:p>
        </w:tc>
      </w:tr>
      <w:tr w14:paraId="1C9E3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19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50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A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6EF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2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B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3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99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6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7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F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44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26F5">
            <w:pPr>
              <w:jc w:val="center"/>
            </w:pPr>
          </w:p>
        </w:tc>
      </w:tr>
      <w:tr w14:paraId="074F8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B65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E38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458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1F84">
            <w:pPr>
              <w:jc w:val="center"/>
            </w:pPr>
            <w:r>
              <w:rPr>
                <w:rFonts w:ascii="宋体" w:hAnsi="宋体" w:eastAsia="宋体"/>
                <w:sz w:val="16"/>
              </w:rPr>
              <w:t>指导工作经费（万元）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F18F">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2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C8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1D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D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A6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27A6">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D10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E138">
            <w:pPr>
              <w:jc w:val="center"/>
            </w:pPr>
          </w:p>
        </w:tc>
      </w:tr>
      <w:tr w14:paraId="3A0DF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56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8C1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2B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6D6C">
            <w:pPr>
              <w:jc w:val="center"/>
            </w:pPr>
            <w:r>
              <w:rPr>
                <w:rFonts w:ascii="宋体" w:hAnsi="宋体" w:eastAsia="宋体"/>
                <w:sz w:val="16"/>
              </w:rPr>
              <w:t>购买办公用品耗材经费数（万元）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300D">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7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B9A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E9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8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74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0E7A">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56B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7997F">
            <w:pPr>
              <w:jc w:val="center"/>
            </w:pPr>
          </w:p>
        </w:tc>
      </w:tr>
      <w:tr w14:paraId="5189D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28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08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B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769E">
            <w:pPr>
              <w:jc w:val="center"/>
            </w:pPr>
            <w:r>
              <w:rPr>
                <w:rFonts w:ascii="宋体" w:hAnsi="宋体" w:eastAsia="宋体"/>
                <w:sz w:val="16"/>
              </w:rPr>
              <w:t>保障公务用车经费数（万元）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861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F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5D9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57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8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9E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59A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B13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5C5C7">
            <w:pPr>
              <w:jc w:val="center"/>
            </w:pPr>
          </w:p>
        </w:tc>
      </w:tr>
      <w:tr w14:paraId="2C54E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E9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B0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2F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3D3D">
            <w:pPr>
              <w:jc w:val="center"/>
            </w:pPr>
            <w:r>
              <w:rPr>
                <w:rFonts w:ascii="宋体" w:hAnsi="宋体" w:eastAsia="宋体"/>
                <w:sz w:val="16"/>
              </w:rPr>
              <w:t>维修（护）费（万元）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44F9">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B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A0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81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1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D4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7716">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A2E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331FB">
            <w:pPr>
              <w:jc w:val="center"/>
            </w:pPr>
          </w:p>
        </w:tc>
      </w:tr>
      <w:tr w14:paraId="5AAB1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47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90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E6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79EC">
            <w:pPr>
              <w:jc w:val="center"/>
            </w:pPr>
            <w:r>
              <w:rPr>
                <w:rFonts w:ascii="宋体" w:hAnsi="宋体" w:eastAsia="宋体"/>
                <w:sz w:val="16"/>
              </w:rPr>
              <w:t>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C20E">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C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18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06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7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CA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9CAE">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DCE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D7E9">
            <w:pPr>
              <w:jc w:val="center"/>
            </w:pPr>
          </w:p>
        </w:tc>
      </w:tr>
      <w:tr w14:paraId="5EC6B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38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90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34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318A">
            <w:pPr>
              <w:jc w:val="center"/>
            </w:pPr>
            <w:r>
              <w:rPr>
                <w:rFonts w:ascii="宋体" w:hAnsi="宋体" w:eastAsia="宋体"/>
                <w:sz w:val="16"/>
              </w:rPr>
              <w:t>购置办公设备（万元）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4FFA">
            <w:pPr>
              <w:jc w:val="center"/>
            </w:pPr>
            <w:r>
              <w:rPr>
                <w:rFonts w:ascii="宋体" w:hAnsi="宋体" w:eastAsia="宋体"/>
                <w:sz w:val="16"/>
              </w:rPr>
              <w:t>&lt;=1.15万元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A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68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64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D2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3A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62AA">
            <w:pPr>
              <w:jc w:val="center"/>
            </w:pPr>
            <w:r>
              <w:rPr>
                <w:rFonts w:ascii="宋体" w:hAnsi="宋体" w:eastAsia="宋体"/>
                <w:sz w:val="16"/>
              </w:rPr>
              <w: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95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083E">
            <w:pPr>
              <w:jc w:val="center"/>
            </w:pPr>
          </w:p>
        </w:tc>
      </w:tr>
      <w:tr w14:paraId="15039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20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34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EA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B234">
            <w:pPr>
              <w:jc w:val="center"/>
            </w:pPr>
            <w:r>
              <w:rPr>
                <w:rFonts w:ascii="宋体" w:hAnsi="宋体" w:eastAsia="宋体"/>
                <w:sz w:val="16"/>
              </w:rPr>
              <w:t>保障农民土地的合法权益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571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D7A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31E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ED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7D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F8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118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D4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6DC4B">
            <w:pPr>
              <w:jc w:val="center"/>
            </w:pPr>
          </w:p>
        </w:tc>
      </w:tr>
      <w:tr w14:paraId="1F83D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8F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F0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55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5D4D">
            <w:pPr>
              <w:jc w:val="center"/>
            </w:pPr>
            <w:r>
              <w:rPr>
                <w:rFonts w:ascii="宋体" w:hAnsi="宋体" w:eastAsia="宋体"/>
                <w:sz w:val="16"/>
              </w:rPr>
              <w:t>申请仲裁群众满意度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08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5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8B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5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F9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5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A8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FB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1C32">
            <w:pPr>
              <w:jc w:val="center"/>
            </w:pPr>
          </w:p>
        </w:tc>
      </w:tr>
      <w:tr w14:paraId="6CEA00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8B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D1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34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8EEAF9">
            <w:pPr>
              <w:jc w:val="center"/>
            </w:pPr>
            <w:r>
              <w:rPr>
                <w:rFonts w:ascii="宋体" w:hAnsi="宋体" w:eastAsia="宋体"/>
                <w:sz w:val="16"/>
              </w:rPr>
              <w:t>100分</w:t>
            </w:r>
          </w:p>
        </w:tc>
      </w:tr>
    </w:tbl>
    <w:p w14:paraId="11AC39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D52658">
        <w:tblPrEx>
          <w:tblCellMar>
            <w:top w:w="0" w:type="dxa"/>
            <w:left w:w="108" w:type="dxa"/>
            <w:bottom w:w="0" w:type="dxa"/>
            <w:right w:w="108" w:type="dxa"/>
          </w:tblCellMar>
        </w:tblPrEx>
        <w:tc>
          <w:tcPr>
            <w:tcW w:w="8848" w:type="dxa"/>
            <w:gridSpan w:val="14"/>
            <w:vAlign w:val="center"/>
          </w:tcPr>
          <w:p w14:paraId="48494214">
            <w:pPr>
              <w:jc w:val="center"/>
            </w:pPr>
            <w:r>
              <w:rPr>
                <w:rFonts w:ascii="宋体" w:hAnsi="宋体" w:eastAsia="宋体"/>
                <w:sz w:val="24"/>
              </w:rPr>
              <w:t>项目支出绩效自评表</w:t>
            </w:r>
          </w:p>
        </w:tc>
      </w:tr>
      <w:tr w14:paraId="57AAA4AE">
        <w:tblPrEx>
          <w:tblCellMar>
            <w:top w:w="0" w:type="dxa"/>
            <w:left w:w="108" w:type="dxa"/>
            <w:bottom w:w="0" w:type="dxa"/>
            <w:right w:w="108" w:type="dxa"/>
          </w:tblCellMar>
        </w:tblPrEx>
        <w:tc>
          <w:tcPr>
            <w:tcW w:w="8848" w:type="dxa"/>
            <w:gridSpan w:val="14"/>
            <w:vAlign w:val="center"/>
          </w:tcPr>
          <w:p w14:paraId="4C67DA96">
            <w:pPr>
              <w:jc w:val="center"/>
            </w:pPr>
            <w:r>
              <w:rPr>
                <w:rFonts w:ascii="宋体" w:hAnsi="宋体" w:eastAsia="宋体"/>
                <w:sz w:val="24"/>
              </w:rPr>
              <w:t>(2024年度)</w:t>
            </w:r>
          </w:p>
        </w:tc>
      </w:tr>
      <w:tr w14:paraId="65DECA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6B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8D7555">
            <w:pPr>
              <w:jc w:val="center"/>
            </w:pPr>
            <w:r>
              <w:rPr>
                <w:rFonts w:ascii="宋体" w:hAnsi="宋体" w:eastAsia="宋体"/>
                <w:sz w:val="16"/>
              </w:rPr>
              <w:t>农村集体产权制度改革工作经费</w:t>
            </w:r>
          </w:p>
        </w:tc>
      </w:tr>
      <w:tr w14:paraId="03F46F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69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1698A2">
            <w:pPr>
              <w:jc w:val="center"/>
            </w:pPr>
            <w:r>
              <w:rPr>
                <w:rFonts w:ascii="宋体" w:hAnsi="宋体" w:eastAsia="宋体"/>
                <w:sz w:val="16"/>
              </w:rPr>
              <w:t>克州农业农村局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3D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3FB383">
            <w:pPr>
              <w:jc w:val="center"/>
            </w:pPr>
            <w:r>
              <w:rPr>
                <w:rFonts w:ascii="宋体" w:hAnsi="宋体" w:eastAsia="宋体"/>
                <w:sz w:val="16"/>
              </w:rPr>
              <w:t>克孜勒苏柯尔克孜自治州农村合作经济发展指导中心</w:t>
            </w:r>
          </w:p>
        </w:tc>
      </w:tr>
      <w:tr w14:paraId="44EA83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247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45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A30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C36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29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06F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5E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3B12">
            <w:pPr>
              <w:jc w:val="center"/>
            </w:pPr>
            <w:r>
              <w:rPr>
                <w:rFonts w:ascii="宋体" w:hAnsi="宋体" w:eastAsia="宋体"/>
                <w:sz w:val="16"/>
              </w:rPr>
              <w:t>得分</w:t>
            </w:r>
          </w:p>
        </w:tc>
      </w:tr>
      <w:tr w14:paraId="74412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DAE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6E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D5E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8BE9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BBD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C7F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8B40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5238">
            <w:pPr>
              <w:jc w:val="center"/>
            </w:pPr>
            <w:r>
              <w:rPr>
                <w:rFonts w:ascii="宋体" w:hAnsi="宋体" w:eastAsia="宋体"/>
                <w:sz w:val="16"/>
              </w:rPr>
              <w:t>10.00分</w:t>
            </w:r>
          </w:p>
        </w:tc>
      </w:tr>
      <w:tr w14:paraId="71AD8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EE2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02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46B2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ACB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BC0C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841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10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4FF5">
            <w:pPr>
              <w:jc w:val="center"/>
            </w:pPr>
            <w:r>
              <w:rPr>
                <w:rFonts w:ascii="宋体" w:hAnsi="宋体" w:eastAsia="宋体"/>
                <w:sz w:val="16"/>
              </w:rPr>
              <w:t>—</w:t>
            </w:r>
          </w:p>
        </w:tc>
      </w:tr>
      <w:tr w14:paraId="0EE33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E4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91C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9B1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213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002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D6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AA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8FD9">
            <w:pPr>
              <w:jc w:val="center"/>
            </w:pPr>
            <w:r>
              <w:rPr>
                <w:rFonts w:ascii="宋体" w:hAnsi="宋体" w:eastAsia="宋体"/>
                <w:sz w:val="16"/>
              </w:rPr>
              <w:t>—</w:t>
            </w:r>
          </w:p>
        </w:tc>
      </w:tr>
      <w:tr w14:paraId="0AECF3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3FEF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E3F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09E01F">
            <w:pPr>
              <w:jc w:val="center"/>
            </w:pPr>
            <w:r>
              <w:rPr>
                <w:rFonts w:ascii="宋体" w:hAnsi="宋体" w:eastAsia="宋体"/>
                <w:sz w:val="16"/>
              </w:rPr>
              <w:t>实际完成情况</w:t>
            </w:r>
          </w:p>
        </w:tc>
      </w:tr>
      <w:tr w14:paraId="607C9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53E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6445D">
            <w:pPr>
              <w:jc w:val="both"/>
            </w:pPr>
            <w:r>
              <w:rPr>
                <w:rFonts w:ascii="宋体" w:hAnsi="宋体" w:eastAsia="宋体"/>
                <w:sz w:val="16"/>
              </w:rPr>
              <w:t>该项目资金5万元，其中财政资金5万元，其他资金0万元。资金主要用于推进克州农村集体产权制度改革，指导农村集体资产管理，指导建立农村产权交易中心建设，承担农村集体经济组织登记赋码和规范化建设，指导农村集体财务会计业务和经济审计工作。通过该项目的实施，达到指导完成全州改革，做好农村集体资产清产核资和债权债务清查，农村集体经济组织登记赋码和规范化建设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BC854">
            <w:pPr>
              <w:jc w:val="both"/>
            </w:pPr>
            <w:r>
              <w:rPr>
                <w:rFonts w:ascii="宋体" w:hAnsi="宋体" w:eastAsia="宋体"/>
                <w:sz w:val="16"/>
              </w:rPr>
              <w:t>截至2024年12月31日，该项目执行数为5万元，已完成指导工作次数4次，购买办公用品耗材4批次，保障公务用车数量1辆，通过该项目的实施，指导我州三县一市农村集体产权制度改革工作顺利开展，农村集体资产清产核资和债权债务工作有序推进，农村集体经济组织登记赋码和规范化建设工作开展良好。</w:t>
            </w:r>
          </w:p>
        </w:tc>
      </w:tr>
      <w:tr w14:paraId="77D450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7EA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2B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F6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EF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B9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5E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1D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18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28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E6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7B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0E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6F19">
            <w:pPr>
              <w:jc w:val="center"/>
            </w:pPr>
            <w:r>
              <w:rPr>
                <w:rFonts w:ascii="宋体" w:hAnsi="宋体" w:eastAsia="宋体"/>
                <w:sz w:val="16"/>
              </w:rPr>
              <w:t>偏差原因分析及改进措施</w:t>
            </w:r>
          </w:p>
        </w:tc>
      </w:tr>
      <w:tr w14:paraId="4A1160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0AD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8A2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9D7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6224">
            <w:pPr>
              <w:jc w:val="center"/>
            </w:pPr>
            <w:r>
              <w:rPr>
                <w:rFonts w:ascii="宋体" w:hAnsi="宋体" w:eastAsia="宋体"/>
                <w:sz w:val="16"/>
              </w:rPr>
              <w:t>指导工作次数（次）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560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D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F90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27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4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0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56A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37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10DCF">
            <w:pPr>
              <w:jc w:val="center"/>
            </w:pPr>
          </w:p>
        </w:tc>
      </w:tr>
      <w:tr w14:paraId="010DD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21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0E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D7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4443">
            <w:pPr>
              <w:jc w:val="center"/>
            </w:pPr>
            <w:r>
              <w:rPr>
                <w:rFonts w:ascii="宋体" w:hAnsi="宋体" w:eastAsia="宋体"/>
                <w:sz w:val="16"/>
              </w:rPr>
              <w:t>购买办公用品耗材批次（批次）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4E49">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F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7924">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B7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0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4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A473">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D8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B35E">
            <w:pPr>
              <w:jc w:val="center"/>
            </w:pPr>
          </w:p>
        </w:tc>
      </w:tr>
      <w:tr w14:paraId="2C5CF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BD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E7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92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F2DD">
            <w:pPr>
              <w:jc w:val="center"/>
            </w:pPr>
            <w:r>
              <w:rPr>
                <w:rFonts w:ascii="宋体" w:hAnsi="宋体" w:eastAsia="宋体"/>
                <w:sz w:val="16"/>
              </w:rPr>
              <w:t>保障公务用车数量（辆）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B05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C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5B2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1F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6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2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CE1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8A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AE6F6">
            <w:pPr>
              <w:jc w:val="center"/>
            </w:pPr>
          </w:p>
        </w:tc>
      </w:tr>
      <w:tr w14:paraId="2A7DB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58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E9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36A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CBF3">
            <w:pPr>
              <w:jc w:val="center"/>
            </w:pPr>
            <w:r>
              <w:rPr>
                <w:rFonts w:ascii="宋体" w:hAnsi="宋体" w:eastAsia="宋体"/>
                <w:sz w:val="16"/>
              </w:rPr>
              <w:t>农村集体产权制度改革通过率（%）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B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0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B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5A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D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E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D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18D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B78F3">
            <w:pPr>
              <w:jc w:val="center"/>
            </w:pPr>
          </w:p>
        </w:tc>
      </w:tr>
      <w:tr w14:paraId="3FCAD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11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E3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1F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4DE0">
            <w:pPr>
              <w:jc w:val="center"/>
            </w:pPr>
            <w:r>
              <w:rPr>
                <w:rFonts w:ascii="宋体" w:hAnsi="宋体" w:eastAsia="宋体"/>
                <w:sz w:val="16"/>
              </w:rPr>
              <w:t>购买办公用品耗材验收合格率（%）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E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3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B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B7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4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5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0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560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3D4E">
            <w:pPr>
              <w:jc w:val="center"/>
            </w:pPr>
          </w:p>
        </w:tc>
      </w:tr>
      <w:tr w14:paraId="0B0B3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B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EB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A04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C21B">
            <w:pPr>
              <w:jc w:val="center"/>
            </w:pPr>
            <w:r>
              <w:rPr>
                <w:rFonts w:ascii="宋体" w:hAnsi="宋体" w:eastAsia="宋体"/>
                <w:sz w:val="16"/>
              </w:rPr>
              <w:t>年度指导工作任务按时完成率（%）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9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B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0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BA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E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F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1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C6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65063">
            <w:pPr>
              <w:jc w:val="center"/>
            </w:pPr>
          </w:p>
        </w:tc>
      </w:tr>
      <w:tr w14:paraId="383D4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49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5D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13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25D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3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A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C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37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A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7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1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C5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16D1">
            <w:pPr>
              <w:jc w:val="center"/>
            </w:pPr>
          </w:p>
        </w:tc>
      </w:tr>
      <w:tr w14:paraId="34767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9F3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804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072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A03B">
            <w:pPr>
              <w:jc w:val="center"/>
            </w:pPr>
            <w:r>
              <w:rPr>
                <w:rFonts w:ascii="宋体" w:hAnsi="宋体" w:eastAsia="宋体"/>
                <w:sz w:val="16"/>
              </w:rPr>
              <w:t>指导工作经费（万元）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A3F3">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92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1E6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CB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F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35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0724">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A22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98F46">
            <w:pPr>
              <w:jc w:val="center"/>
            </w:pPr>
          </w:p>
        </w:tc>
      </w:tr>
      <w:tr w14:paraId="5487A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08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F9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A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B413">
            <w:pPr>
              <w:jc w:val="center"/>
            </w:pPr>
            <w:r>
              <w:rPr>
                <w:rFonts w:ascii="宋体" w:hAnsi="宋体" w:eastAsia="宋体"/>
                <w:sz w:val="16"/>
              </w:rPr>
              <w:t>购买办公用品耗材经费（万元）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DD30">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F8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D9A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EF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B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7A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CD33">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97C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E749">
            <w:pPr>
              <w:jc w:val="center"/>
            </w:pPr>
          </w:p>
        </w:tc>
      </w:tr>
      <w:tr w14:paraId="3B8CD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B3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25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00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66A2">
            <w:pPr>
              <w:jc w:val="center"/>
            </w:pPr>
            <w:r>
              <w:rPr>
                <w:rFonts w:ascii="宋体" w:hAnsi="宋体" w:eastAsia="宋体"/>
                <w:sz w:val="16"/>
              </w:rPr>
              <w:t>维修（护）费（万元）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4801">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98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291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3B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29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55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A39C">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686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B5D6B">
            <w:pPr>
              <w:jc w:val="center"/>
            </w:pPr>
          </w:p>
        </w:tc>
      </w:tr>
      <w:tr w14:paraId="1699A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F5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9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58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D832">
            <w:pPr>
              <w:jc w:val="center"/>
            </w:pPr>
            <w:r>
              <w:rPr>
                <w:rFonts w:ascii="宋体" w:hAnsi="宋体" w:eastAsia="宋体"/>
                <w:sz w:val="16"/>
              </w:rPr>
              <w:t>保障公务用车经费（万元）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04AF">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E4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69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B3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F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50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C076">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BDA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478B">
            <w:pPr>
              <w:jc w:val="center"/>
            </w:pPr>
          </w:p>
        </w:tc>
      </w:tr>
      <w:tr w14:paraId="6EF64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46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07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49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9BA2">
            <w:pPr>
              <w:jc w:val="center"/>
            </w:pPr>
            <w:r>
              <w:rPr>
                <w:rFonts w:ascii="宋体" w:hAnsi="宋体" w:eastAsia="宋体"/>
                <w:sz w:val="16"/>
              </w:rPr>
              <w:t>集体资产改革宣传费（万元）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8FE0">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81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9A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E9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4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02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B01E">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1B4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F860A">
            <w:pPr>
              <w:jc w:val="center"/>
            </w:pPr>
          </w:p>
        </w:tc>
      </w:tr>
      <w:tr w14:paraId="0A069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1A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6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47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BD65">
            <w:pPr>
              <w:jc w:val="center"/>
            </w:pPr>
            <w:r>
              <w:rPr>
                <w:rFonts w:ascii="宋体" w:hAnsi="宋体" w:eastAsia="宋体"/>
                <w:sz w:val="16"/>
              </w:rPr>
              <w:t>办公设备购置（万元）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4CBE">
            <w:pPr>
              <w:jc w:val="center"/>
            </w:pPr>
            <w:r>
              <w:rPr>
                <w:rFonts w:ascii="宋体" w:hAnsi="宋体" w:eastAsia="宋体"/>
                <w:sz w:val="16"/>
              </w:rPr>
              <w:t>&lt;=1.15万元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B9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99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9F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4E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3D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FD5F">
            <w:pPr>
              <w:jc w:val="center"/>
            </w:pPr>
            <w:r>
              <w:rPr>
                <w:rFonts w:ascii="宋体" w:hAnsi="宋体" w:eastAsia="宋体"/>
                <w:sz w:val="16"/>
              </w:rPr>
              <w: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1D9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4E063">
            <w:pPr>
              <w:jc w:val="center"/>
            </w:pPr>
          </w:p>
        </w:tc>
      </w:tr>
      <w:tr w14:paraId="037F7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04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8F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73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FC66">
            <w:pPr>
              <w:jc w:val="center"/>
            </w:pPr>
            <w:r>
              <w:rPr>
                <w:rFonts w:ascii="宋体" w:hAnsi="宋体" w:eastAsia="宋体"/>
                <w:sz w:val="16"/>
              </w:rPr>
              <w:t>试点县农民收入增长率（%）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17BA">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B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6A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59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F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81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15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43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3417">
            <w:pPr>
              <w:jc w:val="center"/>
            </w:pPr>
          </w:p>
        </w:tc>
      </w:tr>
      <w:tr w14:paraId="43D31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D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17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6A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69E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1F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2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9A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B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24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6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BF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97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7DF75">
            <w:pPr>
              <w:jc w:val="center"/>
            </w:pPr>
          </w:p>
        </w:tc>
      </w:tr>
      <w:tr w14:paraId="61BB32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04C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52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12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79256A">
            <w:pPr>
              <w:jc w:val="center"/>
            </w:pPr>
            <w:r>
              <w:rPr>
                <w:rFonts w:ascii="宋体" w:hAnsi="宋体" w:eastAsia="宋体"/>
                <w:sz w:val="16"/>
              </w:rPr>
              <w:t>100分</w:t>
            </w:r>
          </w:p>
        </w:tc>
      </w:tr>
    </w:tbl>
    <w:p w14:paraId="44DF116B">
      <w:r>
        <w:br w:type="page"/>
      </w:r>
    </w:p>
    <w:p w14:paraId="5BF2D9D8">
      <w:pPr>
        <w:spacing w:line="640" w:lineRule="exact"/>
        <w:ind w:firstLine="640"/>
        <w:jc w:val="both"/>
        <w:outlineLvl w:val="2"/>
      </w:pPr>
      <w:r>
        <w:rPr>
          <w:rFonts w:ascii="黑体" w:hAnsi="黑体" w:eastAsia="黑体"/>
          <w:sz w:val="32"/>
        </w:rPr>
        <w:t>十二、其他需说明的事项</w:t>
      </w:r>
    </w:p>
    <w:p w14:paraId="002DFC91">
      <w:pPr>
        <w:spacing w:line="580" w:lineRule="exact"/>
        <w:ind w:firstLine="640"/>
        <w:jc w:val="both"/>
      </w:pPr>
      <w:r>
        <w:rPr>
          <w:rFonts w:ascii="仿宋_GB2312" w:hAnsi="仿宋_GB2312" w:eastAsia="仿宋_GB2312"/>
          <w:b w:val="0"/>
          <w:sz w:val="32"/>
        </w:rPr>
        <w:t>本单位无其他需说明的事项。</w:t>
      </w:r>
    </w:p>
    <w:p w14:paraId="6555F8C5">
      <w:r>
        <w:br w:type="page"/>
      </w:r>
    </w:p>
    <w:p w14:paraId="1043DBEF">
      <w:pPr>
        <w:spacing w:line="240" w:lineRule="auto"/>
        <w:jc w:val="center"/>
        <w:outlineLvl w:val="1"/>
      </w:pPr>
      <w:r>
        <w:rPr>
          <w:rFonts w:ascii="黑体" w:hAnsi="黑体" w:eastAsia="黑体"/>
          <w:sz w:val="32"/>
        </w:rPr>
        <w:t>第三部分 专业名词解释</w:t>
      </w:r>
    </w:p>
    <w:p w14:paraId="7D9684C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115F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F8925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3A0D4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5638F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A7396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D83DB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AFF59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F1C6E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41539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8689F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01AD04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B472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54DBA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178CE8E">
      <w:r>
        <w:br w:type="page"/>
      </w:r>
    </w:p>
    <w:p w14:paraId="21A5645C">
      <w:pPr>
        <w:spacing w:line="240" w:lineRule="auto"/>
        <w:jc w:val="center"/>
        <w:outlineLvl w:val="1"/>
      </w:pPr>
      <w:r>
        <w:rPr>
          <w:rFonts w:ascii="黑体" w:hAnsi="黑体" w:eastAsia="黑体"/>
          <w:sz w:val="32"/>
        </w:rPr>
        <w:t>第四部分 部门决算报表（见附表）</w:t>
      </w:r>
    </w:p>
    <w:p w14:paraId="5237B3F3">
      <w:pPr>
        <w:spacing w:line="240" w:lineRule="auto"/>
        <w:ind w:firstLine="640"/>
        <w:jc w:val="both"/>
      </w:pPr>
      <w:r>
        <w:rPr>
          <w:rFonts w:ascii="仿宋_GB2312" w:hAnsi="仿宋_GB2312" w:eastAsia="仿宋_GB2312"/>
          <w:b w:val="0"/>
          <w:sz w:val="32"/>
        </w:rPr>
        <w:t>一、《收入支出决算总表》</w:t>
      </w:r>
    </w:p>
    <w:p w14:paraId="63615104">
      <w:pPr>
        <w:spacing w:line="240" w:lineRule="auto"/>
        <w:ind w:firstLine="640"/>
        <w:jc w:val="both"/>
      </w:pPr>
      <w:r>
        <w:rPr>
          <w:rFonts w:ascii="仿宋_GB2312" w:hAnsi="仿宋_GB2312" w:eastAsia="仿宋_GB2312"/>
          <w:b w:val="0"/>
          <w:sz w:val="32"/>
        </w:rPr>
        <w:t>二、《收入决算表》</w:t>
      </w:r>
    </w:p>
    <w:p w14:paraId="5BEC3988">
      <w:pPr>
        <w:spacing w:line="240" w:lineRule="auto"/>
        <w:ind w:firstLine="640"/>
        <w:jc w:val="both"/>
      </w:pPr>
      <w:r>
        <w:rPr>
          <w:rFonts w:ascii="仿宋_GB2312" w:hAnsi="仿宋_GB2312" w:eastAsia="仿宋_GB2312"/>
          <w:b w:val="0"/>
          <w:sz w:val="32"/>
        </w:rPr>
        <w:t>三、《支出决算表》</w:t>
      </w:r>
    </w:p>
    <w:p w14:paraId="3A718F7B">
      <w:pPr>
        <w:spacing w:line="240" w:lineRule="auto"/>
        <w:ind w:firstLine="640"/>
        <w:jc w:val="both"/>
      </w:pPr>
      <w:r>
        <w:rPr>
          <w:rFonts w:ascii="仿宋_GB2312" w:hAnsi="仿宋_GB2312" w:eastAsia="仿宋_GB2312"/>
          <w:b w:val="0"/>
          <w:sz w:val="32"/>
        </w:rPr>
        <w:t>四、《财政拨款收入支出决算总表》</w:t>
      </w:r>
    </w:p>
    <w:p w14:paraId="369A628E">
      <w:pPr>
        <w:spacing w:line="240" w:lineRule="auto"/>
        <w:ind w:firstLine="640"/>
        <w:jc w:val="both"/>
      </w:pPr>
      <w:r>
        <w:rPr>
          <w:rFonts w:ascii="仿宋_GB2312" w:hAnsi="仿宋_GB2312" w:eastAsia="仿宋_GB2312"/>
          <w:b w:val="0"/>
          <w:sz w:val="32"/>
        </w:rPr>
        <w:t>五、《一般公共预算财政拨款支出决算表》</w:t>
      </w:r>
    </w:p>
    <w:p w14:paraId="325EE2B2">
      <w:pPr>
        <w:spacing w:line="240" w:lineRule="auto"/>
        <w:ind w:firstLine="640"/>
        <w:jc w:val="both"/>
      </w:pPr>
      <w:r>
        <w:rPr>
          <w:rFonts w:ascii="仿宋_GB2312" w:hAnsi="仿宋_GB2312" w:eastAsia="仿宋_GB2312"/>
          <w:b w:val="0"/>
          <w:sz w:val="32"/>
        </w:rPr>
        <w:t>六、《一般公共预算财政拨款基本支出决算表》</w:t>
      </w:r>
    </w:p>
    <w:p w14:paraId="2F1E41D8">
      <w:pPr>
        <w:spacing w:line="240" w:lineRule="auto"/>
        <w:ind w:firstLine="640"/>
        <w:jc w:val="both"/>
      </w:pPr>
      <w:r>
        <w:rPr>
          <w:rFonts w:ascii="仿宋_GB2312" w:hAnsi="仿宋_GB2312" w:eastAsia="仿宋_GB2312"/>
          <w:b w:val="0"/>
          <w:sz w:val="32"/>
        </w:rPr>
        <w:t>七、《政府性基金预算财政拨款收入支出决算表》</w:t>
      </w:r>
    </w:p>
    <w:p w14:paraId="4B32FE71">
      <w:pPr>
        <w:spacing w:line="240" w:lineRule="auto"/>
        <w:ind w:firstLine="640"/>
        <w:jc w:val="both"/>
      </w:pPr>
      <w:r>
        <w:rPr>
          <w:rFonts w:ascii="仿宋_GB2312" w:hAnsi="仿宋_GB2312" w:eastAsia="仿宋_GB2312"/>
          <w:b w:val="0"/>
          <w:sz w:val="32"/>
        </w:rPr>
        <w:t>八、《国有资本经营预算财政拨款收入支出决算表》</w:t>
      </w:r>
    </w:p>
    <w:p w14:paraId="3627A06F">
      <w:pPr>
        <w:spacing w:line="240" w:lineRule="auto"/>
        <w:ind w:firstLine="640"/>
        <w:jc w:val="both"/>
      </w:pPr>
      <w:r>
        <w:rPr>
          <w:rFonts w:ascii="仿宋_GB2312" w:hAnsi="仿宋_GB2312" w:eastAsia="仿宋_GB2312"/>
          <w:b w:val="0"/>
          <w:sz w:val="32"/>
        </w:rPr>
        <w:t>九、《财政拨款“三公”经费支出决算表》</w:t>
      </w:r>
    </w:p>
    <w:p w14:paraId="5B891D8C">
      <w:pPr>
        <w:spacing w:line="240" w:lineRule="auto"/>
        <w:ind w:firstLine="640"/>
        <w:jc w:val="both"/>
      </w:pPr>
    </w:p>
    <w:p w14:paraId="51B1B31B">
      <w:pPr>
        <w:spacing w:line="240" w:lineRule="auto"/>
        <w:ind w:firstLine="640"/>
        <w:jc w:val="both"/>
      </w:pPr>
    </w:p>
    <w:p w14:paraId="1B2B148B">
      <w:pPr>
        <w:spacing w:line="240" w:lineRule="auto"/>
        <w:ind w:firstLine="640"/>
        <w:jc w:val="both"/>
      </w:pPr>
    </w:p>
    <w:p w14:paraId="57323B90">
      <w:pPr>
        <w:spacing w:line="240" w:lineRule="auto"/>
        <w:ind w:firstLine="640"/>
        <w:jc w:val="both"/>
      </w:pPr>
    </w:p>
    <w:p w14:paraId="61ACDF7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443CB7-0BF4-4D40-BBF9-FF0E079F84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B1BA147-C7C2-4975-892F-0DE36E2D9518}"/>
  </w:font>
  <w:font w:name="仿宋_GB2312">
    <w:panose1 w:val="02010609030101010101"/>
    <w:charset w:val="86"/>
    <w:family w:val="modern"/>
    <w:pitch w:val="default"/>
    <w:sig w:usb0="00000001" w:usb1="080E0000" w:usb2="00000000" w:usb3="00000000" w:csb0="00040000" w:csb1="00000000"/>
    <w:embedRegular r:id="rId3" w:fontKey="{4E2E421F-F8CF-4A03-9495-975AA9717F96}"/>
  </w:font>
  <w:font w:name="楷体_GB2312">
    <w:panose1 w:val="02010609030101010101"/>
    <w:charset w:val="86"/>
    <w:family w:val="auto"/>
    <w:pitch w:val="default"/>
    <w:sig w:usb0="00000001" w:usb1="080E0000" w:usb2="00000000" w:usb3="00000000" w:csb0="00040000" w:csb1="00000000"/>
    <w:embedRegular r:id="rId4" w:fontKey="{DD1C6439-4895-416F-AD80-BC841947AE1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BC6229"/>
    <w:rsid w:val="20DD6197"/>
    <w:rsid w:val="21F317F2"/>
    <w:rsid w:val="2241392C"/>
    <w:rsid w:val="234A7DF4"/>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4692</Words>
  <Characters>5283</Characters>
  <Lines>0</Lines>
  <Paragraphs>0</Paragraphs>
  <TotalTime>6</TotalTime>
  <ScaleCrop>false</ScaleCrop>
  <LinksUpToDate>false</LinksUpToDate>
  <CharactersWithSpaces>5291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2025-09-02T07:59:58Z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