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克孜勒苏柯尔克孜自治州中级人民法院2024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B6CCEA">
      <w:r>
        <w:br w:type="page"/>
      </w:r>
    </w:p>
    <w:p w14:paraId="3830A9B3">
      <w:pPr>
        <w:spacing w:line="640" w:lineRule="exact"/>
        <w:jc w:val="center"/>
        <w:outlineLvl w:val="1"/>
      </w:pPr>
      <w:r>
        <w:rPr>
          <w:rFonts w:ascii="黑体" w:hAnsi="黑体" w:eastAsia="黑体"/>
          <w:sz w:val="32"/>
        </w:rPr>
        <w:t>第一部分 单位概况</w:t>
      </w:r>
    </w:p>
    <w:p w14:paraId="299D04EF">
      <w:pPr>
        <w:spacing w:line="640" w:lineRule="exact"/>
        <w:ind w:firstLine="640"/>
        <w:jc w:val="both"/>
        <w:outlineLvl w:val="2"/>
      </w:pPr>
      <w:r>
        <w:rPr>
          <w:rFonts w:ascii="黑体" w:hAnsi="黑体" w:eastAsia="黑体"/>
          <w:sz w:val="32"/>
        </w:rPr>
        <w:t>一、主要职能</w:t>
      </w:r>
    </w:p>
    <w:p w14:paraId="4C8A9571">
      <w:pPr>
        <w:spacing w:line="580" w:lineRule="exact"/>
        <w:ind w:firstLine="640"/>
        <w:jc w:val="both"/>
      </w:pPr>
      <w:r>
        <w:rPr>
          <w:rFonts w:ascii="仿宋_GB2312" w:hAnsi="仿宋_GB2312" w:eastAsia="仿宋_GB2312"/>
          <w:sz w:val="32"/>
        </w:rPr>
        <w:t>（一）审判法律规定由中级人民法院管辖、高级人民法院指定管辖或者认为应由自己审判的刑事、民事、行政等第一审案件。</w:t>
      </w:r>
    </w:p>
    <w:p w14:paraId="774207EE">
      <w:pPr>
        <w:spacing w:line="580" w:lineRule="exact"/>
        <w:ind w:firstLine="640"/>
        <w:jc w:val="both"/>
      </w:pPr>
      <w:r>
        <w:rPr>
          <w:rFonts w:ascii="仿宋_GB2312" w:hAnsi="仿宋_GB2312" w:eastAsia="仿宋_GB2312"/>
          <w:sz w:val="32"/>
        </w:rPr>
        <w:t>（二）审判法律规定由中级人民法院审判的刑事、民事、行政等第二审案件。</w:t>
      </w:r>
    </w:p>
    <w:p w14:paraId="71EED09E">
      <w:pPr>
        <w:spacing w:line="580" w:lineRule="exact"/>
        <w:ind w:firstLine="640"/>
        <w:jc w:val="both"/>
      </w:pPr>
      <w:r>
        <w:rPr>
          <w:rFonts w:ascii="仿宋_GB2312" w:hAnsi="仿宋_GB2312" w:eastAsia="仿宋_GB2312"/>
          <w:sz w:val="32"/>
        </w:rPr>
        <w:t>（三）审理高级人民法院指令再审的案件；审理本院发生法律效力的判决、裁定提起再审的案件；受理不服下级人民法院判决、裁定的各类申诉和申请再审的案件。</w:t>
      </w:r>
    </w:p>
    <w:p w14:paraId="17B0AEA3">
      <w:pPr>
        <w:spacing w:line="580" w:lineRule="exact"/>
        <w:ind w:firstLine="640"/>
        <w:jc w:val="both"/>
      </w:pPr>
      <w:r>
        <w:rPr>
          <w:rFonts w:ascii="仿宋_GB2312" w:hAnsi="仿宋_GB2312" w:eastAsia="仿宋_GB2312"/>
          <w:sz w:val="32"/>
        </w:rPr>
        <w:t>（四）审判由自治州人民检察院按照审判程序提出的抗诉案件。</w:t>
      </w:r>
    </w:p>
    <w:p w14:paraId="6C101F6C">
      <w:pPr>
        <w:spacing w:line="580" w:lineRule="exact"/>
        <w:ind w:firstLine="640"/>
        <w:jc w:val="both"/>
      </w:pPr>
      <w:r>
        <w:rPr>
          <w:rFonts w:ascii="仿宋_GB2312" w:hAnsi="仿宋_GB2312" w:eastAsia="仿宋_GB2312"/>
          <w:sz w:val="32"/>
        </w:rPr>
        <w:t>（五）对下级人民法院管辖不明的案件指定管辖。</w:t>
      </w:r>
    </w:p>
    <w:p w14:paraId="34DAD06F">
      <w:pPr>
        <w:spacing w:line="580" w:lineRule="exact"/>
        <w:ind w:firstLine="640"/>
        <w:jc w:val="both"/>
      </w:pPr>
      <w:r>
        <w:rPr>
          <w:rFonts w:ascii="仿宋_GB2312" w:hAnsi="仿宋_GB2312" w:eastAsia="仿宋_GB2312"/>
          <w:sz w:val="32"/>
        </w:rPr>
        <w:t>（六）监督自治州地方人民法院的审判工作。</w:t>
      </w:r>
    </w:p>
    <w:p w14:paraId="445AA3EC">
      <w:pPr>
        <w:spacing w:line="580" w:lineRule="exact"/>
        <w:ind w:firstLine="640"/>
        <w:jc w:val="both"/>
      </w:pPr>
      <w:r>
        <w:rPr>
          <w:rFonts w:ascii="仿宋_GB2312" w:hAnsi="仿宋_GB2312" w:eastAsia="仿宋_GB2312"/>
          <w:sz w:val="32"/>
        </w:rPr>
        <w:t>（七）办理法律规定由中级人民法院管辖的减刑、假释案件。</w:t>
      </w:r>
    </w:p>
    <w:p w14:paraId="2DC5C87E">
      <w:pPr>
        <w:spacing w:line="580" w:lineRule="exact"/>
        <w:ind w:firstLine="640"/>
        <w:jc w:val="both"/>
      </w:pPr>
      <w:r>
        <w:rPr>
          <w:rFonts w:ascii="仿宋_GB2312" w:hAnsi="仿宋_GB2312" w:eastAsia="仿宋_GB2312"/>
          <w:sz w:val="32"/>
        </w:rPr>
        <w:t>（八）依法行使司法执行权和司法决定权。</w:t>
      </w:r>
    </w:p>
    <w:p w14:paraId="57859C5F">
      <w:pPr>
        <w:spacing w:line="580" w:lineRule="exact"/>
        <w:ind w:firstLine="640"/>
        <w:jc w:val="both"/>
      </w:pPr>
      <w:r>
        <w:rPr>
          <w:rFonts w:ascii="仿宋_GB2312" w:hAnsi="仿宋_GB2312" w:eastAsia="仿宋_GB2312"/>
          <w:sz w:val="32"/>
        </w:rPr>
        <w:t>（九）依法决定国家赔偿。</w:t>
      </w:r>
    </w:p>
    <w:p w14:paraId="1ED67BF6">
      <w:pPr>
        <w:spacing w:line="640" w:lineRule="exact"/>
        <w:ind w:firstLine="640"/>
        <w:jc w:val="both"/>
        <w:outlineLvl w:val="2"/>
      </w:pPr>
      <w:r>
        <w:rPr>
          <w:rFonts w:ascii="黑体" w:hAnsi="黑体" w:eastAsia="黑体"/>
          <w:sz w:val="32"/>
        </w:rPr>
        <w:t>二、机构设置及人员情况</w:t>
      </w:r>
    </w:p>
    <w:p w14:paraId="52322CC7">
      <w:pPr>
        <w:spacing w:line="580" w:lineRule="exact"/>
        <w:ind w:firstLine="640"/>
        <w:jc w:val="both"/>
      </w:pPr>
      <w:r>
        <w:rPr>
          <w:rFonts w:ascii="仿宋_GB2312" w:hAnsi="仿宋_GB2312" w:eastAsia="仿宋_GB2312"/>
          <w:sz w:val="32"/>
        </w:rPr>
        <w:t>克孜勒苏柯尔克孜自治州中级人民法院2024年度，实有人数165人，其中：在职人员107人，减少5人；离休人员0人，增加0人；退休人员58人,增加4人。</w:t>
      </w:r>
    </w:p>
    <w:p w14:paraId="7B38CE23">
      <w:pPr>
        <w:spacing w:line="580" w:lineRule="exact"/>
        <w:ind w:firstLine="640"/>
        <w:jc w:val="both"/>
      </w:pPr>
      <w:r>
        <w:rPr>
          <w:rFonts w:ascii="仿宋_GB2312" w:hAnsi="仿宋_GB2312" w:eastAsia="仿宋_GB2312"/>
          <w:sz w:val="32"/>
        </w:rPr>
        <w:t>克孜勒苏柯尔克孜自治州中级人民法院无下属预算单位，下设13个科室，分别是：政治部、审管办、研究室、审监庭、立案庭、执行局、刑庭、行政庭、民一庭、民二庭、法警队、办公室、财装处。</w:t>
      </w:r>
    </w:p>
    <w:p w14:paraId="7934538E">
      <w:r>
        <w:br w:type="page"/>
      </w:r>
    </w:p>
    <w:p w14:paraId="2985154A">
      <w:pPr>
        <w:spacing w:line="240" w:lineRule="auto"/>
        <w:jc w:val="center"/>
        <w:outlineLvl w:val="1"/>
      </w:pPr>
      <w:r>
        <w:rPr>
          <w:rFonts w:ascii="黑体" w:hAnsi="黑体" w:eastAsia="黑体"/>
          <w:sz w:val="32"/>
        </w:rPr>
        <w:t>第二部分 部门决算情况说明</w:t>
      </w:r>
    </w:p>
    <w:p w14:paraId="6AF6AD84">
      <w:pPr>
        <w:spacing w:line="640" w:lineRule="exact"/>
        <w:ind w:firstLine="640"/>
        <w:jc w:val="both"/>
        <w:outlineLvl w:val="2"/>
      </w:pPr>
      <w:r>
        <w:rPr>
          <w:rFonts w:ascii="黑体" w:hAnsi="黑体" w:eastAsia="黑体"/>
          <w:sz w:val="32"/>
        </w:rPr>
        <w:t>一、收入支出决算总体情况说明</w:t>
      </w:r>
    </w:p>
    <w:p w14:paraId="26280904">
      <w:pPr>
        <w:spacing w:line="580" w:lineRule="exact"/>
        <w:ind w:firstLine="640"/>
        <w:jc w:val="both"/>
      </w:pPr>
      <w:r>
        <w:rPr>
          <w:rFonts w:ascii="仿宋_GB2312" w:hAnsi="仿宋_GB2312" w:eastAsia="仿宋_GB2312"/>
          <w:b/>
          <w:sz w:val="32"/>
        </w:rPr>
        <w:t>2024年度收入总计3,885.22万元，</w:t>
      </w:r>
      <w:r>
        <w:rPr>
          <w:rFonts w:ascii="仿宋_GB2312" w:hAnsi="仿宋_GB2312" w:eastAsia="仿宋_GB2312"/>
          <w:b w:val="0"/>
          <w:sz w:val="32"/>
        </w:rPr>
        <w:t>其中：本年收入合计3,224.23万元，使用非财政拨款结余（含专用结余）0.00万元，年初结转和结余660.99万元。</w:t>
      </w:r>
    </w:p>
    <w:p w14:paraId="3C9B5541">
      <w:pPr>
        <w:spacing w:line="580" w:lineRule="exact"/>
        <w:ind w:firstLine="640"/>
        <w:jc w:val="both"/>
      </w:pPr>
      <w:r>
        <w:rPr>
          <w:rFonts w:ascii="仿宋_GB2312" w:hAnsi="仿宋_GB2312" w:eastAsia="仿宋_GB2312"/>
          <w:b/>
          <w:sz w:val="32"/>
        </w:rPr>
        <w:t>2024年度支出总计3,885.22万元，</w:t>
      </w:r>
      <w:r>
        <w:rPr>
          <w:rFonts w:ascii="仿宋_GB2312" w:hAnsi="仿宋_GB2312" w:eastAsia="仿宋_GB2312"/>
          <w:b w:val="0"/>
          <w:sz w:val="32"/>
        </w:rPr>
        <w:t>其中：本年支出合计3,641.84万元，结余分配0.00万元，年末结转和结余243.38万元。</w:t>
      </w:r>
    </w:p>
    <w:p w14:paraId="6D08C27B">
      <w:pPr>
        <w:spacing w:line="580" w:lineRule="exact"/>
        <w:ind w:firstLine="640"/>
        <w:jc w:val="both"/>
      </w:pPr>
      <w:r>
        <w:rPr>
          <w:rFonts w:ascii="仿宋_GB2312" w:hAnsi="仿宋_GB2312" w:eastAsia="仿宋_GB2312"/>
          <w:b w:val="0"/>
          <w:sz w:val="32"/>
        </w:rPr>
        <w:t>收入支出总体与上年相比，减少235.06万元，下降5.70%，主要原因是：本年在职人员转退休，人员工资减少，相关人员经费减少，中央自治区业务转移支付（业务、装备）项目经费减少，导致经费较上年减少。</w:t>
      </w:r>
    </w:p>
    <w:p w14:paraId="40570D21">
      <w:pPr>
        <w:spacing w:line="640" w:lineRule="exact"/>
        <w:ind w:firstLine="640"/>
        <w:jc w:val="both"/>
        <w:outlineLvl w:val="2"/>
      </w:pPr>
      <w:r>
        <w:rPr>
          <w:rFonts w:ascii="黑体" w:hAnsi="黑体" w:eastAsia="黑体"/>
          <w:sz w:val="32"/>
        </w:rPr>
        <w:t>二、收入决算情况说明</w:t>
      </w:r>
    </w:p>
    <w:p w14:paraId="3C6BF5BE">
      <w:pPr>
        <w:spacing w:line="580" w:lineRule="exact"/>
        <w:ind w:firstLine="640"/>
        <w:jc w:val="both"/>
      </w:pPr>
      <w:r>
        <w:rPr>
          <w:rFonts w:ascii="仿宋_GB2312" w:hAnsi="仿宋_GB2312" w:eastAsia="仿宋_GB2312"/>
          <w:b/>
          <w:sz w:val="32"/>
        </w:rPr>
        <w:t>本年收入3,224.23万元，</w:t>
      </w:r>
      <w:r>
        <w:rPr>
          <w:rFonts w:ascii="仿宋_GB2312" w:hAnsi="仿宋_GB2312" w:eastAsia="仿宋_GB2312"/>
          <w:b w:val="0"/>
          <w:sz w:val="32"/>
        </w:rPr>
        <w:t>其中：财政拨款收入3,033.87万元，占94.10%；上级补助收入0.00万元，占0.00%；事业收入0.00万元，占0.00%；经营收入0.00万元，占0.00%；附属单位上缴收入0.00万元，占0.00%；其他收入190.36万元，占5.90%。</w:t>
      </w:r>
    </w:p>
    <w:p w14:paraId="6A2EF41C">
      <w:pPr>
        <w:spacing w:line="640" w:lineRule="exact"/>
        <w:ind w:firstLine="640"/>
        <w:jc w:val="both"/>
        <w:outlineLvl w:val="2"/>
      </w:pPr>
      <w:r>
        <w:rPr>
          <w:rFonts w:ascii="黑体" w:hAnsi="黑体" w:eastAsia="黑体"/>
          <w:sz w:val="32"/>
        </w:rPr>
        <w:t>三、支出决算情况说明</w:t>
      </w:r>
    </w:p>
    <w:p w14:paraId="479E0DBF">
      <w:pPr>
        <w:spacing w:line="580" w:lineRule="exact"/>
        <w:ind w:firstLine="640"/>
        <w:jc w:val="both"/>
      </w:pPr>
      <w:r>
        <w:rPr>
          <w:rFonts w:ascii="仿宋_GB2312" w:hAnsi="仿宋_GB2312" w:eastAsia="仿宋_GB2312"/>
          <w:b/>
          <w:sz w:val="32"/>
        </w:rPr>
        <w:t>本年支出3,641.84万元，</w:t>
      </w:r>
      <w:r>
        <w:rPr>
          <w:rFonts w:ascii="仿宋_GB2312" w:hAnsi="仿宋_GB2312" w:eastAsia="仿宋_GB2312"/>
          <w:b w:val="0"/>
          <w:sz w:val="32"/>
        </w:rPr>
        <w:t>其中：基本支出2,319.06万元，占63.68%；项目支出1,322.78万元，占36.32%；上缴上级支出0.00万元，占0.00%；经营支出0.00万元，占0.00%；对附属单位补助支出0.00万元，占0.00%。</w:t>
      </w:r>
    </w:p>
    <w:p w14:paraId="4FAD60E5">
      <w:pPr>
        <w:spacing w:line="640" w:lineRule="exact"/>
        <w:ind w:firstLine="640"/>
        <w:jc w:val="both"/>
        <w:outlineLvl w:val="2"/>
      </w:pPr>
      <w:r>
        <w:rPr>
          <w:rFonts w:ascii="黑体" w:hAnsi="黑体" w:eastAsia="黑体"/>
          <w:sz w:val="32"/>
        </w:rPr>
        <w:t>四、财政拨款收入支出决算总体情况说明</w:t>
      </w:r>
    </w:p>
    <w:p w14:paraId="75CAD2F2">
      <w:pPr>
        <w:spacing w:line="580" w:lineRule="exact"/>
        <w:ind w:firstLine="640"/>
        <w:jc w:val="both"/>
      </w:pPr>
      <w:r>
        <w:rPr>
          <w:rFonts w:ascii="仿宋_GB2312" w:hAnsi="仿宋_GB2312" w:eastAsia="仿宋_GB2312"/>
          <w:b/>
          <w:sz w:val="32"/>
        </w:rPr>
        <w:t>2024年度财政拨款收入总计3,033.87万元，</w:t>
      </w:r>
      <w:r>
        <w:rPr>
          <w:rFonts w:ascii="仿宋_GB2312" w:hAnsi="仿宋_GB2312" w:eastAsia="仿宋_GB2312"/>
          <w:b w:val="0"/>
          <w:sz w:val="32"/>
        </w:rPr>
        <w:t>其中：年初财政拨款结转和结余0.00万元，本年财政拨款收入3,033.87万元。</w:t>
      </w:r>
      <w:r>
        <w:rPr>
          <w:rFonts w:ascii="仿宋_GB2312" w:hAnsi="仿宋_GB2312" w:eastAsia="仿宋_GB2312"/>
          <w:b/>
          <w:sz w:val="32"/>
        </w:rPr>
        <w:t>财政拨款支出总计3,033.87万元，</w:t>
      </w:r>
      <w:r>
        <w:rPr>
          <w:rFonts w:ascii="仿宋_GB2312" w:hAnsi="仿宋_GB2312" w:eastAsia="仿宋_GB2312"/>
          <w:b w:val="0"/>
          <w:sz w:val="32"/>
        </w:rPr>
        <w:t>其中：年末财政拨款结转和结余0.00万元，本年财政拨款支出3,033.87万元。</w:t>
      </w:r>
    </w:p>
    <w:p w14:paraId="6E7435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减少61.32万元，下降1.98%，主要原因是：本年在职人员转退休，人员工资减少，相关人员经费减少，中央自治区业务转移支付（业务、装备）项目经费减少，导致经费较上年减少。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年初预算数2,722.91万元，决算数3,033.87万元，预决算差异率11.42%，主要原因是：本年在职人员工资调薪，社保基数调整等相关人员经费增加，年中追加人员经费。</w:t>
      </w:r>
    </w:p>
    <w:p w14:paraId="38222701">
      <w:pPr>
        <w:spacing w:line="640" w:lineRule="exact"/>
        <w:ind w:firstLine="640"/>
        <w:jc w:val="both"/>
        <w:outlineLvl w:val="2"/>
      </w:pPr>
      <w:r>
        <w:rPr>
          <w:rFonts w:ascii="黑体" w:hAnsi="黑体" w:eastAsia="黑体"/>
          <w:sz w:val="32"/>
        </w:rPr>
        <w:t>五、一般公共预算财政拨款支出决算情况说明</w:t>
      </w:r>
    </w:p>
    <w:p w14:paraId="57F75944">
      <w:pPr>
        <w:spacing w:line="640" w:lineRule="exact"/>
        <w:ind w:firstLine="640"/>
        <w:jc w:val="both"/>
        <w:outlineLvl w:val="3"/>
      </w:pPr>
      <w:r>
        <w:rPr>
          <w:rFonts w:ascii="楷体_GB2312" w:hAnsi="楷体_GB2312" w:eastAsia="楷体_GB2312"/>
          <w:b/>
          <w:sz w:val="32"/>
        </w:rPr>
        <w:t>（一）一般公共预算财政拨款支出决算总体情况</w:t>
      </w:r>
    </w:p>
    <w:p w14:paraId="349E34EB">
      <w:pPr>
        <w:spacing w:line="580" w:lineRule="exact"/>
        <w:ind w:firstLine="640"/>
        <w:jc w:val="both"/>
      </w:pPr>
      <w:r>
        <w:rPr>
          <w:rFonts w:ascii="仿宋_GB2312" w:hAnsi="仿宋_GB2312" w:eastAsia="仿宋_GB2312"/>
          <w:b/>
          <w:sz w:val="32"/>
        </w:rPr>
        <w:t>2024年度一般公共预算财政拨款支出3,033.87万元，</w:t>
      </w:r>
      <w:r>
        <w:rPr>
          <w:rFonts w:ascii="仿宋_GB2312" w:hAnsi="仿宋_GB2312" w:eastAsia="仿宋_GB2312"/>
          <w:b w:val="0"/>
          <w:sz w:val="32"/>
        </w:rPr>
        <w:t>占本年支出合计的83.31%。</w:t>
      </w:r>
      <w:r>
        <w:rPr>
          <w:rFonts w:ascii="仿宋_GB2312" w:hAnsi="仿宋_GB2312" w:eastAsia="仿宋_GB2312"/>
          <w:b/>
          <w:sz w:val="32"/>
        </w:rPr>
        <w:t>与上年相比，</w:t>
      </w:r>
      <w:r>
        <w:rPr>
          <w:rFonts w:ascii="仿宋_GB2312" w:hAnsi="仿宋_GB2312" w:eastAsia="仿宋_GB2312"/>
          <w:b w:val="0"/>
          <w:sz w:val="32"/>
        </w:rPr>
        <w:t>减少61.32万元，下降1.98%，主要原因是：本年在职人员转退休，人员工资减少，相关人员经费减少，中央自治区业务转移支付（业务、装备）项目经费减少，导致经费较上年减少。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年初预算数2,722.91万元，决算数3,033.87万元，预决算差异率11.42%，主要原因是：本年在职人员工资调薪，社保基数调整等相关人员经费增加，年中追加人员经费。</w:t>
      </w:r>
    </w:p>
    <w:p w14:paraId="1E66CF10">
      <w:pPr>
        <w:spacing w:line="640" w:lineRule="exact"/>
        <w:ind w:firstLine="640"/>
        <w:jc w:val="both"/>
        <w:outlineLvl w:val="3"/>
      </w:pPr>
      <w:r>
        <w:rPr>
          <w:rFonts w:ascii="楷体_GB2312" w:hAnsi="楷体_GB2312" w:eastAsia="楷体_GB2312"/>
          <w:b/>
          <w:sz w:val="32"/>
        </w:rPr>
        <w:t>（二）一般公共预算财政拨款支出决算结构情况</w:t>
      </w:r>
    </w:p>
    <w:p w14:paraId="35411969">
      <w:pPr>
        <w:spacing w:line="580" w:lineRule="exact"/>
        <w:ind w:firstLine="640"/>
        <w:jc w:val="both"/>
      </w:pPr>
      <w:r>
        <w:rPr>
          <w:rFonts w:ascii="仿宋_GB2312" w:hAnsi="仿宋_GB2312" w:eastAsia="仿宋_GB2312"/>
          <w:b w:val="0"/>
          <w:sz w:val="32"/>
        </w:rPr>
        <w:t>1.公共安全支出(类)2,641.89万元,占87.08%。</w:t>
      </w:r>
    </w:p>
    <w:p w14:paraId="545FE04F">
      <w:pPr>
        <w:spacing w:line="580" w:lineRule="exact"/>
        <w:ind w:firstLine="640"/>
        <w:jc w:val="both"/>
      </w:pPr>
      <w:r>
        <w:rPr>
          <w:rFonts w:ascii="仿宋_GB2312" w:hAnsi="仿宋_GB2312" w:eastAsia="仿宋_GB2312"/>
          <w:b w:val="0"/>
          <w:sz w:val="32"/>
        </w:rPr>
        <w:t>2.社会保障和就业支出(类)391.97万元,占12.92%。</w:t>
      </w:r>
    </w:p>
    <w:p w14:paraId="5AB5DEA6">
      <w:pPr>
        <w:spacing w:line="640" w:lineRule="exact"/>
        <w:ind w:firstLine="640"/>
        <w:jc w:val="both"/>
        <w:outlineLvl w:val="3"/>
      </w:pPr>
      <w:r>
        <w:rPr>
          <w:rFonts w:ascii="楷体_GB2312" w:hAnsi="楷体_GB2312" w:eastAsia="楷体_GB2312"/>
          <w:b/>
          <w:sz w:val="32"/>
        </w:rPr>
        <w:t>（三）一般公共预算财政拨款支出决算具体情况</w:t>
      </w:r>
    </w:p>
    <w:p w14:paraId="54476273">
      <w:pPr>
        <w:spacing w:line="580" w:lineRule="exact"/>
        <w:ind w:firstLine="640"/>
        <w:jc w:val="both"/>
      </w:pPr>
      <w:r>
        <w:rPr>
          <w:rFonts w:ascii="仿宋_GB2312" w:hAnsi="仿宋_GB2312" w:eastAsia="仿宋_GB2312"/>
          <w:b w:val="0"/>
          <w:sz w:val="32"/>
        </w:rPr>
        <w:t>1.公共安全支出(类)法院(款)行政运行(项):支出决算数为1,650.95万元，比上年决算减少41.41万元，下降2.45%,主要原因是：本年在职人员减少，相应人员经费较上年减少。</w:t>
      </w:r>
    </w:p>
    <w:p w14:paraId="24131E05">
      <w:pPr>
        <w:spacing w:line="580" w:lineRule="exact"/>
        <w:ind w:firstLine="640"/>
        <w:jc w:val="both"/>
      </w:pPr>
      <w:r>
        <w:rPr>
          <w:rFonts w:ascii="仿宋_GB2312" w:hAnsi="仿宋_GB2312" w:eastAsia="仿宋_GB2312"/>
          <w:b w:val="0"/>
          <w:sz w:val="32"/>
        </w:rPr>
        <w:t>2.公共安全支出(类)法院(款)一般行政管理事务(项):支出决算数为252.94万元，比上年决算增加20.93万元，增长9.02%,主要原因是：本年增加司法绩效项目经费，相关支出增加。</w:t>
      </w:r>
    </w:p>
    <w:p w14:paraId="1231ED37">
      <w:pPr>
        <w:spacing w:line="580" w:lineRule="exact"/>
        <w:ind w:firstLine="640"/>
        <w:jc w:val="both"/>
      </w:pPr>
      <w:r>
        <w:rPr>
          <w:rFonts w:ascii="仿宋_GB2312" w:hAnsi="仿宋_GB2312" w:eastAsia="仿宋_GB2312"/>
          <w:b w:val="0"/>
          <w:sz w:val="32"/>
        </w:rPr>
        <w:t>3.公共安全支出(类)法院(款)事业运行(项):支出决算数为276.14万元，比上年决算增加36.45万元，增长15.21%,主要原因是：本年在职人员工资调增，导致相关人员经费较上年有所增加。</w:t>
      </w:r>
    </w:p>
    <w:p w14:paraId="04D1FC9A">
      <w:pPr>
        <w:spacing w:line="580" w:lineRule="exact"/>
        <w:ind w:firstLine="640"/>
        <w:jc w:val="both"/>
      </w:pPr>
      <w:r>
        <w:rPr>
          <w:rFonts w:ascii="仿宋_GB2312" w:hAnsi="仿宋_GB2312" w:eastAsia="仿宋_GB2312"/>
          <w:b w:val="0"/>
          <w:sz w:val="32"/>
        </w:rPr>
        <w:t>4.公共安全支出(类)法院(款)其他法院支出(项):支出决算数为461.87万元，比上年决算减少111.88万元，下降19.50%,主要原因是：本年减少中央自治区业务转移支付（业务、装备）项目经费。</w:t>
      </w:r>
    </w:p>
    <w:p w14:paraId="5FFF6585">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5.社会保障和就业支出(类)行政事业单位养老支出(款)行政单位离退休(项):支出决算数为100.17万元，比上年决算增加9.76万元，增长10.80%,主要原因是：本年</w:t>
      </w:r>
      <w:r>
        <w:rPr>
          <w:rFonts w:hint="eastAsia" w:ascii="仿宋_GB2312" w:hAnsi="仿宋_GB2312" w:eastAsia="仿宋_GB2312"/>
          <w:b w:val="0"/>
          <w:sz w:val="32"/>
          <w:lang w:val="en-US" w:eastAsia="zh-CN"/>
        </w:rPr>
        <w:t>新增</w:t>
      </w:r>
      <w:r>
        <w:rPr>
          <w:rFonts w:ascii="仿宋_GB2312" w:hAnsi="仿宋_GB2312" w:eastAsia="仿宋_GB2312"/>
          <w:b w:val="0"/>
          <w:sz w:val="32"/>
        </w:rPr>
        <w:t>在职</w:t>
      </w:r>
      <w:r>
        <w:rPr>
          <w:rFonts w:hint="eastAsia" w:ascii="仿宋_GB2312" w:hAnsi="仿宋_GB2312" w:eastAsia="仿宋_GB2312"/>
          <w:b w:val="0"/>
          <w:sz w:val="32"/>
          <w:lang w:val="en-US" w:eastAsia="zh-CN"/>
        </w:rPr>
        <w:t>转退休人员</w:t>
      </w:r>
      <w:r>
        <w:rPr>
          <w:rFonts w:ascii="仿宋_GB2312" w:hAnsi="仿宋_GB2312" w:eastAsia="仿宋_GB2312"/>
          <w:b w:val="0"/>
          <w:sz w:val="32"/>
        </w:rPr>
        <w:t>，导致退休费增加。</w:t>
      </w:r>
    </w:p>
    <w:p w14:paraId="369F67A3">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202.75万元，比上年决算增加11.11万元，增长5.80%,主要原因是：本年在职人员工资基数调增，养老缴费基数上涨，相应支出增加。</w:t>
      </w:r>
    </w:p>
    <w:p w14:paraId="1D36CF6C">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89.06万元，比上年决算增加14.34万元，增长19.19%,主要原因是：本年度退休人员增加，机关事业单位职业年金缴费支出增加。</w:t>
      </w:r>
    </w:p>
    <w:p w14:paraId="698713ED">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8.卫生健康支出(类)公共卫生(款)突发公共卫生事件应急处理(项):支出决算数为0.00万元，比上年决算减少0.61万元，下降100.00%,主要原因是：本年未安排防疫物资工作经费，故本年无此支出。</w:t>
      </w:r>
    </w:p>
    <w:p w14:paraId="53C6F0CB">
      <w:pPr>
        <w:spacing w:line="640" w:lineRule="exact"/>
        <w:ind w:firstLine="640"/>
        <w:jc w:val="both"/>
        <w:outlineLvl w:val="2"/>
      </w:pPr>
      <w:r>
        <w:rPr>
          <w:rFonts w:ascii="黑体" w:hAnsi="黑体" w:eastAsia="黑体"/>
          <w:sz w:val="32"/>
        </w:rPr>
        <w:t>六、一般公共预算财政拨款基本支出决算情况说明</w:t>
      </w:r>
    </w:p>
    <w:p w14:paraId="6B55FAE8">
      <w:pPr>
        <w:spacing w:line="580" w:lineRule="exact"/>
        <w:ind w:firstLine="640"/>
        <w:jc w:val="both"/>
      </w:pPr>
      <w:r>
        <w:rPr>
          <w:rFonts w:ascii="仿宋_GB2312" w:hAnsi="仿宋_GB2312" w:eastAsia="仿宋_GB2312"/>
          <w:b w:val="0"/>
          <w:sz w:val="32"/>
        </w:rPr>
        <w:t>2024年度一般公共预算财政拨款基本支出2,319.06万元，其中：</w:t>
      </w:r>
      <w:r>
        <w:rPr>
          <w:rFonts w:ascii="仿宋_GB2312" w:hAnsi="仿宋_GB2312" w:eastAsia="仿宋_GB2312"/>
          <w:b/>
          <w:sz w:val="32"/>
        </w:rPr>
        <w:t>人员经费2,215.28万元，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其他对个人和家庭的补助。</w:t>
      </w:r>
    </w:p>
    <w:p w14:paraId="4532DEB6">
      <w:pPr>
        <w:spacing w:line="580" w:lineRule="exact"/>
        <w:ind w:firstLine="640"/>
        <w:jc w:val="both"/>
      </w:pPr>
      <w:r>
        <w:rPr>
          <w:rFonts w:ascii="仿宋_GB2312" w:hAnsi="仿宋_GB2312" w:eastAsia="仿宋_GB2312"/>
          <w:b/>
          <w:sz w:val="32"/>
        </w:rPr>
        <w:t>公用经费103.78万元，</w:t>
      </w:r>
      <w:r>
        <w:rPr>
          <w:rFonts w:ascii="仿宋_GB2312" w:hAnsi="仿宋_GB2312" w:eastAsia="仿宋_GB2312"/>
          <w:b w:val="0"/>
          <w:sz w:val="32"/>
        </w:rPr>
        <w:t>包括：办公费、水费、电费、取暖费、公务接待费、工会经费、福利费、其他商品和服务支出。</w:t>
      </w:r>
    </w:p>
    <w:p w14:paraId="03EFCF76">
      <w:pPr>
        <w:spacing w:line="640" w:lineRule="exact"/>
        <w:ind w:firstLine="640"/>
        <w:jc w:val="both"/>
        <w:outlineLvl w:val="2"/>
      </w:pPr>
      <w:r>
        <w:rPr>
          <w:rFonts w:ascii="黑体" w:hAnsi="黑体" w:eastAsia="黑体"/>
          <w:sz w:val="32"/>
        </w:rPr>
        <w:t>七、政府性基金预算财政拨款收入支出决算情况说明</w:t>
      </w:r>
    </w:p>
    <w:p w14:paraId="113AEC8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1D33B26">
      <w:pPr>
        <w:spacing w:line="640" w:lineRule="exact"/>
        <w:ind w:firstLine="640"/>
        <w:jc w:val="both"/>
        <w:outlineLvl w:val="2"/>
      </w:pPr>
      <w:r>
        <w:rPr>
          <w:rFonts w:ascii="黑体" w:hAnsi="黑体" w:eastAsia="黑体"/>
          <w:sz w:val="32"/>
        </w:rPr>
        <w:t>八、国有资本经营预算财政拨款收入支出决算情况说明</w:t>
      </w:r>
    </w:p>
    <w:p w14:paraId="4D33F5B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72DA9E">
      <w:pPr>
        <w:spacing w:line="640" w:lineRule="exact"/>
        <w:ind w:firstLine="640"/>
        <w:jc w:val="both"/>
        <w:outlineLvl w:val="2"/>
      </w:pPr>
      <w:r>
        <w:rPr>
          <w:rFonts w:ascii="黑体" w:hAnsi="黑体" w:eastAsia="黑体"/>
          <w:sz w:val="32"/>
        </w:rPr>
        <w:t>九、财政拨款“三公”经费支出决算情况说明</w:t>
      </w:r>
    </w:p>
    <w:p w14:paraId="5A23339C">
      <w:pPr>
        <w:spacing w:line="580" w:lineRule="exact"/>
        <w:ind w:firstLine="640"/>
        <w:jc w:val="both"/>
      </w:pPr>
      <w:r>
        <w:rPr>
          <w:rFonts w:ascii="仿宋_GB2312" w:hAnsi="仿宋_GB2312" w:eastAsia="仿宋_GB2312"/>
          <w:b/>
          <w:sz w:val="32"/>
        </w:rPr>
        <w:t>2024年度财政拨款“三公”经费支出59.00万元，</w:t>
      </w:r>
      <w:r>
        <w:rPr>
          <w:rFonts w:ascii="仿宋_GB2312" w:hAnsi="仿宋_GB2312" w:eastAsia="仿宋_GB2312"/>
          <w:b w:val="0"/>
          <w:sz w:val="32"/>
        </w:rPr>
        <w:t>比上年增加54.50万元，增长1,211.11%，主要原因是：本年新购入公务用车，导致公务用车</w:t>
      </w:r>
      <w:r>
        <w:rPr>
          <w:rFonts w:hint="eastAsia" w:ascii="仿宋_GB2312" w:hAnsi="仿宋_GB2312" w:eastAsia="仿宋_GB2312"/>
          <w:b w:val="0"/>
          <w:sz w:val="32"/>
          <w:lang w:val="en-US" w:eastAsia="zh-CN"/>
        </w:rPr>
        <w:t>购置及</w:t>
      </w:r>
      <w:r>
        <w:rPr>
          <w:rFonts w:ascii="仿宋_GB2312" w:hAnsi="仿宋_GB2312" w:eastAsia="仿宋_GB2312"/>
          <w:b w:val="0"/>
          <w:sz w:val="32"/>
        </w:rPr>
        <w:t>运行维护费较上年增加。其中：因公出国（境）费支出0.00万元，占0.00%，比上年增加0.00万元，增长0.00%，主要原因是：2023年与2024年均未安排因公出国（境）费支出。公务用车购置及运行维护费支出55.00万元，占93.22%，比上年增加54.50万元，增长10,900.00%，主要原因是：本年新购入公务用车，导致公务用车</w:t>
      </w:r>
      <w:r>
        <w:rPr>
          <w:rFonts w:hint="eastAsia" w:ascii="仿宋_GB2312" w:hAnsi="仿宋_GB2312" w:eastAsia="仿宋_GB2312"/>
          <w:b w:val="0"/>
          <w:sz w:val="32"/>
          <w:lang w:val="en-US" w:eastAsia="zh-CN"/>
        </w:rPr>
        <w:t>购置及</w:t>
      </w:r>
      <w:r>
        <w:rPr>
          <w:rFonts w:ascii="仿宋_GB2312" w:hAnsi="仿宋_GB2312" w:eastAsia="仿宋_GB2312"/>
          <w:b w:val="0"/>
          <w:sz w:val="32"/>
        </w:rPr>
        <w:t>运行维护费较上年增加。公务接待费支出4.00万元，占6.78%，比上年增加0.00万元，增长0.00%，主要原因是：我本单位公务接待费与上年一致无变化。</w:t>
      </w:r>
    </w:p>
    <w:p w14:paraId="2EE258C1">
      <w:pPr>
        <w:spacing w:line="580" w:lineRule="exact"/>
        <w:ind w:firstLine="640"/>
        <w:jc w:val="both"/>
      </w:pPr>
      <w:r>
        <w:rPr>
          <w:rFonts w:ascii="仿宋_GB2312" w:hAnsi="仿宋_GB2312" w:eastAsia="仿宋_GB2312"/>
          <w:b/>
          <w:sz w:val="32"/>
        </w:rPr>
        <w:t>具体情况如下：</w:t>
      </w:r>
    </w:p>
    <w:p w14:paraId="73FF9B2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5D67A6">
      <w:pPr>
        <w:spacing w:line="580" w:lineRule="exact"/>
        <w:ind w:firstLine="640"/>
        <w:jc w:val="both"/>
      </w:pPr>
      <w:r>
        <w:rPr>
          <w:rFonts w:ascii="仿宋_GB2312" w:hAnsi="仿宋_GB2312" w:eastAsia="仿宋_GB2312"/>
          <w:b w:val="0"/>
          <w:sz w:val="32"/>
        </w:rPr>
        <w:t>公务用车购置及运行维护费55.00万元，其中：公务用车购置费25.00万元，公务用车运行维护费30.00万元。公务用车运行维护费开支内容包括车辆加油费、保险费、过路费、维修费。公务用车购置数1辆，公务用车保有量25辆。国有资产占用情况中固定资产车辆25辆，与公务用车保有量差异原因是：本单位固定资产车辆与公务用车保有量一致无差异。</w:t>
      </w:r>
    </w:p>
    <w:p w14:paraId="084A77D0">
      <w:pPr>
        <w:spacing w:line="580" w:lineRule="exact"/>
        <w:ind w:firstLine="640"/>
        <w:jc w:val="both"/>
      </w:pPr>
      <w:r>
        <w:rPr>
          <w:rFonts w:ascii="仿宋_GB2312" w:hAnsi="仿宋_GB2312" w:eastAsia="仿宋_GB2312"/>
          <w:b w:val="0"/>
          <w:sz w:val="32"/>
        </w:rPr>
        <w:t>公务接待费4.00万元，开支内容包括开展调研及业务活动、交流学习时产生的餐费。单位全年安排的国内公务接待46批次，351人次。</w:t>
      </w:r>
    </w:p>
    <w:p w14:paraId="6AFA3FC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59.00万元，决算数59.00万元，预决算差异率0.00%，主要原因是：严格按照预算执行，预决算无差异。其中：因公出国（境）费全年预算数0.00万元，决算数0.00万元，预决算差异率0.00%，主要原因是：本单位无因公出国（境）费。公务用车购置费全年预算数25.00万元，决算数25.00万元，预决算差异率0.00%，主要原因是：严格按照预算执行，预决算无差异。公务用车运行维护费全年预算数30.00万元，决算数30.00万元，预决算差异率0.00%，主要原因是：严格按照预算执行，预决算无差异。公务接待费全年预算数4.00万元，决算数4.00万元，预决算差异率0.00%，主要原因是：严格按照预算执行，预决算无差异。</w:t>
      </w:r>
    </w:p>
    <w:p w14:paraId="2ECCC16E">
      <w:pPr>
        <w:spacing w:line="640" w:lineRule="exact"/>
        <w:ind w:firstLine="640"/>
        <w:jc w:val="both"/>
        <w:outlineLvl w:val="2"/>
      </w:pPr>
      <w:r>
        <w:rPr>
          <w:rFonts w:ascii="黑体" w:hAnsi="黑体" w:eastAsia="黑体"/>
          <w:sz w:val="32"/>
        </w:rPr>
        <w:t>十、其他重要事项的情况说明</w:t>
      </w:r>
    </w:p>
    <w:p w14:paraId="399477FF">
      <w:pPr>
        <w:spacing w:line="640" w:lineRule="exact"/>
        <w:ind w:firstLine="640"/>
        <w:jc w:val="both"/>
        <w:outlineLvl w:val="3"/>
      </w:pPr>
      <w:r>
        <w:rPr>
          <w:rFonts w:ascii="楷体_GB2312" w:hAnsi="楷体_GB2312" w:eastAsia="楷体_GB2312"/>
          <w:b/>
          <w:sz w:val="32"/>
        </w:rPr>
        <w:t>（一）机关运行经费及公用经费支出情况</w:t>
      </w:r>
    </w:p>
    <w:p w14:paraId="0868C499">
      <w:pPr>
        <w:spacing w:line="580" w:lineRule="exact"/>
        <w:ind w:firstLine="640"/>
        <w:jc w:val="both"/>
      </w:pPr>
      <w:r>
        <w:rPr>
          <w:rFonts w:ascii="仿宋_GB2312" w:hAnsi="仿宋_GB2312" w:eastAsia="仿宋_GB2312"/>
          <w:b w:val="0"/>
          <w:sz w:val="32"/>
        </w:rPr>
        <w:t>2024年度克孜勒苏柯尔克孜自治州中级人民法院（行政单位和参照公务员法管理事业单位）机关运行经费支出103.78万元，比上年减少14.14万元，下降11.99%，主要原因是：本年减少办公费、差旅费等经费，</w:t>
      </w:r>
      <w:r>
        <w:rPr>
          <w:rFonts w:hint="eastAsia" w:ascii="仿宋_GB2312" w:hAnsi="仿宋_GB2312" w:eastAsia="仿宋_GB2312"/>
          <w:b w:val="0"/>
          <w:sz w:val="32"/>
          <w:lang w:val="en-US" w:eastAsia="zh-CN"/>
        </w:rPr>
        <w:t>导致</w:t>
      </w:r>
      <w:r>
        <w:rPr>
          <w:rFonts w:ascii="仿宋_GB2312" w:hAnsi="仿宋_GB2312" w:eastAsia="仿宋_GB2312"/>
          <w:b w:val="0"/>
          <w:sz w:val="32"/>
        </w:rPr>
        <w:t>机关运行经费支出减少。</w:t>
      </w:r>
    </w:p>
    <w:p w14:paraId="02919595">
      <w:pPr>
        <w:spacing w:line="640" w:lineRule="exact"/>
        <w:ind w:firstLine="640"/>
        <w:jc w:val="both"/>
        <w:outlineLvl w:val="3"/>
      </w:pPr>
      <w:r>
        <w:rPr>
          <w:rFonts w:ascii="楷体_GB2312" w:hAnsi="楷体_GB2312" w:eastAsia="楷体_GB2312"/>
          <w:b/>
          <w:sz w:val="32"/>
        </w:rPr>
        <w:t>（二）政府采购情况</w:t>
      </w:r>
    </w:p>
    <w:p w14:paraId="674339FE">
      <w:pPr>
        <w:spacing w:line="580" w:lineRule="exact"/>
        <w:ind w:firstLine="640"/>
        <w:jc w:val="both"/>
      </w:pPr>
      <w:r>
        <w:rPr>
          <w:rFonts w:ascii="仿宋_GB2312" w:hAnsi="仿宋_GB2312" w:eastAsia="仿宋_GB2312"/>
          <w:b w:val="0"/>
          <w:sz w:val="32"/>
        </w:rPr>
        <w:t>2024年度政府采购支出总额558.38万元，其中：政府采购货物支出41.87万元、政府采购工程支出498.60万元、政府采购服务支出17.91万元。</w:t>
      </w:r>
    </w:p>
    <w:p w14:paraId="7D89D1E9">
      <w:pPr>
        <w:spacing w:line="580" w:lineRule="exact"/>
        <w:ind w:firstLine="640"/>
        <w:jc w:val="both"/>
      </w:pPr>
      <w:r>
        <w:rPr>
          <w:rFonts w:ascii="仿宋_GB2312" w:hAnsi="仿宋_GB2312" w:eastAsia="仿宋_GB2312"/>
          <w:b w:val="0"/>
          <w:sz w:val="32"/>
        </w:rPr>
        <w:t>授予中小企业合同金额549.88万元，占政府采购支出总额的98.48%，其中：授予小微企业合同金额42.60万元，占政府采购支出总额的7.63%。</w:t>
      </w:r>
    </w:p>
    <w:p w14:paraId="00DED087">
      <w:pPr>
        <w:spacing w:line="640" w:lineRule="exact"/>
        <w:ind w:firstLine="640"/>
        <w:jc w:val="both"/>
        <w:outlineLvl w:val="3"/>
      </w:pPr>
      <w:r>
        <w:rPr>
          <w:rFonts w:ascii="楷体_GB2312" w:hAnsi="楷体_GB2312" w:eastAsia="楷体_GB2312"/>
          <w:b/>
          <w:sz w:val="32"/>
        </w:rPr>
        <w:t>（三）国有资产占用情况说明</w:t>
      </w:r>
    </w:p>
    <w:p w14:paraId="125FC3CB">
      <w:pPr>
        <w:spacing w:line="580" w:lineRule="exact"/>
        <w:ind w:firstLine="640"/>
        <w:jc w:val="both"/>
      </w:pPr>
      <w:r>
        <w:rPr>
          <w:rFonts w:ascii="仿宋_GB2312" w:hAnsi="仿宋_GB2312" w:eastAsia="仿宋_GB2312"/>
          <w:b w:val="0"/>
          <w:sz w:val="32"/>
        </w:rPr>
        <w:t>截至2024年12月31日，房屋22,735.00平方米，价值6,090.29万元。车辆25辆，价值469.53万元，其中：副部（省）级及以上领导用车0辆、主要负责人用车0辆、机要通信用车0辆、应急保障用车0辆、执法执勤用车18辆、特种专业技术用车0辆、离退休干部服务用车0辆、其他用车7辆，其他用车主要是：本单位有待报废车辆6辆，1辆公务用车。单价100万元（含）以上设备（不含车辆）3台（套）。</w:t>
      </w:r>
    </w:p>
    <w:p w14:paraId="0E7D1150">
      <w:pPr>
        <w:spacing w:line="640" w:lineRule="exact"/>
        <w:ind w:firstLine="640"/>
        <w:jc w:val="both"/>
        <w:outlineLvl w:val="2"/>
      </w:pPr>
      <w:r>
        <w:rPr>
          <w:rFonts w:ascii="黑体" w:hAnsi="黑体" w:eastAsia="黑体"/>
          <w:sz w:val="32"/>
        </w:rPr>
        <w:t>十一、预算绩效的情况说明</w:t>
      </w:r>
    </w:p>
    <w:p w14:paraId="3D41091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3,885.22万元，实际执行总额3,641.84万元；预算绩效评价项目1个，全年预算数851.35万元，全年执行数607.97万元。预算绩效管理取得的成效：提高财政资金使用效益，确保民生工程顺利开展，对专项资金使用效果好的予以继续支持，对专项资金管理较好的做法予以宣传推广。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74F1A96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1033C6B">
        <w:tblPrEx>
          <w:tblCellMar>
            <w:top w:w="0" w:type="dxa"/>
            <w:left w:w="108" w:type="dxa"/>
            <w:bottom w:w="0" w:type="dxa"/>
            <w:right w:w="108" w:type="dxa"/>
          </w:tblCellMar>
        </w:tblPrEx>
        <w:tc>
          <w:tcPr>
            <w:tcW w:w="8840" w:type="dxa"/>
            <w:gridSpan w:val="8"/>
            <w:vAlign w:val="center"/>
          </w:tcPr>
          <w:p w14:paraId="09C1CE19">
            <w:pPr>
              <w:jc w:val="center"/>
            </w:pPr>
            <w:r>
              <w:rPr>
                <w:rFonts w:ascii="宋体" w:hAnsi="宋体" w:eastAsia="宋体"/>
                <w:sz w:val="24"/>
              </w:rPr>
              <w:t>单位整体支出绩效自评表</w:t>
            </w:r>
          </w:p>
        </w:tc>
      </w:tr>
      <w:tr w14:paraId="735905DA">
        <w:tblPrEx>
          <w:tblCellMar>
            <w:top w:w="0" w:type="dxa"/>
            <w:left w:w="108" w:type="dxa"/>
            <w:bottom w:w="0" w:type="dxa"/>
            <w:right w:w="108" w:type="dxa"/>
          </w:tblCellMar>
        </w:tblPrEx>
        <w:tc>
          <w:tcPr>
            <w:tcW w:w="8840" w:type="dxa"/>
            <w:gridSpan w:val="8"/>
            <w:vAlign w:val="center"/>
          </w:tcPr>
          <w:p w14:paraId="4C45768C">
            <w:pPr>
              <w:jc w:val="center"/>
            </w:pPr>
            <w:r>
              <w:rPr>
                <w:rFonts w:ascii="宋体" w:hAnsi="宋体" w:eastAsia="宋体"/>
                <w:sz w:val="24"/>
              </w:rPr>
              <w:t>（2024年度）</w:t>
            </w:r>
          </w:p>
        </w:tc>
      </w:tr>
      <w:tr w14:paraId="165CE15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09C6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3223F">
            <w:pPr>
              <w:jc w:val="center"/>
            </w:pPr>
            <w:r>
              <w:rPr>
                <w:rFonts w:ascii="宋体" w:hAnsi="宋体" w:eastAsia="宋体"/>
                <w:sz w:val="16"/>
              </w:rPr>
              <w:t>克孜勒苏柯尔克孜自治州中级人民法院</w:t>
            </w:r>
          </w:p>
        </w:tc>
      </w:tr>
      <w:tr w14:paraId="03E4256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EE02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1128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FDCA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7AA2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8CBC8">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553A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F1CB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3EF94">
            <w:pPr>
              <w:jc w:val="center"/>
            </w:pPr>
            <w:r>
              <w:rPr>
                <w:rFonts w:ascii="宋体" w:hAnsi="宋体" w:eastAsia="宋体"/>
                <w:sz w:val="16"/>
              </w:rPr>
              <w:t>得分</w:t>
            </w:r>
          </w:p>
        </w:tc>
      </w:tr>
      <w:tr w14:paraId="5D7EA9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6814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3CDA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0F702">
            <w:pPr>
              <w:jc w:val="center"/>
            </w:pPr>
            <w:r>
              <w:rPr>
                <w:rFonts w:ascii="宋体" w:hAnsi="宋体" w:eastAsia="宋体"/>
                <w:sz w:val="16"/>
              </w:rPr>
              <w:t>3,889.30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9CB4A">
            <w:pPr>
              <w:jc w:val="center"/>
            </w:pPr>
            <w:r>
              <w:rPr>
                <w:rFonts w:ascii="宋体" w:hAnsi="宋体" w:eastAsia="宋体"/>
                <w:sz w:val="16"/>
              </w:rPr>
              <w:t>3,885.22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AC4FF">
            <w:pPr>
              <w:jc w:val="center"/>
            </w:pPr>
            <w:r>
              <w:rPr>
                <w:rFonts w:ascii="宋体" w:hAnsi="宋体" w:eastAsia="宋体"/>
                <w:sz w:val="16"/>
              </w:rPr>
              <w:t>3,641.84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6A11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FAE644">
            <w:pPr>
              <w:jc w:val="center"/>
            </w:pPr>
            <w:r>
              <w:rPr>
                <w:rFonts w:ascii="宋体" w:hAnsi="宋体" w:eastAsia="宋体"/>
                <w:sz w:val="16"/>
              </w:rPr>
              <w:t>93.74%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5AD20">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bookmarkStart w:id="0" w:name="_GoBack"/>
            <w:bookmarkEnd w:id="0"/>
            <w:r>
              <w:rPr>
                <w:rFonts w:ascii="宋体" w:hAnsi="宋体" w:eastAsia="宋体"/>
                <w:sz w:val="16"/>
              </w:rPr>
              <w:t>37</w:t>
            </w:r>
            <w:r>
              <w:rPr>
                <w:rFonts w:hint="eastAsia" w:ascii="宋体" w:hAnsi="宋体"/>
                <w:sz w:val="16"/>
                <w:lang w:val="en-US" w:eastAsia="zh-CN"/>
              </w:rPr>
              <w:t>分</w:t>
            </w:r>
          </w:p>
        </w:tc>
      </w:tr>
      <w:tr w14:paraId="210B61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BD3A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B69C1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74184">
            <w:pPr>
              <w:jc w:val="center"/>
            </w:pPr>
            <w:r>
              <w:rPr>
                <w:rFonts w:ascii="宋体" w:hAnsi="宋体" w:eastAsia="宋体"/>
                <w:sz w:val="16"/>
              </w:rPr>
              <w:t>506.99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26A65">
            <w:pPr>
              <w:jc w:val="center"/>
            </w:pPr>
            <w:r>
              <w:rPr>
                <w:rFonts w:ascii="宋体" w:hAnsi="宋体" w:eastAsia="宋体"/>
                <w:sz w:val="16"/>
              </w:rPr>
              <w:t>714.81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C9AA0">
            <w:pPr>
              <w:jc w:val="center"/>
            </w:pPr>
            <w:r>
              <w:rPr>
                <w:rFonts w:ascii="宋体" w:hAnsi="宋体" w:eastAsia="宋体"/>
                <w:sz w:val="16"/>
              </w:rPr>
              <w:t>714.81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05D9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5740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972F2">
            <w:pPr>
              <w:jc w:val="center"/>
            </w:pPr>
            <w:r>
              <w:rPr>
                <w:rFonts w:ascii="宋体" w:hAnsi="宋体" w:eastAsia="宋体"/>
                <w:sz w:val="16"/>
              </w:rPr>
              <w:t>—</w:t>
            </w:r>
          </w:p>
        </w:tc>
      </w:tr>
      <w:tr w14:paraId="6AE87D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1BA7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157A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9E637">
            <w:pPr>
              <w:jc w:val="center"/>
            </w:pPr>
            <w:r>
              <w:rPr>
                <w:rFonts w:ascii="宋体" w:hAnsi="宋体" w:eastAsia="宋体"/>
                <w:sz w:val="16"/>
              </w:rPr>
              <w:t>2,215.92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A586F">
            <w:pPr>
              <w:jc w:val="center"/>
            </w:pPr>
            <w:r>
              <w:rPr>
                <w:rFonts w:ascii="宋体" w:hAnsi="宋体" w:eastAsia="宋体"/>
                <w:sz w:val="16"/>
              </w:rPr>
              <w:t>2,319.06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D10B6">
            <w:pPr>
              <w:jc w:val="center"/>
            </w:pPr>
            <w:r>
              <w:rPr>
                <w:rFonts w:ascii="宋体" w:hAnsi="宋体" w:eastAsia="宋体"/>
                <w:sz w:val="16"/>
              </w:rPr>
              <w:t>2,319.06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9F9F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B6F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1AE59">
            <w:pPr>
              <w:jc w:val="center"/>
            </w:pPr>
            <w:r>
              <w:rPr>
                <w:rFonts w:ascii="宋体" w:hAnsi="宋体" w:eastAsia="宋体"/>
                <w:sz w:val="16"/>
              </w:rPr>
              <w:t>—</w:t>
            </w:r>
          </w:p>
        </w:tc>
      </w:tr>
      <w:tr w14:paraId="322887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6544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1EE0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BC4CA">
            <w:pPr>
              <w:jc w:val="center"/>
            </w:pPr>
            <w:r>
              <w:rPr>
                <w:rFonts w:ascii="宋体" w:hAnsi="宋体" w:eastAsia="宋体"/>
                <w:sz w:val="16"/>
              </w:rPr>
              <w:t>1,166.39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19F4E">
            <w:pPr>
              <w:jc w:val="center"/>
            </w:pPr>
            <w:r>
              <w:rPr>
                <w:rFonts w:ascii="宋体" w:hAnsi="宋体" w:eastAsia="宋体"/>
                <w:sz w:val="16"/>
              </w:rPr>
              <w:t>851.35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F4446">
            <w:pPr>
              <w:jc w:val="center"/>
            </w:pPr>
            <w:r>
              <w:rPr>
                <w:rFonts w:ascii="宋体" w:hAnsi="宋体" w:eastAsia="宋体"/>
                <w:sz w:val="16"/>
              </w:rPr>
              <w:t>607.97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9A852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471B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C7B61">
            <w:pPr>
              <w:jc w:val="center"/>
            </w:pPr>
            <w:r>
              <w:rPr>
                <w:rFonts w:ascii="宋体" w:hAnsi="宋体" w:eastAsia="宋体"/>
                <w:sz w:val="16"/>
              </w:rPr>
              <w:t>—</w:t>
            </w:r>
          </w:p>
        </w:tc>
      </w:tr>
      <w:tr w14:paraId="410F324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58BE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EDC5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B761C9">
            <w:pPr>
              <w:jc w:val="center"/>
            </w:pPr>
            <w:r>
              <w:rPr>
                <w:rFonts w:hint="eastAsia" w:ascii="宋体" w:hAnsi="宋体" w:eastAsia="宋体"/>
                <w:sz w:val="16"/>
              </w:rPr>
              <w:t>实际完成情况</w:t>
            </w:r>
          </w:p>
        </w:tc>
      </w:tr>
      <w:tr w14:paraId="7943E1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C2C23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018928">
            <w:pPr>
              <w:jc w:val="both"/>
            </w:pPr>
            <w:r>
              <w:rPr>
                <w:rFonts w:ascii="宋体" w:hAnsi="宋体" w:eastAsia="宋体"/>
                <w:sz w:val="16"/>
              </w:rPr>
              <w:t>1.履行审判执行工作职能，依法受理审判、执行案件，努力让人民群众在每一个司法案件中感受到公平正义，全年受理案件数量不少于700件。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法院</w:t>
            </w:r>
            <w:r>
              <w:rPr>
                <w:rFonts w:ascii="宋体" w:hAnsi="宋体" w:eastAsia="宋体"/>
                <w:sz w:val="16"/>
              </w:rPr>
              <w:t>审批执行中心工作顺利开展，切实维护国家政治安全、社会稳定和人民安宁。全年案件办结率不低于90%。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3.提升各级法院装备配备，提高法院刑事、民商事、行政等案件审判公平正义，坚持司法为民，公正司法，保护人民群众合法权益。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4.保障在职人员、聘用制书记员、退休人员等工资，支付社保、医疗，公积金等共2110.6万元。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5.公用经费保障本院日常运行共105.32万元。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D455CA">
            <w:pPr>
              <w:jc w:val="both"/>
            </w:pPr>
            <w:r>
              <w:rPr>
                <w:rFonts w:ascii="宋体" w:hAnsi="宋体" w:eastAsia="宋体"/>
                <w:sz w:val="16"/>
              </w:rPr>
              <w:t>截至2024年12月31日，1.</w:t>
            </w:r>
            <w:r>
              <w:rPr>
                <w:rFonts w:hint="eastAsia" w:ascii="宋体" w:hAnsi="宋体"/>
                <w:sz w:val="16"/>
                <w:lang w:eastAsia="zh-CN"/>
              </w:rPr>
              <w:t>本单位</w:t>
            </w:r>
            <w:r>
              <w:rPr>
                <w:rFonts w:ascii="宋体" w:hAnsi="宋体" w:eastAsia="宋体"/>
                <w:sz w:val="16"/>
              </w:rPr>
              <w:t>为高质量、高效率完成全年工作任务，提升克州两级法院审判执行质效，召开审判质量管理数据分析会议，分析两级法院审判执行工作中的短板弱项，并就如何推动审判执行工作质效取得新进展、新突破进行安排部署。2.</w:t>
            </w:r>
            <w:r>
              <w:rPr>
                <w:rFonts w:hint="eastAsia" w:ascii="宋体" w:hAnsi="宋体"/>
                <w:sz w:val="16"/>
                <w:lang w:eastAsia="zh-CN"/>
              </w:rPr>
              <w:t>本单位</w:t>
            </w:r>
            <w:r>
              <w:rPr>
                <w:rFonts w:ascii="宋体" w:hAnsi="宋体" w:eastAsia="宋体"/>
                <w:sz w:val="16"/>
              </w:rPr>
              <w:t>为提升克州两级法院审判执行工作质效，提升法院高质量、高效率办案任务，召开审判工作研讨会议，分析两级法院审判工作中的短板弱项，并就短板弱项提出解决措施推动审判执行工作质效取得新进展、新突破。3.</w:t>
            </w:r>
            <w:r>
              <w:rPr>
                <w:rFonts w:hint="eastAsia" w:ascii="宋体" w:hAnsi="宋体"/>
                <w:sz w:val="16"/>
                <w:lang w:eastAsia="zh-CN"/>
              </w:rPr>
              <w:t>本单位</w:t>
            </w:r>
            <w:r>
              <w:rPr>
                <w:rFonts w:ascii="宋体" w:hAnsi="宋体" w:eastAsia="宋体"/>
                <w:sz w:val="16"/>
              </w:rPr>
              <w:t>为普及广大群众法律知识，特派优秀干警积极普法宣传活动，提高群众法律意识，维护自身利益，维护社会稳定起到一定的辅助作用。4.</w:t>
            </w:r>
            <w:r>
              <w:rPr>
                <w:rFonts w:hint="eastAsia" w:ascii="宋体" w:hAnsi="宋体"/>
                <w:sz w:val="16"/>
                <w:lang w:eastAsia="zh-CN"/>
              </w:rPr>
              <w:t>本单位</w:t>
            </w:r>
            <w:r>
              <w:rPr>
                <w:rFonts w:ascii="宋体" w:hAnsi="宋体" w:eastAsia="宋体"/>
                <w:sz w:val="16"/>
              </w:rPr>
              <w:t>参加法官</w:t>
            </w:r>
            <w:r>
              <w:rPr>
                <w:rFonts w:hint="eastAsia" w:ascii="宋体" w:hAnsi="宋体"/>
                <w:sz w:val="16"/>
                <w:lang w:eastAsia="zh-CN"/>
              </w:rPr>
              <w:t>学院</w:t>
            </w:r>
            <w:r>
              <w:rPr>
                <w:rFonts w:ascii="宋体" w:hAnsi="宋体" w:eastAsia="宋体"/>
                <w:sz w:val="16"/>
              </w:rPr>
              <w:t>、国家法官学院、江西等分批次进行培训，提升业务能力，提升法院审判执行工作质效。5.根据</w:t>
            </w:r>
            <w:r>
              <w:rPr>
                <w:rFonts w:hint="eastAsia" w:ascii="宋体" w:hAnsi="宋体"/>
                <w:sz w:val="16"/>
                <w:lang w:eastAsia="zh-CN"/>
              </w:rPr>
              <w:t>本单位</w:t>
            </w:r>
            <w:r>
              <w:rPr>
                <w:rFonts w:ascii="宋体" w:hAnsi="宋体" w:eastAsia="宋体"/>
                <w:sz w:val="16"/>
              </w:rPr>
              <w:t>2024年共办理案件700件，维护公民合法权益，维护社会稳定长治久安，发挥法院机关职能。6.</w:t>
            </w:r>
            <w:r>
              <w:rPr>
                <w:rFonts w:hint="eastAsia" w:ascii="宋体" w:hAnsi="宋体"/>
                <w:sz w:val="16"/>
                <w:lang w:eastAsia="zh-CN"/>
              </w:rPr>
              <w:t>本单位</w:t>
            </w:r>
            <w:r>
              <w:rPr>
                <w:rFonts w:ascii="宋体" w:hAnsi="宋体" w:eastAsia="宋体"/>
                <w:sz w:val="16"/>
              </w:rPr>
              <w:t>为普及广大群众法律知识，特派优秀干警积极参加普法宣传活动，提高群众法律意识，维护自身利益，为维护社会稳定长治久安做出自己的贡献。7.根据</w:t>
            </w:r>
            <w:r>
              <w:rPr>
                <w:rFonts w:hint="eastAsia" w:ascii="宋体" w:hAnsi="宋体"/>
                <w:sz w:val="16"/>
                <w:lang w:eastAsia="zh-CN"/>
              </w:rPr>
              <w:t>本单位</w:t>
            </w:r>
            <w:r>
              <w:rPr>
                <w:rFonts w:ascii="宋体" w:hAnsi="宋体" w:eastAsia="宋体"/>
                <w:sz w:val="16"/>
              </w:rPr>
              <w:t>参加广场、学校等地方，2024年共宣讲12余次，发放手册。8.</w:t>
            </w:r>
            <w:r>
              <w:rPr>
                <w:rFonts w:hint="eastAsia" w:ascii="宋体" w:hAnsi="宋体"/>
                <w:sz w:val="16"/>
                <w:lang w:eastAsia="zh-CN"/>
              </w:rPr>
              <w:t>本单位</w:t>
            </w:r>
            <w:r>
              <w:rPr>
                <w:rFonts w:ascii="宋体" w:hAnsi="宋体" w:eastAsia="宋体"/>
                <w:sz w:val="16"/>
              </w:rPr>
              <w:t>院领导关心关爱单位干警，优化工作环境。</w:t>
            </w:r>
          </w:p>
        </w:tc>
      </w:tr>
      <w:tr w14:paraId="74CD6A6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B5763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1F80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DD6B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1624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1975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AD21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8A1A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2ABE2">
            <w:pPr>
              <w:jc w:val="center"/>
            </w:pPr>
            <w:r>
              <w:rPr>
                <w:rFonts w:ascii="宋体" w:hAnsi="宋体" w:eastAsia="宋体"/>
                <w:sz w:val="16"/>
              </w:rPr>
              <w:t>得分</w:t>
            </w:r>
          </w:p>
        </w:tc>
      </w:tr>
      <w:tr w14:paraId="5CA426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E8ED4">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5292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D7B57">
            <w:pPr>
              <w:jc w:val="center"/>
            </w:pPr>
            <w:r>
              <w:rPr>
                <w:rFonts w:ascii="宋体" w:hAnsi="宋体" w:eastAsia="宋体"/>
                <w:sz w:val="16"/>
              </w:rPr>
              <w:t>案件审理结案率（%）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82AEE9">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951B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D6E94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566B5">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EA7DD">
            <w:pPr>
              <w:jc w:val="center"/>
            </w:pPr>
            <w:r>
              <w:rPr>
                <w:rFonts w:ascii="宋体" w:hAnsi="宋体" w:eastAsia="宋体"/>
                <w:sz w:val="16"/>
              </w:rPr>
              <w:t>15</w:t>
            </w:r>
          </w:p>
        </w:tc>
      </w:tr>
      <w:tr w14:paraId="117C95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AC13D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B3E3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B8EAA">
            <w:pPr>
              <w:jc w:val="center"/>
            </w:pPr>
            <w:r>
              <w:rPr>
                <w:rFonts w:ascii="宋体" w:hAnsi="宋体" w:eastAsia="宋体"/>
                <w:sz w:val="16"/>
              </w:rPr>
              <w:t>案件执行执结率（%）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0FB10">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8CB6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CB9C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5A4E2">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EE970">
            <w:pPr>
              <w:jc w:val="center"/>
            </w:pPr>
            <w:r>
              <w:rPr>
                <w:rFonts w:ascii="宋体" w:hAnsi="宋体" w:eastAsia="宋体"/>
                <w:sz w:val="16"/>
              </w:rPr>
              <w:t>15</w:t>
            </w:r>
          </w:p>
        </w:tc>
      </w:tr>
      <w:tr w14:paraId="63E8BA1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EA2C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1433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80C40">
            <w:pPr>
              <w:jc w:val="center"/>
            </w:pPr>
            <w:r>
              <w:rPr>
                <w:rFonts w:ascii="宋体" w:hAnsi="宋体" w:eastAsia="宋体"/>
                <w:sz w:val="16"/>
              </w:rPr>
              <w:t>刑事受理案件（件）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C1211">
            <w:pPr>
              <w:jc w:val="center"/>
            </w:pPr>
            <w:r>
              <w:rPr>
                <w:rFonts w:ascii="宋体" w:hAnsi="宋体" w:eastAsia="宋体"/>
                <w:sz w:val="16"/>
              </w:rPr>
              <w:t>&gt;=112件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A7C2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CC2D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9E1E3">
            <w:pPr>
              <w:jc w:val="center"/>
            </w:pPr>
            <w:r>
              <w:rPr>
                <w:rFonts w:ascii="宋体" w:hAnsi="宋体" w:eastAsia="宋体"/>
                <w:sz w:val="16"/>
              </w:rPr>
              <w:t>112件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F2969">
            <w:pPr>
              <w:jc w:val="center"/>
            </w:pPr>
            <w:r>
              <w:rPr>
                <w:rFonts w:ascii="宋体" w:hAnsi="宋体" w:eastAsia="宋体"/>
                <w:sz w:val="16"/>
              </w:rPr>
              <w:t>10</w:t>
            </w:r>
          </w:p>
        </w:tc>
      </w:tr>
      <w:tr w14:paraId="55BB05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F0874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15DC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F9483">
            <w:pPr>
              <w:jc w:val="center"/>
            </w:pPr>
            <w:r>
              <w:rPr>
                <w:rFonts w:ascii="宋体" w:hAnsi="宋体" w:eastAsia="宋体"/>
                <w:sz w:val="16"/>
              </w:rPr>
              <w:t>民事受理案件（件）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5B0970">
            <w:pPr>
              <w:jc w:val="center"/>
            </w:pPr>
            <w:r>
              <w:rPr>
                <w:rFonts w:ascii="宋体" w:hAnsi="宋体" w:eastAsia="宋体"/>
                <w:sz w:val="16"/>
              </w:rPr>
              <w:t>&gt;=470件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BC77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D33C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A964B">
            <w:pPr>
              <w:jc w:val="center"/>
            </w:pPr>
            <w:r>
              <w:rPr>
                <w:rFonts w:ascii="宋体" w:hAnsi="宋体" w:eastAsia="宋体"/>
                <w:sz w:val="16"/>
              </w:rPr>
              <w:t>470件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F75A8">
            <w:pPr>
              <w:jc w:val="center"/>
            </w:pPr>
            <w:r>
              <w:rPr>
                <w:rFonts w:ascii="宋体" w:hAnsi="宋体" w:eastAsia="宋体"/>
                <w:sz w:val="16"/>
              </w:rPr>
              <w:t>10</w:t>
            </w:r>
          </w:p>
        </w:tc>
      </w:tr>
      <w:tr w14:paraId="27D582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395AA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05EB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169FF">
            <w:pPr>
              <w:jc w:val="center"/>
            </w:pPr>
            <w:r>
              <w:rPr>
                <w:rFonts w:ascii="宋体" w:hAnsi="宋体" w:eastAsia="宋体"/>
                <w:sz w:val="16"/>
              </w:rPr>
              <w:t>执行受理案件（件）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B4136">
            <w:pPr>
              <w:jc w:val="center"/>
            </w:pPr>
            <w:r>
              <w:rPr>
                <w:rFonts w:ascii="宋体" w:hAnsi="宋体" w:eastAsia="宋体"/>
                <w:sz w:val="16"/>
              </w:rPr>
              <w:t>&gt;=95件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3AF7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8FF0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BB2E9F">
            <w:pPr>
              <w:jc w:val="center"/>
            </w:pPr>
            <w:r>
              <w:rPr>
                <w:rFonts w:ascii="宋体" w:hAnsi="宋体" w:eastAsia="宋体"/>
                <w:sz w:val="16"/>
              </w:rPr>
              <w:t>95件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99341">
            <w:pPr>
              <w:jc w:val="center"/>
            </w:pPr>
            <w:r>
              <w:rPr>
                <w:rFonts w:ascii="宋体" w:hAnsi="宋体" w:eastAsia="宋体"/>
                <w:sz w:val="16"/>
              </w:rPr>
              <w:t>10</w:t>
            </w:r>
          </w:p>
        </w:tc>
      </w:tr>
      <w:tr w14:paraId="213A53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691D6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AB612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494D7">
            <w:pPr>
              <w:jc w:val="center"/>
            </w:pPr>
            <w:r>
              <w:rPr>
                <w:rFonts w:ascii="宋体" w:hAnsi="宋体" w:eastAsia="宋体"/>
                <w:sz w:val="16"/>
              </w:rPr>
              <w:t>支持开展业务工作的法院数量（家）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AD1F0">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8393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9661D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EFA65">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B6B10">
            <w:pPr>
              <w:jc w:val="center"/>
            </w:pPr>
            <w:r>
              <w:rPr>
                <w:rFonts w:ascii="宋体" w:hAnsi="宋体" w:eastAsia="宋体"/>
                <w:sz w:val="16"/>
              </w:rPr>
              <w:t>15</w:t>
            </w:r>
          </w:p>
        </w:tc>
      </w:tr>
      <w:tr w14:paraId="5AAE83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D6FDA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C95A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6C9F40">
            <w:pPr>
              <w:jc w:val="center"/>
            </w:pPr>
            <w:r>
              <w:rPr>
                <w:rFonts w:ascii="宋体" w:hAnsi="宋体" w:eastAsia="宋体"/>
                <w:sz w:val="16"/>
              </w:rPr>
              <w:t>法律宣传次数（次）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224DA">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E052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F09F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CF5F9D">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659B4">
            <w:pPr>
              <w:jc w:val="center"/>
            </w:pPr>
            <w:r>
              <w:rPr>
                <w:rFonts w:ascii="宋体" w:hAnsi="宋体" w:eastAsia="宋体"/>
                <w:sz w:val="16"/>
              </w:rPr>
              <w:t>15</w:t>
            </w:r>
          </w:p>
        </w:tc>
      </w:tr>
    </w:tbl>
    <w:p w14:paraId="0BDA8F6E">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18"/>
        <w:gridCol w:w="618"/>
        <w:gridCol w:w="618"/>
        <w:gridCol w:w="696"/>
        <w:gridCol w:w="628"/>
        <w:gridCol w:w="603"/>
        <w:gridCol w:w="628"/>
      </w:tblGrid>
      <w:tr w14:paraId="62179E8F">
        <w:tblPrEx>
          <w:tblCellMar>
            <w:top w:w="0" w:type="dxa"/>
            <w:left w:w="108" w:type="dxa"/>
            <w:bottom w:w="0" w:type="dxa"/>
            <w:right w:w="108" w:type="dxa"/>
          </w:tblCellMar>
        </w:tblPrEx>
        <w:tc>
          <w:tcPr>
            <w:tcW w:w="8848" w:type="dxa"/>
            <w:gridSpan w:val="14"/>
            <w:vAlign w:val="center"/>
          </w:tcPr>
          <w:p w14:paraId="1AACEF83">
            <w:pPr>
              <w:jc w:val="center"/>
            </w:pPr>
            <w:r>
              <w:rPr>
                <w:rFonts w:ascii="宋体" w:hAnsi="宋体" w:eastAsia="宋体"/>
                <w:sz w:val="24"/>
              </w:rPr>
              <w:t>项目支出绩效自评表</w:t>
            </w:r>
          </w:p>
        </w:tc>
      </w:tr>
      <w:tr w14:paraId="6528184A">
        <w:tblPrEx>
          <w:tblCellMar>
            <w:top w:w="0" w:type="dxa"/>
            <w:left w:w="108" w:type="dxa"/>
            <w:bottom w:w="0" w:type="dxa"/>
            <w:right w:w="108" w:type="dxa"/>
          </w:tblCellMar>
        </w:tblPrEx>
        <w:tc>
          <w:tcPr>
            <w:tcW w:w="8848" w:type="dxa"/>
            <w:gridSpan w:val="14"/>
            <w:vAlign w:val="center"/>
          </w:tcPr>
          <w:p w14:paraId="4006DA40">
            <w:pPr>
              <w:jc w:val="center"/>
            </w:pPr>
            <w:r>
              <w:rPr>
                <w:rFonts w:ascii="宋体" w:hAnsi="宋体" w:eastAsia="宋体"/>
                <w:sz w:val="24"/>
              </w:rPr>
              <w:t>(2024年度)</w:t>
            </w:r>
          </w:p>
        </w:tc>
      </w:tr>
      <w:tr w14:paraId="50BC6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38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6225C4">
            <w:pPr>
              <w:jc w:val="center"/>
            </w:pPr>
            <w:r>
              <w:rPr>
                <w:rFonts w:ascii="宋体" w:hAnsi="宋体" w:eastAsia="宋体"/>
                <w:sz w:val="16"/>
              </w:rPr>
              <w:t>援疆资金</w:t>
            </w:r>
          </w:p>
        </w:tc>
      </w:tr>
      <w:tr w14:paraId="48FC83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CEB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4CD1F">
            <w:pPr>
              <w:jc w:val="center"/>
            </w:pPr>
            <w:r>
              <w:rPr>
                <w:rFonts w:ascii="宋体" w:hAnsi="宋体" w:eastAsia="宋体"/>
                <w:sz w:val="16"/>
              </w:rPr>
              <w:t>克孜勒苏柯尔克孜自治州中级人民法院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12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AF129">
            <w:pPr>
              <w:jc w:val="center"/>
            </w:pPr>
            <w:r>
              <w:rPr>
                <w:rFonts w:ascii="宋体" w:hAnsi="宋体" w:eastAsia="宋体"/>
                <w:sz w:val="16"/>
              </w:rPr>
              <w:t>克孜勒苏柯尔克孜自治州中级人民法院</w:t>
            </w:r>
          </w:p>
        </w:tc>
      </w:tr>
      <w:tr w14:paraId="44D9BD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D45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C89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188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0B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6BB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A86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F78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181F">
            <w:pPr>
              <w:jc w:val="center"/>
            </w:pPr>
            <w:r>
              <w:rPr>
                <w:rFonts w:ascii="宋体" w:hAnsi="宋体" w:eastAsia="宋体"/>
                <w:sz w:val="16"/>
              </w:rPr>
              <w:t>得分</w:t>
            </w:r>
          </w:p>
        </w:tc>
      </w:tr>
      <w:tr w14:paraId="27820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CC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C3C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CC45">
            <w:pPr>
              <w:jc w:val="center"/>
            </w:pPr>
            <w:r>
              <w:rPr>
                <w:rFonts w:ascii="宋体" w:hAnsi="宋体" w:eastAsia="宋体"/>
                <w:sz w:val="16"/>
              </w:rPr>
              <w:t>1,166.39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F33A9">
            <w:pPr>
              <w:jc w:val="center"/>
            </w:pPr>
            <w:r>
              <w:rPr>
                <w:rFonts w:ascii="宋体" w:hAnsi="宋体" w:eastAsia="宋体"/>
                <w:sz w:val="16"/>
              </w:rPr>
              <w:t>851.35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5D2C1">
            <w:pPr>
              <w:jc w:val="center"/>
            </w:pPr>
            <w:r>
              <w:rPr>
                <w:rFonts w:ascii="宋体" w:hAnsi="宋体" w:eastAsia="宋体"/>
                <w:sz w:val="16"/>
              </w:rPr>
              <w:t>607.97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D60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DF383">
            <w:pPr>
              <w:jc w:val="center"/>
            </w:pPr>
            <w:r>
              <w:rPr>
                <w:rFonts w:ascii="宋体" w:hAnsi="宋体" w:eastAsia="宋体"/>
                <w:sz w:val="16"/>
              </w:rPr>
              <w:t>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F577">
            <w:pPr>
              <w:jc w:val="center"/>
            </w:pPr>
            <w:r>
              <w:rPr>
                <w:rFonts w:ascii="宋体" w:hAnsi="宋体" w:eastAsia="宋体"/>
                <w:sz w:val="16"/>
              </w:rPr>
              <w:t>2.85分</w:t>
            </w:r>
          </w:p>
        </w:tc>
      </w:tr>
      <w:tr w14:paraId="46F5C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67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BF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0D4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A4F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91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C16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C0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BB53">
            <w:pPr>
              <w:jc w:val="center"/>
            </w:pPr>
            <w:r>
              <w:rPr>
                <w:rFonts w:ascii="宋体" w:hAnsi="宋体" w:eastAsia="宋体"/>
                <w:sz w:val="16"/>
              </w:rPr>
              <w:t>—</w:t>
            </w:r>
          </w:p>
        </w:tc>
      </w:tr>
      <w:tr w14:paraId="60906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5DC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06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20BFB">
            <w:pPr>
              <w:jc w:val="center"/>
            </w:pPr>
            <w:r>
              <w:rPr>
                <w:rFonts w:ascii="宋体" w:hAnsi="宋体" w:eastAsia="宋体"/>
                <w:sz w:val="16"/>
              </w:rPr>
              <w:t>1,166.39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BF4EA">
            <w:pPr>
              <w:jc w:val="center"/>
            </w:pPr>
            <w:r>
              <w:rPr>
                <w:rFonts w:ascii="宋体" w:hAnsi="宋体" w:eastAsia="宋体"/>
                <w:sz w:val="16"/>
              </w:rPr>
              <w:t>851.35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7DE72">
            <w:pPr>
              <w:jc w:val="center"/>
            </w:pPr>
            <w:r>
              <w:rPr>
                <w:rFonts w:ascii="宋体" w:hAnsi="宋体" w:eastAsia="宋体"/>
                <w:sz w:val="16"/>
              </w:rPr>
              <w:t>607.97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C8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FDA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C6D6">
            <w:pPr>
              <w:jc w:val="center"/>
            </w:pPr>
            <w:r>
              <w:rPr>
                <w:rFonts w:ascii="宋体" w:hAnsi="宋体" w:eastAsia="宋体"/>
                <w:sz w:val="16"/>
              </w:rPr>
              <w:t>—</w:t>
            </w:r>
          </w:p>
        </w:tc>
      </w:tr>
      <w:tr w14:paraId="752A04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BA3C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FBA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0E53A">
            <w:pPr>
              <w:jc w:val="center"/>
            </w:pPr>
            <w:r>
              <w:rPr>
                <w:rFonts w:ascii="宋体" w:hAnsi="宋体" w:eastAsia="宋体"/>
                <w:sz w:val="16"/>
              </w:rPr>
              <w:t>实际完成情况</w:t>
            </w:r>
          </w:p>
        </w:tc>
      </w:tr>
      <w:tr w14:paraId="0F4EA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0A0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59128">
            <w:pPr>
              <w:jc w:val="both"/>
            </w:pPr>
            <w:r>
              <w:rPr>
                <w:rFonts w:ascii="宋体" w:hAnsi="宋体" w:eastAsia="宋体"/>
                <w:sz w:val="16"/>
              </w:rPr>
              <w:t>项目资金851.35万元，其中：财政资金0万元，其他资金851.35万元。保障人数117人，保障车辆24辆，支持法院机关办案数量不少于700件、支持食堂数量1个，达到单位运转有保障、后盾单位有支持、业务质量有提高的效果。 业务经费类：项目资金：851.35万元，其中：财政资金0万元，其他资金851.35万元。开展维修单位15万元、食堂25万元，信息化建设311.35万元克州法院干警教育培训中心项目500万元。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2D8142">
            <w:pPr>
              <w:jc w:val="both"/>
            </w:pPr>
            <w:r>
              <w:rPr>
                <w:rFonts w:ascii="宋体" w:hAnsi="宋体" w:eastAsia="宋体"/>
                <w:sz w:val="16"/>
              </w:rPr>
              <w:t>截至2024年12月31日，保障完成干警教育培训中心项目1个，民事受理案件470件，为了关心关爱干部，提高干部生活水平，食堂开支25万元；通过该项目达到推动双赢共赢，不断加强赣疆两地交融，大力支持克州法院事业发展效果。</w:t>
            </w:r>
          </w:p>
        </w:tc>
      </w:tr>
      <w:tr w14:paraId="4D2AC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DD3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1C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81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5E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51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07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13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24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FC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15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5A3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65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E63F0">
            <w:pPr>
              <w:jc w:val="center"/>
            </w:pPr>
            <w:r>
              <w:rPr>
                <w:rFonts w:ascii="宋体" w:hAnsi="宋体" w:eastAsia="宋体"/>
                <w:sz w:val="16"/>
              </w:rPr>
              <w:t>偏差原因分析及改进措施</w:t>
            </w:r>
          </w:p>
        </w:tc>
      </w:tr>
      <w:tr w14:paraId="2044E9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09C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E80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6BB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EE2D">
            <w:pPr>
              <w:jc w:val="center"/>
            </w:pPr>
            <w:r>
              <w:rPr>
                <w:rFonts w:ascii="宋体" w:hAnsi="宋体" w:eastAsia="宋体"/>
                <w:sz w:val="16"/>
              </w:rPr>
              <w:t>干警教育培训中心项目（个）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AED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4E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9E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59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55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D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57B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FD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08258">
            <w:pPr>
              <w:jc w:val="center"/>
            </w:pPr>
          </w:p>
        </w:tc>
      </w:tr>
      <w:tr w14:paraId="327CF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8B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85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A2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F4E2">
            <w:pPr>
              <w:jc w:val="center"/>
            </w:pPr>
            <w:r>
              <w:rPr>
                <w:rFonts w:ascii="宋体" w:hAnsi="宋体" w:eastAsia="宋体"/>
                <w:sz w:val="16"/>
              </w:rPr>
              <w:t>民事受理案件（件）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BE07">
            <w:pPr>
              <w:jc w:val="center"/>
            </w:pPr>
            <w:r>
              <w:rPr>
                <w:rFonts w:ascii="宋体" w:hAnsi="宋体" w:eastAsia="宋体"/>
                <w:sz w:val="16"/>
              </w:rPr>
              <w:t>&gt;470件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5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48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2D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BC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B3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22FC">
            <w:pPr>
              <w:jc w:val="center"/>
            </w:pPr>
            <w:r>
              <w:rPr>
                <w:rFonts w:ascii="宋体" w:hAnsi="宋体" w:eastAsia="宋体"/>
                <w:sz w:val="16"/>
              </w:rPr>
              <w:t>=470件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CA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1304">
            <w:pPr>
              <w:jc w:val="center"/>
            </w:pPr>
          </w:p>
        </w:tc>
      </w:tr>
      <w:tr w14:paraId="205CD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E1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B4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DDA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B808">
            <w:pPr>
              <w:jc w:val="center"/>
            </w:pPr>
            <w:r>
              <w:rPr>
                <w:rFonts w:ascii="宋体" w:hAnsi="宋体" w:eastAsia="宋体"/>
                <w:sz w:val="16"/>
              </w:rPr>
              <w:t>执行受理案件（件）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E84B">
            <w:pPr>
              <w:jc w:val="center"/>
            </w:pPr>
            <w:r>
              <w:rPr>
                <w:rFonts w:ascii="宋体" w:hAnsi="宋体" w:eastAsia="宋体"/>
                <w:sz w:val="16"/>
              </w:rPr>
              <w:t>&gt;95件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7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A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09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F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A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BE51">
            <w:pPr>
              <w:jc w:val="center"/>
            </w:pPr>
            <w:r>
              <w:rPr>
                <w:rFonts w:ascii="宋体" w:hAnsi="宋体" w:eastAsia="宋体"/>
                <w:sz w:val="16"/>
              </w:rPr>
              <w:t>=95件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6F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2A97">
            <w:pPr>
              <w:jc w:val="center"/>
            </w:pPr>
          </w:p>
        </w:tc>
      </w:tr>
      <w:tr w14:paraId="319EC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E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E5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32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B357">
            <w:pPr>
              <w:jc w:val="center"/>
            </w:pPr>
            <w:r>
              <w:rPr>
                <w:rFonts w:ascii="宋体" w:hAnsi="宋体" w:eastAsia="宋体"/>
                <w:sz w:val="16"/>
              </w:rPr>
              <w:t>刑事案件受理数（件）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863E">
            <w:pPr>
              <w:jc w:val="center"/>
            </w:pPr>
            <w:r>
              <w:rPr>
                <w:rFonts w:ascii="宋体" w:hAnsi="宋体" w:eastAsia="宋体"/>
                <w:sz w:val="16"/>
              </w:rPr>
              <w:t>&gt;112件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0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D7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61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3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B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6B88">
            <w:pPr>
              <w:jc w:val="center"/>
            </w:pPr>
            <w:r>
              <w:rPr>
                <w:rFonts w:ascii="宋体" w:hAnsi="宋体" w:eastAsia="宋体"/>
                <w:sz w:val="16"/>
              </w:rPr>
              <w:t>=112件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1F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62A2">
            <w:pPr>
              <w:jc w:val="center"/>
            </w:pPr>
          </w:p>
        </w:tc>
      </w:tr>
      <w:tr w14:paraId="15CEC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52B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A4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DD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D080">
            <w:pPr>
              <w:jc w:val="center"/>
            </w:pPr>
            <w:r>
              <w:rPr>
                <w:rFonts w:ascii="宋体" w:hAnsi="宋体" w:eastAsia="宋体"/>
                <w:sz w:val="16"/>
              </w:rPr>
              <w:t>信息化建设项目（个）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B6B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50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EE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F9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8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C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7D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E6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CE7B3">
            <w:pPr>
              <w:jc w:val="center"/>
            </w:pPr>
          </w:p>
        </w:tc>
      </w:tr>
      <w:tr w14:paraId="56BC0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5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FD7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CF8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9313">
            <w:pPr>
              <w:jc w:val="center"/>
            </w:pPr>
            <w:r>
              <w:rPr>
                <w:rFonts w:ascii="宋体" w:hAnsi="宋体" w:eastAsia="宋体"/>
                <w:sz w:val="16"/>
              </w:rPr>
              <w:t>干警教育培训中心项目完成率（%）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E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C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6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F9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1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E2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C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C4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171C0">
            <w:pPr>
              <w:jc w:val="center"/>
            </w:pPr>
          </w:p>
        </w:tc>
      </w:tr>
      <w:tr w14:paraId="4C045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A2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E2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0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5B1C0">
            <w:pPr>
              <w:jc w:val="center"/>
            </w:pPr>
            <w:r>
              <w:rPr>
                <w:rFonts w:ascii="宋体" w:hAnsi="宋体" w:eastAsia="宋体"/>
                <w:sz w:val="16"/>
              </w:rPr>
              <w:t>完成信息化建设项目合格率（%）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71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6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FD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E7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C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B7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24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5C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AAA9">
            <w:pPr>
              <w:jc w:val="center"/>
            </w:pPr>
          </w:p>
        </w:tc>
      </w:tr>
      <w:tr w14:paraId="3032D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BD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6E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1F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A0E2">
            <w:pPr>
              <w:jc w:val="center"/>
            </w:pPr>
            <w:r>
              <w:rPr>
                <w:rFonts w:ascii="宋体" w:hAnsi="宋体" w:eastAsia="宋体"/>
                <w:sz w:val="16"/>
              </w:rPr>
              <w:t>完成案件结案率（%）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22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D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CB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83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2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28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67F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B1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E1439">
            <w:pPr>
              <w:jc w:val="center"/>
            </w:pPr>
          </w:p>
        </w:tc>
      </w:tr>
      <w:tr w14:paraId="1091E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585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DC4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3EB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DD33">
            <w:pPr>
              <w:jc w:val="center"/>
            </w:pPr>
            <w:r>
              <w:rPr>
                <w:rFonts w:ascii="宋体" w:hAnsi="宋体" w:eastAsia="宋体"/>
                <w:sz w:val="16"/>
              </w:rPr>
              <w:t>业务费用（万元）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C921">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E3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C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A9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6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66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C17F">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D1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5BD5">
            <w:pPr>
              <w:jc w:val="center"/>
            </w:pPr>
          </w:p>
        </w:tc>
      </w:tr>
      <w:tr w14:paraId="4CE71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11A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1B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F17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25C2">
            <w:pPr>
              <w:jc w:val="center"/>
            </w:pPr>
            <w:r>
              <w:rPr>
                <w:rFonts w:ascii="宋体" w:hAnsi="宋体" w:eastAsia="宋体"/>
                <w:sz w:val="16"/>
              </w:rPr>
              <w:t>信息化建设（万元）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96DD">
            <w:pPr>
              <w:jc w:val="center"/>
            </w:pPr>
            <w:r>
              <w:rPr>
                <w:rFonts w:ascii="宋体" w:hAnsi="宋体" w:eastAsia="宋体"/>
                <w:sz w:val="16"/>
              </w:rPr>
              <w:t>&lt;=311.35万元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7E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79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D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5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1A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ACB0">
            <w:pPr>
              <w:jc w:val="center"/>
            </w:pPr>
            <w:r>
              <w:rPr>
                <w:rFonts w:ascii="宋体" w:hAnsi="宋体" w:eastAsia="宋体"/>
                <w:sz w:val="16"/>
              </w:rPr>
              <w:t>=67.97万元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4E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F8DF3">
            <w:pPr>
              <w:jc w:val="center"/>
            </w:pPr>
            <w:r>
              <w:rPr>
                <w:rFonts w:ascii="宋体" w:hAnsi="宋体" w:eastAsia="宋体"/>
                <w:sz w:val="16"/>
              </w:rPr>
              <w:t>偏差原因：信息化建设项目未进行验收，未支付信息化建设款项。改进措施：加强预算监督管理，提高资金使用效率。</w:t>
            </w:r>
          </w:p>
        </w:tc>
      </w:tr>
      <w:tr w14:paraId="70540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CA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3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4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A8B7">
            <w:pPr>
              <w:jc w:val="center"/>
            </w:pPr>
            <w:r>
              <w:rPr>
                <w:rFonts w:ascii="宋体" w:hAnsi="宋体" w:eastAsia="宋体"/>
                <w:sz w:val="16"/>
              </w:rPr>
              <w:t>干警教育培训项目（万元）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8FBA">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5B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7F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C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6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0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B082">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76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DE18">
            <w:pPr>
              <w:jc w:val="center"/>
            </w:pPr>
            <w:r>
              <w:rPr>
                <w:rFonts w:ascii="宋体" w:hAnsi="宋体" w:eastAsia="宋体"/>
                <w:sz w:val="16"/>
              </w:rPr>
              <w:t>干警教育培训项目未进行验收，未支付尾款。</w:t>
            </w:r>
          </w:p>
        </w:tc>
      </w:tr>
      <w:tr w14:paraId="65081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476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32B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83A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A6F7">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1B2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7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B0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F5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F4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9C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1A1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6C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3E1F">
            <w:pPr>
              <w:jc w:val="center"/>
            </w:pPr>
          </w:p>
        </w:tc>
      </w:tr>
      <w:tr w14:paraId="771AC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58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78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1E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AE17">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2273">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5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58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D1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10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4C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419C">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8D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2B015">
            <w:pPr>
              <w:jc w:val="center"/>
            </w:pPr>
          </w:p>
        </w:tc>
      </w:tr>
      <w:tr w14:paraId="4E6CF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28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05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C0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79B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5F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1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B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9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F0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2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AFC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2B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CD5C5">
            <w:pPr>
              <w:jc w:val="center"/>
            </w:pPr>
            <w:r>
              <w:rPr>
                <w:rFonts w:ascii="宋体" w:hAnsi="宋体" w:eastAsia="宋体"/>
                <w:sz w:val="16"/>
              </w:rPr>
              <w:t>偏差原因：设置目标指标值偏低。改进措施：加强预算精细化管理，做到科学性、准确性设置目标值。</w:t>
            </w:r>
          </w:p>
        </w:tc>
      </w:tr>
      <w:tr w14:paraId="3F749F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EA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6E9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A3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2AA0D">
            <w:pPr>
              <w:jc w:val="center"/>
            </w:pPr>
            <w:r>
              <w:rPr>
                <w:rFonts w:ascii="宋体" w:hAnsi="宋体" w:eastAsia="宋体"/>
                <w:sz w:val="16"/>
              </w:rPr>
              <w:t>87.85分</w:t>
            </w:r>
          </w:p>
        </w:tc>
      </w:tr>
    </w:tbl>
    <w:p w14:paraId="2536F051">
      <w:r>
        <w:br w:type="page"/>
      </w:r>
    </w:p>
    <w:p w14:paraId="01616F9F">
      <w:pPr>
        <w:spacing w:line="640" w:lineRule="exact"/>
        <w:ind w:firstLine="640"/>
        <w:jc w:val="both"/>
        <w:outlineLvl w:val="2"/>
      </w:pPr>
      <w:r>
        <w:rPr>
          <w:rFonts w:ascii="黑体" w:hAnsi="黑体" w:eastAsia="黑体"/>
          <w:sz w:val="32"/>
        </w:rPr>
        <w:t>十二、其他需说明的事项</w:t>
      </w:r>
    </w:p>
    <w:p w14:paraId="7BD86EDA">
      <w:pPr>
        <w:spacing w:line="580" w:lineRule="exact"/>
        <w:ind w:firstLine="640"/>
        <w:jc w:val="both"/>
      </w:pPr>
      <w:r>
        <w:rPr>
          <w:rFonts w:ascii="仿宋_GB2312" w:hAnsi="仿宋_GB2312" w:eastAsia="仿宋_GB2312"/>
          <w:b w:val="0"/>
          <w:sz w:val="32"/>
        </w:rPr>
        <w:t>本单位无其他需说明的事项。</w:t>
      </w:r>
    </w:p>
    <w:p w14:paraId="4A44A29E">
      <w:r>
        <w:br w:type="page"/>
      </w:r>
    </w:p>
    <w:p w14:paraId="536C8DC6">
      <w:pPr>
        <w:spacing w:line="240" w:lineRule="auto"/>
        <w:jc w:val="center"/>
        <w:outlineLvl w:val="1"/>
      </w:pPr>
      <w:r>
        <w:rPr>
          <w:rFonts w:ascii="黑体" w:hAnsi="黑体" w:eastAsia="黑体"/>
          <w:sz w:val="32"/>
        </w:rPr>
        <w:t>第三部分 专业名词解释</w:t>
      </w:r>
    </w:p>
    <w:p w14:paraId="4F160E9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B9F028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505302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41B9E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E8A18D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2DAE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E205B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ECD4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A2C10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7022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0D37F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82195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568289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8EC33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DCCAD5">
      <w:r>
        <w:br w:type="page"/>
      </w:r>
    </w:p>
    <w:p w14:paraId="6BD3395F">
      <w:pPr>
        <w:spacing w:line="240" w:lineRule="auto"/>
        <w:jc w:val="center"/>
        <w:outlineLvl w:val="1"/>
      </w:pPr>
      <w:r>
        <w:rPr>
          <w:rFonts w:ascii="黑体" w:hAnsi="黑体" w:eastAsia="黑体"/>
          <w:sz w:val="32"/>
        </w:rPr>
        <w:t>第四部分 部门决算报表（见附表）</w:t>
      </w:r>
    </w:p>
    <w:p w14:paraId="31266A14">
      <w:pPr>
        <w:spacing w:line="240" w:lineRule="auto"/>
        <w:ind w:firstLine="640"/>
        <w:jc w:val="both"/>
      </w:pPr>
      <w:r>
        <w:rPr>
          <w:rFonts w:ascii="仿宋_GB2312" w:hAnsi="仿宋_GB2312" w:eastAsia="仿宋_GB2312"/>
          <w:b w:val="0"/>
          <w:sz w:val="32"/>
        </w:rPr>
        <w:t>一、《收入支出决算总表》</w:t>
      </w:r>
    </w:p>
    <w:p w14:paraId="2F7E7C22">
      <w:pPr>
        <w:spacing w:line="240" w:lineRule="auto"/>
        <w:ind w:firstLine="640"/>
        <w:jc w:val="both"/>
      </w:pPr>
      <w:r>
        <w:rPr>
          <w:rFonts w:ascii="仿宋_GB2312" w:hAnsi="仿宋_GB2312" w:eastAsia="仿宋_GB2312"/>
          <w:b w:val="0"/>
          <w:sz w:val="32"/>
        </w:rPr>
        <w:t>二、《收入决算表》</w:t>
      </w:r>
    </w:p>
    <w:p w14:paraId="1EBF4E29">
      <w:pPr>
        <w:spacing w:line="240" w:lineRule="auto"/>
        <w:ind w:firstLine="640"/>
        <w:jc w:val="both"/>
      </w:pPr>
      <w:r>
        <w:rPr>
          <w:rFonts w:ascii="仿宋_GB2312" w:hAnsi="仿宋_GB2312" w:eastAsia="仿宋_GB2312"/>
          <w:b w:val="0"/>
          <w:sz w:val="32"/>
        </w:rPr>
        <w:t>三、《支出决算表》</w:t>
      </w:r>
    </w:p>
    <w:p w14:paraId="3B8DF68A">
      <w:pPr>
        <w:spacing w:line="240" w:lineRule="auto"/>
        <w:ind w:firstLine="640"/>
        <w:jc w:val="both"/>
      </w:pPr>
      <w:r>
        <w:rPr>
          <w:rFonts w:ascii="仿宋_GB2312" w:hAnsi="仿宋_GB2312" w:eastAsia="仿宋_GB2312"/>
          <w:b w:val="0"/>
          <w:sz w:val="32"/>
        </w:rPr>
        <w:t>四、《财政拨款收入支出决算总表》</w:t>
      </w:r>
    </w:p>
    <w:p w14:paraId="3BB41D16">
      <w:pPr>
        <w:spacing w:line="240" w:lineRule="auto"/>
        <w:ind w:firstLine="640"/>
        <w:jc w:val="both"/>
      </w:pPr>
      <w:r>
        <w:rPr>
          <w:rFonts w:ascii="仿宋_GB2312" w:hAnsi="仿宋_GB2312" w:eastAsia="仿宋_GB2312"/>
          <w:b w:val="0"/>
          <w:sz w:val="32"/>
        </w:rPr>
        <w:t>五、《一般公共预算财政拨款支出决算表》</w:t>
      </w:r>
    </w:p>
    <w:p w14:paraId="2F6A00E3">
      <w:pPr>
        <w:spacing w:line="240" w:lineRule="auto"/>
        <w:ind w:firstLine="640"/>
        <w:jc w:val="both"/>
      </w:pPr>
      <w:r>
        <w:rPr>
          <w:rFonts w:ascii="仿宋_GB2312" w:hAnsi="仿宋_GB2312" w:eastAsia="仿宋_GB2312"/>
          <w:b w:val="0"/>
          <w:sz w:val="32"/>
        </w:rPr>
        <w:t>六、《一般公共预算财政拨款基本支出决算表》</w:t>
      </w:r>
    </w:p>
    <w:p w14:paraId="1017FD14">
      <w:pPr>
        <w:spacing w:line="240" w:lineRule="auto"/>
        <w:ind w:firstLine="640"/>
        <w:jc w:val="both"/>
      </w:pPr>
      <w:r>
        <w:rPr>
          <w:rFonts w:ascii="仿宋_GB2312" w:hAnsi="仿宋_GB2312" w:eastAsia="仿宋_GB2312"/>
          <w:b w:val="0"/>
          <w:sz w:val="32"/>
        </w:rPr>
        <w:t>七、《政府性基金预算财政拨款收入支出决算表》</w:t>
      </w:r>
    </w:p>
    <w:p w14:paraId="72D311DC">
      <w:pPr>
        <w:spacing w:line="240" w:lineRule="auto"/>
        <w:ind w:firstLine="640"/>
        <w:jc w:val="both"/>
      </w:pPr>
      <w:r>
        <w:rPr>
          <w:rFonts w:ascii="仿宋_GB2312" w:hAnsi="仿宋_GB2312" w:eastAsia="仿宋_GB2312"/>
          <w:b w:val="0"/>
          <w:sz w:val="32"/>
        </w:rPr>
        <w:t>八、《国有资本经营预算财政拨款收入支出决算表》</w:t>
      </w:r>
    </w:p>
    <w:p w14:paraId="758408F3">
      <w:pPr>
        <w:spacing w:line="240" w:lineRule="auto"/>
        <w:ind w:firstLine="640"/>
        <w:jc w:val="both"/>
      </w:pPr>
      <w:r>
        <w:rPr>
          <w:rFonts w:ascii="仿宋_GB2312" w:hAnsi="仿宋_GB2312" w:eastAsia="仿宋_GB2312"/>
          <w:b w:val="0"/>
          <w:sz w:val="32"/>
        </w:rPr>
        <w:t>九、《财政拨款“三公”经费支出决算表》</w:t>
      </w:r>
    </w:p>
    <w:p w14:paraId="1A52DBF5">
      <w:pPr>
        <w:spacing w:line="240" w:lineRule="auto"/>
        <w:ind w:firstLine="640"/>
        <w:jc w:val="both"/>
      </w:pPr>
    </w:p>
    <w:p w14:paraId="23D45B81">
      <w:pPr>
        <w:spacing w:line="240" w:lineRule="auto"/>
        <w:ind w:firstLine="640"/>
        <w:jc w:val="both"/>
      </w:pPr>
    </w:p>
    <w:p w14:paraId="7C5E7C5A">
      <w:pPr>
        <w:spacing w:line="240" w:lineRule="auto"/>
        <w:ind w:firstLine="640"/>
        <w:jc w:val="both"/>
      </w:pPr>
    </w:p>
    <w:p w14:paraId="61AEB1E9">
      <w:pPr>
        <w:spacing w:line="240" w:lineRule="auto"/>
        <w:ind w:firstLine="640"/>
        <w:jc w:val="both"/>
      </w:pPr>
    </w:p>
    <w:p w14:paraId="05059EF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D4ACAE-BBEB-4897-9B05-17505FCC98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3B31011-13F7-4E4C-9F33-BB131383FE99}"/>
  </w:font>
  <w:font w:name="仿宋_GB2312">
    <w:altName w:val="仿宋"/>
    <w:panose1 w:val="02010609030101010101"/>
    <w:charset w:val="86"/>
    <w:family w:val="modern"/>
    <w:pitch w:val="default"/>
    <w:sig w:usb0="00000000" w:usb1="00000000" w:usb2="00000000" w:usb3="00000000" w:csb0="00040000" w:csb1="00000000"/>
    <w:embedRegular r:id="rId3" w:fontKey="{75AD4A29-21B9-48A3-AB5C-E2916D67477A}"/>
  </w:font>
  <w:font w:name="楷体_GB2312">
    <w:altName w:val="楷体"/>
    <w:panose1 w:val="00000000000000000000"/>
    <w:charset w:val="00"/>
    <w:family w:val="auto"/>
    <w:pitch w:val="default"/>
    <w:sig w:usb0="00000000" w:usb1="00000000" w:usb2="00000000" w:usb3="00000000" w:csb0="00000000" w:csb1="00000000"/>
    <w:embedRegular r:id="rId4" w:fontKey="{32C34394-EB2C-4910-B5EB-0FAE6D0E8CC2}"/>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CB77DB"/>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6710EC"/>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9A2170"/>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4678</Words>
  <Characters>5412</Characters>
  <Lines>0</Lines>
  <Paragraphs>0</Paragraphs>
  <TotalTime>7</TotalTime>
  <ScaleCrop>false</ScaleCrop>
  <LinksUpToDate>false</LinksUpToDate>
  <CharactersWithSpaces>5420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