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克孜勒苏柯尔克孜自治州农业农村机械化发展中心2024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7F2D0E">
      <w:r>
        <w:br w:type="page"/>
      </w:r>
    </w:p>
    <w:p w14:paraId="06A1C1B8">
      <w:pPr>
        <w:spacing w:line="640" w:lineRule="exact"/>
        <w:jc w:val="center"/>
        <w:outlineLvl w:val="1"/>
      </w:pPr>
      <w:r>
        <w:rPr>
          <w:rFonts w:ascii="黑体" w:hAnsi="黑体" w:eastAsia="黑体"/>
          <w:sz w:val="32"/>
        </w:rPr>
        <w:t>第一部分 单位概况</w:t>
      </w:r>
    </w:p>
    <w:p w14:paraId="3E2B7F13">
      <w:pPr>
        <w:spacing w:line="640" w:lineRule="exact"/>
        <w:ind w:firstLine="640"/>
        <w:jc w:val="both"/>
        <w:outlineLvl w:val="2"/>
      </w:pPr>
      <w:r>
        <w:rPr>
          <w:rFonts w:ascii="黑体" w:hAnsi="黑体" w:eastAsia="黑体"/>
          <w:sz w:val="32"/>
        </w:rPr>
        <w:t>一、主要职能</w:t>
      </w:r>
    </w:p>
    <w:p w14:paraId="77538EC8">
      <w:pPr>
        <w:spacing w:line="580" w:lineRule="exact"/>
        <w:ind w:firstLine="640"/>
        <w:jc w:val="both"/>
      </w:pPr>
      <w:r>
        <w:rPr>
          <w:rFonts w:ascii="仿宋_GB2312" w:hAnsi="仿宋_GB2312" w:eastAsia="仿宋_GB2312"/>
          <w:sz w:val="32"/>
        </w:rPr>
        <w:t>克州农业农村机械化发展中心认真贯彻执行国家、自治区有关农业机械的法律、法规和方针、政策；研究提出全州农业机械化发展和服务规划经批准后组织实施；组织或协同开展</w:t>
      </w:r>
      <w:r>
        <w:rPr>
          <w:rFonts w:hint="eastAsia" w:ascii="仿宋_GB2312" w:hAnsi="仿宋_GB2312" w:eastAsia="仿宋_GB2312"/>
          <w:sz w:val="32"/>
          <w:lang w:eastAsia="zh-CN"/>
        </w:rPr>
        <w:t>农业机械</w:t>
      </w:r>
      <w:r>
        <w:rPr>
          <w:rFonts w:ascii="仿宋_GB2312" w:hAnsi="仿宋_GB2312" w:eastAsia="仿宋_GB2312"/>
          <w:sz w:val="32"/>
        </w:rPr>
        <w:t>科学研究，技术推广和教育培训；指导农业机械化社会化服务网络建设，组织开展农业机械社会化服务；指导全州农机行业</w:t>
      </w:r>
      <w:r>
        <w:rPr>
          <w:rFonts w:hint="eastAsia" w:ascii="仿宋_GB2312" w:hAnsi="仿宋_GB2312" w:eastAsia="仿宋_GB2312"/>
          <w:sz w:val="32"/>
          <w:lang w:eastAsia="zh-CN"/>
        </w:rPr>
        <w:t>农业机械</w:t>
      </w:r>
      <w:r>
        <w:rPr>
          <w:rFonts w:ascii="仿宋_GB2312" w:hAnsi="仿宋_GB2312" w:eastAsia="仿宋_GB2312"/>
          <w:sz w:val="32"/>
        </w:rPr>
        <w:t>的研制开发，销售、维修等工作。</w:t>
      </w:r>
    </w:p>
    <w:p w14:paraId="0E70DC95">
      <w:pPr>
        <w:spacing w:line="640" w:lineRule="exact"/>
        <w:ind w:firstLine="640"/>
        <w:jc w:val="both"/>
        <w:outlineLvl w:val="2"/>
      </w:pPr>
      <w:r>
        <w:rPr>
          <w:rFonts w:ascii="黑体" w:hAnsi="黑体" w:eastAsia="黑体"/>
          <w:sz w:val="32"/>
        </w:rPr>
        <w:t>二、机构设置及人员情况</w:t>
      </w:r>
    </w:p>
    <w:p w14:paraId="6741EF49">
      <w:pPr>
        <w:spacing w:line="580" w:lineRule="exact"/>
        <w:ind w:firstLine="640"/>
        <w:jc w:val="both"/>
      </w:pPr>
      <w:r>
        <w:rPr>
          <w:rFonts w:ascii="仿宋_GB2312" w:hAnsi="仿宋_GB2312" w:eastAsia="仿宋_GB2312"/>
          <w:sz w:val="32"/>
        </w:rPr>
        <w:t>克孜勒苏柯尔克孜自治州农业农村机械化发展中心2024年度，实有人数46人，其中：在职人员22人，减少1人；离休人员0人，增加0人；退休人员24人,增加2人。</w:t>
      </w:r>
    </w:p>
    <w:p w14:paraId="37D35D85">
      <w:pPr>
        <w:spacing w:line="580" w:lineRule="exact"/>
        <w:ind w:firstLine="640"/>
        <w:jc w:val="both"/>
      </w:pPr>
      <w:r>
        <w:rPr>
          <w:rFonts w:ascii="仿宋_GB2312" w:hAnsi="仿宋_GB2312" w:eastAsia="仿宋_GB2312"/>
          <w:sz w:val="32"/>
        </w:rPr>
        <w:t>克孜勒苏柯尔克孜自治州农业农村机械化发展中心无下属预算单位，下设5个科室，分别是：办公室、组织人事科、社会化服务科、产业发展科、科教科。</w:t>
      </w:r>
    </w:p>
    <w:p w14:paraId="40DE3F95">
      <w:r>
        <w:br w:type="page"/>
      </w:r>
    </w:p>
    <w:p w14:paraId="1B0C5ABA">
      <w:pPr>
        <w:spacing w:line="240" w:lineRule="auto"/>
        <w:jc w:val="center"/>
        <w:outlineLvl w:val="1"/>
      </w:pPr>
      <w:r>
        <w:rPr>
          <w:rFonts w:ascii="黑体" w:hAnsi="黑体" w:eastAsia="黑体"/>
          <w:sz w:val="32"/>
        </w:rPr>
        <w:t>第二部分 部门决算情况说明</w:t>
      </w:r>
    </w:p>
    <w:p w14:paraId="3EC5B8E2">
      <w:pPr>
        <w:spacing w:line="640" w:lineRule="exact"/>
        <w:ind w:firstLine="640"/>
        <w:jc w:val="both"/>
        <w:outlineLvl w:val="2"/>
      </w:pPr>
      <w:r>
        <w:rPr>
          <w:rFonts w:ascii="黑体" w:hAnsi="黑体" w:eastAsia="黑体"/>
          <w:sz w:val="32"/>
        </w:rPr>
        <w:t>一、收入支出决算总体情况说明</w:t>
      </w:r>
    </w:p>
    <w:p w14:paraId="3E1AEB7C">
      <w:pPr>
        <w:spacing w:line="580" w:lineRule="exact"/>
        <w:ind w:firstLine="640"/>
        <w:jc w:val="both"/>
      </w:pPr>
      <w:r>
        <w:rPr>
          <w:rFonts w:ascii="仿宋_GB2312" w:hAnsi="仿宋_GB2312" w:eastAsia="仿宋_GB2312"/>
          <w:b/>
          <w:sz w:val="32"/>
        </w:rPr>
        <w:t>2024年度收入总计572.06万元，</w:t>
      </w:r>
      <w:r>
        <w:rPr>
          <w:rFonts w:ascii="仿宋_GB2312" w:hAnsi="仿宋_GB2312" w:eastAsia="仿宋_GB2312"/>
          <w:b w:val="0"/>
          <w:sz w:val="32"/>
        </w:rPr>
        <w:t>其中：本年收入合计572.06万元，使用非财政拨款结余（含专用结余）0.00万元，年初结转和结余0.00万元。</w:t>
      </w:r>
    </w:p>
    <w:p w14:paraId="018142F9">
      <w:pPr>
        <w:spacing w:line="580" w:lineRule="exact"/>
        <w:ind w:firstLine="640"/>
        <w:jc w:val="both"/>
      </w:pPr>
      <w:r>
        <w:rPr>
          <w:rFonts w:ascii="仿宋_GB2312" w:hAnsi="仿宋_GB2312" w:eastAsia="仿宋_GB2312"/>
          <w:b/>
          <w:sz w:val="32"/>
        </w:rPr>
        <w:t>2024年度支出总计572.06万元，</w:t>
      </w:r>
      <w:r>
        <w:rPr>
          <w:rFonts w:ascii="仿宋_GB2312" w:hAnsi="仿宋_GB2312" w:eastAsia="仿宋_GB2312"/>
          <w:b w:val="0"/>
          <w:sz w:val="32"/>
        </w:rPr>
        <w:t>其中：本年支出合计572.06万元，结余分配0.00万元，年末结转和结余0.00万元。</w:t>
      </w:r>
    </w:p>
    <w:p w14:paraId="30CA1E94">
      <w:pPr>
        <w:spacing w:line="580" w:lineRule="exact"/>
        <w:ind w:firstLine="640"/>
        <w:jc w:val="both"/>
      </w:pPr>
      <w:r>
        <w:rPr>
          <w:rFonts w:ascii="仿宋_GB2312" w:hAnsi="仿宋_GB2312" w:eastAsia="仿宋_GB2312"/>
          <w:b w:val="0"/>
          <w:sz w:val="32"/>
        </w:rPr>
        <w:t>收入支出总体与上年相比，减少17.43万元，下降2.96%，主要原因是：本年在职转退休2人，相关基本支出减少。</w:t>
      </w:r>
    </w:p>
    <w:p w14:paraId="2C5E1718">
      <w:pPr>
        <w:spacing w:line="640" w:lineRule="exact"/>
        <w:ind w:firstLine="640"/>
        <w:jc w:val="both"/>
        <w:outlineLvl w:val="2"/>
      </w:pPr>
      <w:r>
        <w:rPr>
          <w:rFonts w:ascii="黑体" w:hAnsi="黑体" w:eastAsia="黑体"/>
          <w:sz w:val="32"/>
        </w:rPr>
        <w:t>二、收入决算情况说明</w:t>
      </w:r>
    </w:p>
    <w:p w14:paraId="0316DC12">
      <w:pPr>
        <w:spacing w:line="580" w:lineRule="exact"/>
        <w:ind w:firstLine="640"/>
        <w:jc w:val="both"/>
      </w:pPr>
      <w:r>
        <w:rPr>
          <w:rFonts w:ascii="仿宋_GB2312" w:hAnsi="仿宋_GB2312" w:eastAsia="仿宋_GB2312"/>
          <w:b/>
          <w:sz w:val="32"/>
        </w:rPr>
        <w:t>本年收入572.06万元，</w:t>
      </w:r>
      <w:r>
        <w:rPr>
          <w:rFonts w:ascii="仿宋_GB2312" w:hAnsi="仿宋_GB2312" w:eastAsia="仿宋_GB2312"/>
          <w:b w:val="0"/>
          <w:sz w:val="32"/>
        </w:rPr>
        <w:t>其中：财政拨款收入572.04万元，占100.00%；上级补助收入0.00万元，占0.00%；事业收入0.00万元，占0.00%；经营收入0.00万元，占0.00%；附属单位上缴收入0.00万元，占0.00%；其他收入0.02万元，占0.003%。</w:t>
      </w:r>
    </w:p>
    <w:p w14:paraId="33702711">
      <w:pPr>
        <w:spacing w:line="640" w:lineRule="exact"/>
        <w:ind w:firstLine="640"/>
        <w:jc w:val="both"/>
        <w:outlineLvl w:val="2"/>
      </w:pPr>
      <w:r>
        <w:rPr>
          <w:rFonts w:ascii="黑体" w:hAnsi="黑体" w:eastAsia="黑体"/>
          <w:sz w:val="32"/>
        </w:rPr>
        <w:t>三、支出决算情况说明</w:t>
      </w:r>
    </w:p>
    <w:p w14:paraId="21FB43CE">
      <w:pPr>
        <w:spacing w:line="580" w:lineRule="exact"/>
        <w:ind w:firstLine="640"/>
        <w:jc w:val="both"/>
      </w:pPr>
      <w:r>
        <w:rPr>
          <w:rFonts w:ascii="仿宋_GB2312" w:hAnsi="仿宋_GB2312" w:eastAsia="仿宋_GB2312"/>
          <w:b/>
          <w:sz w:val="32"/>
        </w:rPr>
        <w:t>本年支出572.06万元，</w:t>
      </w:r>
      <w:r>
        <w:rPr>
          <w:rFonts w:ascii="仿宋_GB2312" w:hAnsi="仿宋_GB2312" w:eastAsia="仿宋_GB2312"/>
          <w:b w:val="0"/>
          <w:sz w:val="32"/>
        </w:rPr>
        <w:t>其中：基本支出535.06万元，占93.53%；项目支出37.00万元，占6.47%；上缴上级支出0.00万元，占0.00%；经营支出0.00万元，占0.00%；对附属单位补助支出0.00万元，占0.00%。</w:t>
      </w:r>
    </w:p>
    <w:p w14:paraId="5FC4FB63">
      <w:pPr>
        <w:spacing w:line="640" w:lineRule="exact"/>
        <w:ind w:firstLine="640"/>
        <w:jc w:val="both"/>
        <w:outlineLvl w:val="2"/>
      </w:pPr>
      <w:r>
        <w:rPr>
          <w:rFonts w:ascii="黑体" w:hAnsi="黑体" w:eastAsia="黑体"/>
          <w:sz w:val="32"/>
        </w:rPr>
        <w:t>四、财政拨款收入支出决算总体情况说明</w:t>
      </w:r>
    </w:p>
    <w:p w14:paraId="7B056FE1">
      <w:pPr>
        <w:spacing w:line="580" w:lineRule="exact"/>
        <w:ind w:firstLine="640"/>
        <w:jc w:val="both"/>
      </w:pPr>
      <w:r>
        <w:rPr>
          <w:rFonts w:ascii="仿宋_GB2312" w:hAnsi="仿宋_GB2312" w:eastAsia="仿宋_GB2312"/>
          <w:b/>
          <w:sz w:val="32"/>
        </w:rPr>
        <w:t>2024年度财政拨款收入总计572.04万元，</w:t>
      </w:r>
      <w:r>
        <w:rPr>
          <w:rFonts w:ascii="仿宋_GB2312" w:hAnsi="仿宋_GB2312" w:eastAsia="仿宋_GB2312"/>
          <w:b w:val="0"/>
          <w:sz w:val="32"/>
        </w:rPr>
        <w:t>其中：年初财政拨款结转和结余0.00万元，本年财政拨款收入572.04万元。</w:t>
      </w:r>
      <w:r>
        <w:rPr>
          <w:rFonts w:ascii="仿宋_GB2312" w:hAnsi="仿宋_GB2312" w:eastAsia="仿宋_GB2312"/>
          <w:b/>
          <w:sz w:val="32"/>
        </w:rPr>
        <w:t>财政拨款支出总计572.04万元，</w:t>
      </w:r>
      <w:r>
        <w:rPr>
          <w:rFonts w:ascii="仿宋_GB2312" w:hAnsi="仿宋_GB2312" w:eastAsia="仿宋_GB2312"/>
          <w:b w:val="0"/>
          <w:sz w:val="32"/>
        </w:rPr>
        <w:t>其中：年末财政拨款结转和结余0.00万元，本年财政拨款支出572.04万元。</w:t>
      </w:r>
    </w:p>
    <w:p w14:paraId="048A7FE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减少17.43万元，下降2.96%，主要原因是：本年在职转退休2人，相关基本支出减少。</w:t>
      </w:r>
      <w:r>
        <w:rPr>
          <w:rFonts w:ascii="仿宋_GB2312" w:hAnsi="仿宋_GB2312" w:eastAsia="仿宋_GB2312"/>
          <w:b/>
          <w:sz w:val="32"/>
        </w:rPr>
        <w:t>与年初预算相比，</w:t>
      </w:r>
      <w:r>
        <w:rPr>
          <w:rFonts w:ascii="仿宋_GB2312" w:hAnsi="仿宋_GB2312" w:eastAsia="仿宋_GB2312"/>
          <w:b w:val="0"/>
          <w:sz w:val="32"/>
        </w:rPr>
        <w:t>年初预算数530.82万元，决算数572.04万元，预决算差异率7.77%，主要原因是：年中追加人员工资、社保、公积金基数调增部分资金，导致预决算存在差异。</w:t>
      </w:r>
    </w:p>
    <w:p w14:paraId="6B4A273E">
      <w:pPr>
        <w:spacing w:line="640" w:lineRule="exact"/>
        <w:ind w:firstLine="640"/>
        <w:jc w:val="both"/>
        <w:outlineLvl w:val="2"/>
      </w:pPr>
      <w:r>
        <w:rPr>
          <w:rFonts w:ascii="黑体" w:hAnsi="黑体" w:eastAsia="黑体"/>
          <w:sz w:val="32"/>
        </w:rPr>
        <w:t>五、一般公共预算财政拨款支出决算情况说明</w:t>
      </w:r>
    </w:p>
    <w:p w14:paraId="0405C6CD">
      <w:pPr>
        <w:spacing w:line="640" w:lineRule="exact"/>
        <w:ind w:firstLine="640"/>
        <w:jc w:val="both"/>
        <w:outlineLvl w:val="3"/>
      </w:pPr>
      <w:r>
        <w:rPr>
          <w:rFonts w:ascii="楷体_GB2312" w:hAnsi="楷体_GB2312" w:eastAsia="楷体_GB2312"/>
          <w:b/>
          <w:sz w:val="32"/>
        </w:rPr>
        <w:t>（一）一般公共预算财政拨款支出决算总体情况</w:t>
      </w:r>
    </w:p>
    <w:p w14:paraId="7EB9283B">
      <w:pPr>
        <w:spacing w:line="580" w:lineRule="exact"/>
        <w:ind w:firstLine="640"/>
        <w:jc w:val="both"/>
      </w:pPr>
      <w:r>
        <w:rPr>
          <w:rFonts w:ascii="仿宋_GB2312" w:hAnsi="仿宋_GB2312" w:eastAsia="仿宋_GB2312"/>
          <w:b/>
          <w:sz w:val="32"/>
        </w:rPr>
        <w:t>2024年度一般公共预算财政拨款支出572.04万元，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减少17.43万元，下降2.96%，主要原因是：本年在职转退休2人，相关基本支出减少。</w:t>
      </w:r>
      <w:r>
        <w:rPr>
          <w:rFonts w:ascii="仿宋_GB2312" w:hAnsi="仿宋_GB2312" w:eastAsia="仿宋_GB2312"/>
          <w:b/>
          <w:sz w:val="32"/>
        </w:rPr>
        <w:t>与年初预算相比,</w:t>
      </w:r>
      <w:r>
        <w:rPr>
          <w:rFonts w:ascii="仿宋_GB2312" w:hAnsi="仿宋_GB2312" w:eastAsia="仿宋_GB2312"/>
          <w:b w:val="0"/>
          <w:sz w:val="32"/>
        </w:rPr>
        <w:t>年初预算数530.82万元，决算数572.04万元，预决算差异率7.77%，主要原因是：年中追加人员工资、社保、公积金基数调增部分资金，导致预决算存在差异。</w:t>
      </w:r>
    </w:p>
    <w:p w14:paraId="5E0F1585">
      <w:pPr>
        <w:spacing w:line="640" w:lineRule="exact"/>
        <w:ind w:firstLine="640"/>
        <w:jc w:val="both"/>
        <w:outlineLvl w:val="3"/>
      </w:pPr>
      <w:r>
        <w:rPr>
          <w:rFonts w:ascii="楷体_GB2312" w:hAnsi="楷体_GB2312" w:eastAsia="楷体_GB2312"/>
          <w:b/>
          <w:sz w:val="32"/>
        </w:rPr>
        <w:t>（二）一般公共预算财政拨款支出决算结构情况</w:t>
      </w:r>
    </w:p>
    <w:p w14:paraId="368A7F06">
      <w:pPr>
        <w:spacing w:line="580" w:lineRule="exact"/>
        <w:ind w:firstLine="640"/>
        <w:jc w:val="both"/>
      </w:pPr>
      <w:r>
        <w:rPr>
          <w:rFonts w:ascii="仿宋_GB2312" w:hAnsi="仿宋_GB2312" w:eastAsia="仿宋_GB2312"/>
          <w:b w:val="0"/>
          <w:sz w:val="32"/>
        </w:rPr>
        <w:t>1.社会保障和就业支出(类)103.34万元,占18.07%。</w:t>
      </w:r>
    </w:p>
    <w:p w14:paraId="7EB27F9E">
      <w:pPr>
        <w:spacing w:line="580" w:lineRule="exact"/>
        <w:ind w:firstLine="640"/>
        <w:jc w:val="both"/>
      </w:pPr>
      <w:r>
        <w:rPr>
          <w:rFonts w:ascii="仿宋_GB2312" w:hAnsi="仿宋_GB2312" w:eastAsia="仿宋_GB2312"/>
          <w:b w:val="0"/>
          <w:sz w:val="32"/>
        </w:rPr>
        <w:t>2.农林水支出(类)468.70万元,占81.93%。</w:t>
      </w:r>
    </w:p>
    <w:p w14:paraId="748E2BC1">
      <w:pPr>
        <w:spacing w:line="640" w:lineRule="exact"/>
        <w:ind w:firstLine="640"/>
        <w:jc w:val="both"/>
        <w:outlineLvl w:val="3"/>
      </w:pPr>
      <w:r>
        <w:rPr>
          <w:rFonts w:ascii="楷体_GB2312" w:hAnsi="楷体_GB2312" w:eastAsia="楷体_GB2312"/>
          <w:b/>
          <w:sz w:val="32"/>
        </w:rPr>
        <w:t>（三）一般公共预算财政拨款支出决算具体情况</w:t>
      </w:r>
    </w:p>
    <w:p w14:paraId="4740A4B2">
      <w:pPr>
        <w:spacing w:line="580" w:lineRule="exact"/>
        <w:ind w:firstLine="640"/>
        <w:jc w:val="both"/>
      </w:pPr>
      <w:r>
        <w:rPr>
          <w:rFonts w:ascii="仿宋_GB2312" w:hAnsi="仿宋_GB2312" w:eastAsia="仿宋_GB2312"/>
          <w:b w:val="0"/>
          <w:sz w:val="32"/>
        </w:rPr>
        <w:t>1.教育支出(类)普通教育(款)学前教育(项):支出决算数为0.00万元，比上年决算减少0.78万元，下降100.00%,主要原因是：2024年</w:t>
      </w:r>
      <w:r>
        <w:rPr>
          <w:rFonts w:hint="eastAsia" w:ascii="仿宋_GB2312" w:hAnsi="仿宋_GB2312" w:eastAsia="仿宋_GB2312"/>
          <w:b w:val="0"/>
          <w:sz w:val="32"/>
          <w:lang w:val="en-US" w:eastAsia="zh-CN"/>
        </w:rPr>
        <w:t>减少</w:t>
      </w:r>
      <w:r>
        <w:rPr>
          <w:rFonts w:ascii="仿宋_GB2312" w:hAnsi="仿宋_GB2312" w:eastAsia="仿宋_GB2312"/>
          <w:b w:val="0"/>
          <w:sz w:val="32"/>
        </w:rPr>
        <w:t>支教生活补助费用。</w:t>
      </w:r>
    </w:p>
    <w:p w14:paraId="007724E1">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33.80万元，比上年决算减少4.07万元，下降10.75%,主要原因是：退休人员医疗保险制度改革，退休人员不再缴纳医疗，相应支出减少。</w:t>
      </w:r>
    </w:p>
    <w:p w14:paraId="75954577">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5.64万元，比上年决算减少0.24万元，下降4.08%,主要原因是：退休人员医疗保险制度改革，退休人员不再缴纳医疗，相应支出减少。</w:t>
      </w:r>
    </w:p>
    <w:p w14:paraId="1122630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44.13万元，比上年决算增加3.38万元，增长8.29%,主要原因是：在职人员工资调增，养老缴费基数上涨，相应支出增加。</w:t>
      </w:r>
    </w:p>
    <w:p w14:paraId="413D876E">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19.78万元，比上年决算增加8.49万元，增长75.20%,主要原因是：本年新增退休人员较上年增加，职业年金缴费支出增加。</w:t>
      </w:r>
    </w:p>
    <w:p w14:paraId="29FFD1C9">
      <w:pPr>
        <w:spacing w:line="580" w:lineRule="exact"/>
        <w:ind w:firstLine="640"/>
        <w:jc w:val="both"/>
      </w:pPr>
      <w:r>
        <w:rPr>
          <w:rFonts w:ascii="仿宋_GB2312" w:hAnsi="仿宋_GB2312" w:eastAsia="仿宋_GB2312"/>
          <w:b w:val="0"/>
          <w:sz w:val="32"/>
        </w:rPr>
        <w:t>6.农林水支出(类)农业农村(款)行政运行(项):支出决算数为315.97万元，比上年决算减少17.55万元，下降5.26%,主要原因是：本年行政在职人员转退休2人，相应人员经费较上年减少。</w:t>
      </w:r>
    </w:p>
    <w:p w14:paraId="3F8CAF5A">
      <w:pPr>
        <w:spacing w:line="580" w:lineRule="exact"/>
        <w:ind w:firstLine="640"/>
        <w:jc w:val="both"/>
      </w:pPr>
      <w:r>
        <w:rPr>
          <w:rFonts w:ascii="仿宋_GB2312" w:hAnsi="仿宋_GB2312" w:eastAsia="仿宋_GB2312"/>
          <w:b w:val="0"/>
          <w:sz w:val="32"/>
        </w:rPr>
        <w:t>7.农林水支出(类)农业农村(款)事业运行(项):支出决算数为115.73万元，比上年决算增加4.45万元，增长4.00%,主要原因是：本年在职人员工资调增，导致相关人员经费较上年有所增加。</w:t>
      </w:r>
    </w:p>
    <w:p w14:paraId="647D5C03">
      <w:pPr>
        <w:spacing w:line="580" w:lineRule="exact"/>
        <w:ind w:firstLine="640"/>
        <w:jc w:val="both"/>
      </w:pPr>
      <w:r>
        <w:rPr>
          <w:rFonts w:ascii="仿宋_GB2312" w:hAnsi="仿宋_GB2312" w:eastAsia="仿宋_GB2312"/>
          <w:b w:val="0"/>
          <w:sz w:val="32"/>
        </w:rPr>
        <w:t>8.农林水支出(类)农业农村(款)农业生产发展(项):支出决算数为20.00万元，比上年决算增加20.00万元，增长100.00%,主要原因是：本年增加自治区财政扶持农机化专项资金。</w:t>
      </w:r>
    </w:p>
    <w:p w14:paraId="510CDDF7">
      <w:pPr>
        <w:spacing w:line="580" w:lineRule="exact"/>
        <w:ind w:firstLine="640"/>
        <w:jc w:val="both"/>
      </w:pPr>
      <w:r>
        <w:rPr>
          <w:rFonts w:ascii="仿宋_GB2312" w:hAnsi="仿宋_GB2312" w:eastAsia="仿宋_GB2312"/>
          <w:b w:val="0"/>
          <w:sz w:val="32"/>
        </w:rPr>
        <w:t>9.农林水支出(类)农业农村(款)其他农业农村支出(项):支出决算数为17.00万元，比上年决算减少31.10万元，下降64.66%,主要原因是：本年减少农机大型机械租赁费。</w:t>
      </w:r>
    </w:p>
    <w:p w14:paraId="1FFAC3E4">
      <w:pPr>
        <w:spacing w:line="640" w:lineRule="exact"/>
        <w:ind w:firstLine="640"/>
        <w:jc w:val="both"/>
        <w:outlineLvl w:val="2"/>
      </w:pPr>
      <w:r>
        <w:rPr>
          <w:rFonts w:ascii="黑体" w:hAnsi="黑体" w:eastAsia="黑体"/>
          <w:sz w:val="32"/>
        </w:rPr>
        <w:t>六、一般公共预算财政拨款基本支出决算情况说明</w:t>
      </w:r>
    </w:p>
    <w:p w14:paraId="743240FB">
      <w:pPr>
        <w:spacing w:line="580" w:lineRule="exact"/>
        <w:ind w:firstLine="640"/>
        <w:jc w:val="both"/>
      </w:pPr>
      <w:r>
        <w:rPr>
          <w:rFonts w:ascii="仿宋_GB2312" w:hAnsi="仿宋_GB2312" w:eastAsia="仿宋_GB2312"/>
          <w:b w:val="0"/>
          <w:sz w:val="32"/>
        </w:rPr>
        <w:t>2024年度一般公共预算财政拨款基本支出535.04万元，其中：</w:t>
      </w:r>
      <w:r>
        <w:rPr>
          <w:rFonts w:ascii="仿宋_GB2312" w:hAnsi="仿宋_GB2312" w:eastAsia="仿宋_GB2312"/>
          <w:b/>
          <w:sz w:val="32"/>
        </w:rPr>
        <w:t>人员经费511.71万元，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00816FF3">
      <w:pPr>
        <w:spacing w:line="580" w:lineRule="exact"/>
        <w:ind w:firstLine="640"/>
        <w:jc w:val="both"/>
      </w:pPr>
      <w:r>
        <w:rPr>
          <w:rFonts w:ascii="仿宋_GB2312" w:hAnsi="仿宋_GB2312" w:eastAsia="仿宋_GB2312"/>
          <w:b/>
          <w:sz w:val="32"/>
        </w:rPr>
        <w:t>公用经费23.32万元，</w:t>
      </w:r>
      <w:r>
        <w:rPr>
          <w:rFonts w:ascii="仿宋_GB2312" w:hAnsi="仿宋_GB2312" w:eastAsia="仿宋_GB2312"/>
          <w:b w:val="0"/>
          <w:sz w:val="32"/>
        </w:rPr>
        <w:t>包括：办公费、水费、邮电费、物业管理费、差旅费、维修（护）费、公务接待费、工会经费、福利费、公务用车运行维护费、其他商品和服务支出。</w:t>
      </w:r>
    </w:p>
    <w:p w14:paraId="5B662362">
      <w:pPr>
        <w:spacing w:line="640" w:lineRule="exact"/>
        <w:ind w:firstLine="640"/>
        <w:jc w:val="both"/>
        <w:outlineLvl w:val="2"/>
      </w:pPr>
      <w:r>
        <w:rPr>
          <w:rFonts w:ascii="黑体" w:hAnsi="黑体" w:eastAsia="黑体"/>
          <w:sz w:val="32"/>
        </w:rPr>
        <w:t>七、政府性基金预算财政拨款收入支出决算情况说明</w:t>
      </w:r>
    </w:p>
    <w:p w14:paraId="52E5EC4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577DE1">
      <w:pPr>
        <w:spacing w:line="640" w:lineRule="exact"/>
        <w:ind w:firstLine="640"/>
        <w:jc w:val="both"/>
        <w:outlineLvl w:val="2"/>
      </w:pPr>
      <w:r>
        <w:rPr>
          <w:rFonts w:ascii="黑体" w:hAnsi="黑体" w:eastAsia="黑体"/>
          <w:sz w:val="32"/>
        </w:rPr>
        <w:t>八、国有资本经营预算财政拨款收入支出决算情况说明</w:t>
      </w:r>
    </w:p>
    <w:p w14:paraId="710439A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5A06E1">
      <w:pPr>
        <w:spacing w:line="640" w:lineRule="exact"/>
        <w:ind w:firstLine="640"/>
        <w:jc w:val="both"/>
        <w:outlineLvl w:val="2"/>
      </w:pPr>
      <w:r>
        <w:rPr>
          <w:rFonts w:ascii="黑体" w:hAnsi="黑体" w:eastAsia="黑体"/>
          <w:sz w:val="32"/>
        </w:rPr>
        <w:t>九、财政拨款“三公”经费支出决算情况说明</w:t>
      </w:r>
    </w:p>
    <w:p w14:paraId="47EC3E87">
      <w:pPr>
        <w:spacing w:line="580" w:lineRule="exact"/>
        <w:ind w:firstLine="640"/>
        <w:jc w:val="both"/>
      </w:pPr>
      <w:r>
        <w:rPr>
          <w:rFonts w:ascii="仿宋_GB2312" w:hAnsi="仿宋_GB2312" w:eastAsia="仿宋_GB2312"/>
          <w:b/>
          <w:sz w:val="32"/>
        </w:rPr>
        <w:t>2024年度财政拨款“三公”经费支出3.74万元，</w:t>
      </w:r>
      <w:r>
        <w:rPr>
          <w:rFonts w:ascii="仿宋_GB2312" w:hAnsi="仿宋_GB2312" w:eastAsia="仿宋_GB2312"/>
          <w:b w:val="0"/>
          <w:sz w:val="32"/>
        </w:rPr>
        <w:t>比上年减少0.69万元，下降15.58%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3.70万元，占98.93%，比上年减少0.73万元，下降16.48%，主要原因是：严格落实中央</w:t>
      </w:r>
      <w:bookmarkStart w:id="0" w:name="_GoBack"/>
      <w:r>
        <w:rPr>
          <w:rFonts w:ascii="仿宋_GB2312" w:hAnsi="仿宋_GB2312" w:eastAsia="仿宋_GB2312"/>
          <w:b w:val="0"/>
          <w:sz w:val="32"/>
        </w:rPr>
        <w:t>八项规定</w:t>
      </w:r>
      <w:bookmarkEnd w:id="0"/>
      <w:r>
        <w:rPr>
          <w:rFonts w:ascii="仿宋_GB2312" w:hAnsi="仿宋_GB2312" w:eastAsia="仿宋_GB2312"/>
          <w:b w:val="0"/>
          <w:sz w:val="32"/>
        </w:rPr>
        <w:t>精神，厉行节约，减少公务用车运行维护费。公务接待费支出0.04万元，占1.07%，比上年增加0.04万元，增长100.00%，主要原因是：本年因业务需求，增加公务接待工作，导致公务接待费较上年增加。</w:t>
      </w:r>
    </w:p>
    <w:p w14:paraId="191A4F0B">
      <w:pPr>
        <w:spacing w:line="580" w:lineRule="exact"/>
        <w:ind w:firstLine="640"/>
        <w:jc w:val="both"/>
      </w:pPr>
      <w:r>
        <w:rPr>
          <w:rFonts w:ascii="仿宋_GB2312" w:hAnsi="仿宋_GB2312" w:eastAsia="仿宋_GB2312"/>
          <w:b/>
          <w:sz w:val="32"/>
        </w:rPr>
        <w:t>具体情况如下：</w:t>
      </w:r>
    </w:p>
    <w:p w14:paraId="47C0C8C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F19515E">
      <w:pPr>
        <w:spacing w:line="580" w:lineRule="exact"/>
        <w:ind w:firstLine="640"/>
        <w:jc w:val="both"/>
      </w:pPr>
      <w:r>
        <w:rPr>
          <w:rFonts w:ascii="仿宋_GB2312" w:hAnsi="仿宋_GB2312" w:eastAsia="仿宋_GB2312"/>
          <w:b w:val="0"/>
          <w:sz w:val="32"/>
        </w:rPr>
        <w:t>公务用车购置及运行维护费3.70万元，其中：公务用车购置费0.00万元，公务用车运行维护费3.70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11443318">
      <w:pPr>
        <w:spacing w:line="580" w:lineRule="exact"/>
        <w:ind w:firstLine="640"/>
        <w:jc w:val="both"/>
      </w:pPr>
      <w:r>
        <w:rPr>
          <w:rFonts w:ascii="仿宋_GB2312" w:hAnsi="仿宋_GB2312" w:eastAsia="仿宋_GB2312"/>
          <w:b w:val="0"/>
          <w:sz w:val="32"/>
        </w:rPr>
        <w:t>公务接待费0.04万元，开支内容包括因上级部门检查业务工作，接待上级领导检查产生的就餐费。单位全年安排的国内公务接待1批次，5人次。</w:t>
      </w:r>
    </w:p>
    <w:p w14:paraId="63FBEF5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3.74万元，决算数3.74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3.70万元，决算数3.70万元，预决算差异率0.00%，主要原因是：严格按照预算执行，预决算无差异。公务接待费全年预算数0.04万元，决算数0.04万元，预决算差异率0.00%，主要原因是：严格按照预算执行，预决算无差异。</w:t>
      </w:r>
    </w:p>
    <w:p w14:paraId="51B3DB8A">
      <w:pPr>
        <w:spacing w:line="640" w:lineRule="exact"/>
        <w:ind w:firstLine="640"/>
        <w:jc w:val="both"/>
        <w:outlineLvl w:val="2"/>
      </w:pPr>
      <w:r>
        <w:rPr>
          <w:rFonts w:ascii="黑体" w:hAnsi="黑体" w:eastAsia="黑体"/>
          <w:sz w:val="32"/>
        </w:rPr>
        <w:t>十、其他重要事项的情况说明</w:t>
      </w:r>
    </w:p>
    <w:p w14:paraId="0371D567">
      <w:pPr>
        <w:spacing w:line="640" w:lineRule="exact"/>
        <w:ind w:firstLine="640"/>
        <w:jc w:val="both"/>
        <w:outlineLvl w:val="3"/>
      </w:pPr>
      <w:r>
        <w:rPr>
          <w:rFonts w:ascii="楷体_GB2312" w:hAnsi="楷体_GB2312" w:eastAsia="楷体_GB2312"/>
          <w:b/>
          <w:sz w:val="32"/>
        </w:rPr>
        <w:t>（一）机关运行经费及公用经费支出情况</w:t>
      </w:r>
    </w:p>
    <w:p w14:paraId="0A63594C">
      <w:pPr>
        <w:spacing w:line="580" w:lineRule="exact"/>
        <w:ind w:firstLine="640"/>
        <w:jc w:val="both"/>
      </w:pPr>
      <w:r>
        <w:rPr>
          <w:rFonts w:ascii="仿宋_GB2312" w:hAnsi="仿宋_GB2312" w:eastAsia="仿宋_GB2312"/>
          <w:b w:val="0"/>
          <w:sz w:val="32"/>
        </w:rPr>
        <w:t>2024年度克孜勒苏柯尔克孜自治州农业农村机械化发展中心（行政单位和参照公务员法管理事业单位）机关运行经费支出23.32万元，比上年减少3.28万元，下降12.33%，主要原因是：严控经费支出，厉行节约，减少经费支出。</w:t>
      </w:r>
    </w:p>
    <w:p w14:paraId="6CEFBCDD">
      <w:pPr>
        <w:spacing w:line="640" w:lineRule="exact"/>
        <w:ind w:firstLine="640"/>
        <w:jc w:val="both"/>
        <w:outlineLvl w:val="3"/>
      </w:pPr>
      <w:r>
        <w:rPr>
          <w:rFonts w:ascii="楷体_GB2312" w:hAnsi="楷体_GB2312" w:eastAsia="楷体_GB2312"/>
          <w:b/>
          <w:sz w:val="32"/>
        </w:rPr>
        <w:t>（二）政府采购情况</w:t>
      </w:r>
    </w:p>
    <w:p w14:paraId="03FA9369">
      <w:pPr>
        <w:spacing w:line="580" w:lineRule="exact"/>
        <w:ind w:firstLine="640"/>
        <w:jc w:val="both"/>
      </w:pPr>
      <w:r>
        <w:rPr>
          <w:rFonts w:ascii="仿宋_GB2312" w:hAnsi="仿宋_GB2312" w:eastAsia="仿宋_GB2312"/>
          <w:b w:val="0"/>
          <w:sz w:val="32"/>
        </w:rPr>
        <w:t>2024年度政府采购支出总额38.01万元，其中：政府采购货物支出16.13万元、政府采购工程支出0.00万元、政府采购服务支出21.88万元。</w:t>
      </w:r>
    </w:p>
    <w:p w14:paraId="55BE1659">
      <w:pPr>
        <w:spacing w:line="580" w:lineRule="exact"/>
        <w:ind w:firstLine="640"/>
        <w:jc w:val="both"/>
      </w:pPr>
      <w:r>
        <w:rPr>
          <w:rFonts w:ascii="仿宋_GB2312" w:hAnsi="仿宋_GB2312" w:eastAsia="仿宋_GB2312"/>
          <w:b w:val="0"/>
          <w:sz w:val="32"/>
        </w:rPr>
        <w:t>授予中小企业合同金额37.01万元，占政府采购支出总额的97.37%，其中：授予小微企业合同金额34.57万元，占政府采购支出总额的90.95%。</w:t>
      </w:r>
    </w:p>
    <w:p w14:paraId="6ED220DA">
      <w:pPr>
        <w:spacing w:line="640" w:lineRule="exact"/>
        <w:ind w:firstLine="640"/>
        <w:jc w:val="both"/>
        <w:outlineLvl w:val="3"/>
      </w:pPr>
      <w:r>
        <w:rPr>
          <w:rFonts w:ascii="楷体_GB2312" w:hAnsi="楷体_GB2312" w:eastAsia="楷体_GB2312"/>
          <w:b/>
          <w:sz w:val="32"/>
        </w:rPr>
        <w:t>（三）国有资产占用情况说明</w:t>
      </w:r>
    </w:p>
    <w:p w14:paraId="33D09FA2">
      <w:pPr>
        <w:spacing w:line="580" w:lineRule="exact"/>
        <w:ind w:firstLine="640"/>
        <w:jc w:val="both"/>
      </w:pPr>
      <w:r>
        <w:rPr>
          <w:rFonts w:ascii="仿宋_GB2312" w:hAnsi="仿宋_GB2312" w:eastAsia="仿宋_GB2312"/>
          <w:b w:val="0"/>
          <w:sz w:val="32"/>
        </w:rPr>
        <w:t>截至2024年12月31日，房屋855.50平方米，价值32.75万元。车辆3辆，价值61.81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1FC12C23">
      <w:pPr>
        <w:spacing w:line="640" w:lineRule="exact"/>
        <w:ind w:firstLine="640"/>
        <w:jc w:val="both"/>
        <w:outlineLvl w:val="2"/>
      </w:pPr>
      <w:r>
        <w:rPr>
          <w:rFonts w:ascii="黑体" w:hAnsi="黑体" w:eastAsia="黑体"/>
          <w:sz w:val="32"/>
        </w:rPr>
        <w:t>十一、预算绩效的情况说明</w:t>
      </w:r>
    </w:p>
    <w:p w14:paraId="05B7439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572.06万元，实际执行总额572.06万元；预算绩效评价项目2个，全年预算数37.00万元，全年执行数37.00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对绩效目标偏差问题缺乏有效分析，从而导致填报的内容相对简单。二是在部门整体支出的资金安排和使用上仍有不可预见性，在经费支出科学化精细化管理上还有待加强。下一步改进措施：加强宣传引导，强化绩效观念。党的十八届三中全会作出的《关于全面深化改革若干重大问题的决定》中对政府绩效管理和财政预算管理提出了明确要求，新修订的《中华人民共和国预算法》也对预算绩效管理作出了具体规定，尽快建立并完善预算绩效管理机制也是推进法治型、服务型、节约型政府建设的有效途径和重要举措。具体附整体支出绩效自评表，项目支出绩效自评表和评价报告。</w:t>
      </w:r>
    </w:p>
    <w:p w14:paraId="0C7FB0D8">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18CA0E46">
        <w:tblPrEx>
          <w:tblCellMar>
            <w:top w:w="0" w:type="dxa"/>
            <w:left w:w="108" w:type="dxa"/>
            <w:bottom w:w="0" w:type="dxa"/>
            <w:right w:w="108" w:type="dxa"/>
          </w:tblCellMar>
        </w:tblPrEx>
        <w:tc>
          <w:tcPr>
            <w:tcW w:w="8840" w:type="dxa"/>
            <w:gridSpan w:val="8"/>
            <w:vAlign w:val="center"/>
          </w:tcPr>
          <w:p w14:paraId="139788BB">
            <w:pPr>
              <w:jc w:val="center"/>
            </w:pPr>
            <w:r>
              <w:rPr>
                <w:rFonts w:ascii="宋体" w:hAnsi="宋体" w:eastAsia="宋体"/>
                <w:sz w:val="24"/>
              </w:rPr>
              <w:t>单位整体支出绩效自评表</w:t>
            </w:r>
          </w:p>
        </w:tc>
      </w:tr>
      <w:tr w14:paraId="4E47301F">
        <w:tblPrEx>
          <w:tblCellMar>
            <w:top w:w="0" w:type="dxa"/>
            <w:left w:w="108" w:type="dxa"/>
            <w:bottom w:w="0" w:type="dxa"/>
            <w:right w:w="108" w:type="dxa"/>
          </w:tblCellMar>
        </w:tblPrEx>
        <w:tc>
          <w:tcPr>
            <w:tcW w:w="8840" w:type="dxa"/>
            <w:gridSpan w:val="8"/>
            <w:vAlign w:val="center"/>
          </w:tcPr>
          <w:p w14:paraId="050D70DD">
            <w:pPr>
              <w:jc w:val="center"/>
            </w:pPr>
            <w:r>
              <w:rPr>
                <w:rFonts w:ascii="宋体" w:hAnsi="宋体" w:eastAsia="宋体"/>
                <w:sz w:val="24"/>
              </w:rPr>
              <w:t>（2024年度）</w:t>
            </w:r>
          </w:p>
        </w:tc>
      </w:tr>
      <w:tr w14:paraId="123F36C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0B84F">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46ADF6">
            <w:pPr>
              <w:jc w:val="center"/>
            </w:pPr>
            <w:r>
              <w:rPr>
                <w:rFonts w:ascii="宋体" w:hAnsi="宋体" w:eastAsia="宋体"/>
                <w:sz w:val="16"/>
              </w:rPr>
              <w:t>克孜勒苏柯尔克孜自治州农业农村机械化发展中心</w:t>
            </w:r>
          </w:p>
        </w:tc>
      </w:tr>
      <w:tr w14:paraId="6AC747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7FCC8">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69B6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237D0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E30BA">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FEEA45">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03E7E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581C8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0547E">
            <w:pPr>
              <w:jc w:val="center"/>
            </w:pPr>
            <w:r>
              <w:rPr>
                <w:rFonts w:ascii="宋体" w:hAnsi="宋体" w:eastAsia="宋体"/>
                <w:sz w:val="16"/>
              </w:rPr>
              <w:t>得分</w:t>
            </w:r>
          </w:p>
        </w:tc>
      </w:tr>
      <w:tr w14:paraId="247A621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A49A7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AE8C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7A0E70">
            <w:pPr>
              <w:jc w:val="center"/>
            </w:pPr>
            <w:r>
              <w:rPr>
                <w:rFonts w:ascii="宋体" w:hAnsi="宋体" w:eastAsia="宋体"/>
                <w:sz w:val="16"/>
              </w:rPr>
              <w:t>530.82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CC271">
            <w:pPr>
              <w:jc w:val="center"/>
            </w:pPr>
            <w:r>
              <w:rPr>
                <w:rFonts w:ascii="宋体" w:hAnsi="宋体" w:eastAsia="宋体"/>
                <w:sz w:val="16"/>
              </w:rPr>
              <w:t>572.06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311A6">
            <w:pPr>
              <w:jc w:val="center"/>
            </w:pPr>
            <w:r>
              <w:rPr>
                <w:rFonts w:ascii="宋体" w:hAnsi="宋体" w:eastAsia="宋体"/>
                <w:sz w:val="16"/>
              </w:rPr>
              <w:t>572.06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803A3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5F6EF0">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BB407">
            <w:pPr>
              <w:jc w:val="center"/>
              <w:rPr>
                <w:rFonts w:hint="default" w:eastAsia="宋体"/>
                <w:lang w:val="en-US" w:eastAsia="zh-CN"/>
              </w:rPr>
            </w:pPr>
            <w:r>
              <w:rPr>
                <w:rFonts w:ascii="宋体" w:hAnsi="宋体" w:eastAsia="宋体"/>
                <w:sz w:val="16"/>
              </w:rPr>
              <w:t>1</w:t>
            </w:r>
            <w:r>
              <w:rPr>
                <w:rFonts w:hint="eastAsia" w:ascii="宋体" w:hAnsi="宋体"/>
                <w:sz w:val="16"/>
                <w:lang w:val="en-US" w:eastAsia="zh-CN"/>
              </w:rPr>
              <w:t>0.00</w:t>
            </w:r>
          </w:p>
        </w:tc>
      </w:tr>
      <w:tr w14:paraId="1EFB4C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D2A32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666F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680EE">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4D2DB0">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4ADD57">
            <w:pPr>
              <w:jc w:val="center"/>
            </w:pPr>
            <w:r>
              <w:rPr>
                <w:rFonts w:ascii="宋体" w:hAnsi="宋体" w:eastAsia="宋体"/>
                <w:sz w:val="16"/>
              </w:rPr>
              <w:t>37.00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CA1C9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EF12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DD428">
            <w:pPr>
              <w:jc w:val="center"/>
            </w:pPr>
            <w:r>
              <w:rPr>
                <w:rFonts w:ascii="宋体" w:hAnsi="宋体" w:eastAsia="宋体"/>
                <w:sz w:val="16"/>
              </w:rPr>
              <w:t>—</w:t>
            </w:r>
          </w:p>
        </w:tc>
      </w:tr>
      <w:tr w14:paraId="00CE6D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4727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7EA60A">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7BD8C">
            <w:pPr>
              <w:jc w:val="center"/>
            </w:pPr>
            <w:r>
              <w:rPr>
                <w:rFonts w:ascii="宋体" w:hAnsi="宋体" w:eastAsia="宋体"/>
                <w:sz w:val="16"/>
              </w:rPr>
              <w:t>510.82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05464">
            <w:pPr>
              <w:jc w:val="center"/>
            </w:pPr>
            <w:r>
              <w:rPr>
                <w:rFonts w:ascii="宋体" w:hAnsi="宋体" w:eastAsia="宋体"/>
                <w:sz w:val="16"/>
              </w:rPr>
              <w:t>535.06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2236C">
            <w:pPr>
              <w:jc w:val="center"/>
            </w:pPr>
            <w:r>
              <w:rPr>
                <w:rFonts w:ascii="宋体" w:hAnsi="宋体" w:eastAsia="宋体"/>
                <w:sz w:val="16"/>
              </w:rPr>
              <w:t>535.06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73F75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CA606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EA742E">
            <w:pPr>
              <w:jc w:val="center"/>
            </w:pPr>
            <w:r>
              <w:rPr>
                <w:rFonts w:ascii="宋体" w:hAnsi="宋体" w:eastAsia="宋体"/>
                <w:sz w:val="16"/>
              </w:rPr>
              <w:t>—</w:t>
            </w:r>
          </w:p>
        </w:tc>
      </w:tr>
      <w:tr w14:paraId="31B880F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B3A27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709E6B">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E121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1438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8918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B2F7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64BD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405C90">
            <w:pPr>
              <w:jc w:val="center"/>
            </w:pPr>
            <w:r>
              <w:rPr>
                <w:rFonts w:ascii="宋体" w:hAnsi="宋体" w:eastAsia="宋体"/>
                <w:sz w:val="16"/>
              </w:rPr>
              <w:t>—</w:t>
            </w:r>
          </w:p>
        </w:tc>
      </w:tr>
      <w:tr w14:paraId="4B4A270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3900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95608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337BC8">
            <w:pPr>
              <w:jc w:val="center"/>
            </w:pPr>
            <w:r>
              <w:rPr>
                <w:rFonts w:ascii="宋体" w:hAnsi="宋体" w:eastAsia="宋体"/>
                <w:sz w:val="16"/>
              </w:rPr>
              <w:t>实际完成情况</w:t>
            </w:r>
          </w:p>
        </w:tc>
      </w:tr>
      <w:tr w14:paraId="20F19EB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DAF4BE"/>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DE33DD">
            <w:pPr>
              <w:jc w:val="both"/>
            </w:pPr>
            <w:r>
              <w:rPr>
                <w:rFonts w:hint="eastAsia" w:ascii="宋体" w:hAnsi="宋体"/>
                <w:sz w:val="16"/>
                <w:lang w:eastAsia="zh-CN"/>
              </w:rPr>
              <w:t>1.</w:t>
            </w:r>
            <w:r>
              <w:rPr>
                <w:rFonts w:ascii="宋体" w:hAnsi="宋体" w:eastAsia="宋体"/>
                <w:sz w:val="16"/>
              </w:rPr>
              <w:t>2024年全州农作物耕种收综合机械化率达到90%，小麦、玉米等主要粮食作物基本实现生产全程机械化，棉花作物全程机械化生产体系基本建立，设施农业、畜牧养殖、水产养殖和农产品初加工机械化取得明显进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2、落实农机购置补贴政策，优化农机具结构，大力推广机采棉、秸秆回收、精量播种、无人机打药、激光平地等智能辅助农机装备，提高农业综合机械化程度。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3、以农业生产机械牌证管理为基础，加强农机化培训学校规范化建设和驾驶操作人员技能培训、加强农机安全源头管理。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FB6D24">
            <w:pPr>
              <w:jc w:val="both"/>
            </w:pPr>
            <w:r>
              <w:rPr>
                <w:rFonts w:ascii="宋体" w:hAnsi="宋体" w:eastAsia="宋体"/>
                <w:sz w:val="16"/>
              </w:rPr>
              <w:t>2024年全州农机总动力预计达55.01万千瓦，同比增长0.31%。拖拉机、联合收割机及配套机具拥有量40890台（套），其中：拖拉机12027台（大中型拖拉机6700台），配套机具27885台/架，谷物联合收割机584台，玉米收获机394台。小麦、玉米、棉花等主要农作物耕种收综合机械化水平分别达98.89%、99.24%、86.%，主要农作物综合机械化水平预计达92.56%、同比增长3.89%。根据各县市上报资金需求，阿图什市41万元、阿克陶县153.2万元，阿合奇县12.2万元、乌恰县23.6万元。目前为止，全州已完成农机报废更新补贴资金229.978万元，受益户424户，报废农机具456台，资金兑付率达99.99%。根据《拖拉机驾驶培训管理办法》和《大型工程机械设备驾驶培训管理办法》要求，我中心以“服务三农”、“帮农增收”、“保民安全”为出发点，加强农机化培训工作。截至目前，共举办拖拉机、联合收割机驾驶员及大型工程机械设备操作员培训班70期2674人（其中：拖拉机和联合收割机驾驶员培训班43期2024人，大型工程机械设备操作员培训班27期650人）</w:t>
            </w:r>
          </w:p>
        </w:tc>
      </w:tr>
      <w:tr w14:paraId="157258E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73666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75AF2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8F27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92EF7">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395FA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4EE3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438FD">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CF3385">
            <w:pPr>
              <w:jc w:val="center"/>
            </w:pPr>
            <w:r>
              <w:rPr>
                <w:rFonts w:ascii="宋体" w:hAnsi="宋体" w:eastAsia="宋体"/>
                <w:sz w:val="16"/>
              </w:rPr>
              <w:t>得分</w:t>
            </w:r>
          </w:p>
        </w:tc>
      </w:tr>
      <w:tr w14:paraId="6381DBA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16485">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16AA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A4035C">
            <w:pPr>
              <w:jc w:val="center"/>
            </w:pPr>
            <w:r>
              <w:rPr>
                <w:rFonts w:ascii="宋体" w:hAnsi="宋体" w:eastAsia="宋体"/>
                <w:sz w:val="16"/>
              </w:rPr>
              <w:t>农作物耕种收综合机械化率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710E4">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BEC9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2182F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FF9E7">
            <w:pPr>
              <w:jc w:val="center"/>
            </w:pPr>
            <w:r>
              <w:rPr>
                <w:rFonts w:ascii="宋体" w:hAnsi="宋体" w:eastAsia="宋体"/>
                <w:sz w:val="16"/>
              </w:rPr>
              <w:t>92.56%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0BB8DA">
            <w:pPr>
              <w:jc w:val="center"/>
            </w:pPr>
            <w:r>
              <w:rPr>
                <w:rFonts w:ascii="宋体" w:hAnsi="宋体" w:eastAsia="宋体"/>
                <w:sz w:val="16"/>
              </w:rPr>
              <w:t>30</w:t>
            </w:r>
          </w:p>
        </w:tc>
      </w:tr>
      <w:tr w14:paraId="4FD250C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563087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C19D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25632B">
            <w:pPr>
              <w:jc w:val="center"/>
            </w:pPr>
            <w:r>
              <w:rPr>
                <w:rFonts w:ascii="宋体" w:hAnsi="宋体" w:eastAsia="宋体"/>
                <w:sz w:val="16"/>
              </w:rPr>
              <w:t>落实农机购置补贴政策、有效保障补贴资金阳光下运行，补贴资金兑付率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0062D3">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AE2DE">
            <w:pPr>
              <w:jc w:val="center"/>
            </w:pPr>
            <w:r>
              <w:rPr>
                <w:rFonts w:ascii="宋体" w:hAnsi="宋体" w:eastAsia="宋体"/>
                <w:sz w:val="16"/>
              </w:rPr>
              <w:t>2024年工作总结</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B3C61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05E933">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586A3">
            <w:pPr>
              <w:jc w:val="center"/>
            </w:pPr>
            <w:r>
              <w:rPr>
                <w:rFonts w:ascii="宋体" w:hAnsi="宋体" w:eastAsia="宋体"/>
                <w:sz w:val="16"/>
              </w:rPr>
              <w:t>29.99</w:t>
            </w:r>
          </w:p>
        </w:tc>
      </w:tr>
      <w:tr w14:paraId="538BAF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13D28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26E66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91658">
            <w:pPr>
              <w:jc w:val="center"/>
            </w:pPr>
            <w:r>
              <w:rPr>
                <w:rFonts w:ascii="宋体" w:hAnsi="宋体" w:eastAsia="宋体"/>
                <w:sz w:val="16"/>
              </w:rPr>
              <w:t>继续开展农机驾驶及大型工程机械设备操作员培训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D2F70">
            <w:pPr>
              <w:jc w:val="center"/>
            </w:pPr>
            <w:r>
              <w:rPr>
                <w:rFonts w:ascii="宋体" w:hAnsi="宋体" w:eastAsia="宋体"/>
                <w:sz w:val="16"/>
              </w:rPr>
              <w:t>&gt;=30期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90F8CD">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462D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297C0">
            <w:pPr>
              <w:jc w:val="center"/>
            </w:pPr>
            <w:r>
              <w:rPr>
                <w:rFonts w:ascii="宋体" w:hAnsi="宋体" w:eastAsia="宋体"/>
                <w:sz w:val="16"/>
              </w:rPr>
              <w:t>70期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994B2">
            <w:pPr>
              <w:jc w:val="center"/>
            </w:pPr>
            <w:r>
              <w:rPr>
                <w:rFonts w:ascii="宋体" w:hAnsi="宋体" w:eastAsia="宋体"/>
                <w:sz w:val="16"/>
              </w:rPr>
              <w:t>30</w:t>
            </w:r>
          </w:p>
        </w:tc>
      </w:tr>
    </w:tbl>
    <w:p w14:paraId="7B15D5CA">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907"/>
        <w:gridCol w:w="552"/>
        <w:gridCol w:w="731"/>
        <w:gridCol w:w="402"/>
        <w:gridCol w:w="632"/>
        <w:gridCol w:w="632"/>
        <w:gridCol w:w="632"/>
        <w:gridCol w:w="632"/>
        <w:gridCol w:w="632"/>
        <w:gridCol w:w="632"/>
        <w:gridCol w:w="632"/>
      </w:tblGrid>
      <w:tr w14:paraId="460B87E1">
        <w:tblPrEx>
          <w:tblCellMar>
            <w:top w:w="0" w:type="dxa"/>
            <w:left w:w="108" w:type="dxa"/>
            <w:bottom w:w="0" w:type="dxa"/>
            <w:right w:w="108" w:type="dxa"/>
          </w:tblCellMar>
        </w:tblPrEx>
        <w:tc>
          <w:tcPr>
            <w:tcW w:w="8912" w:type="dxa"/>
            <w:gridSpan w:val="14"/>
            <w:vAlign w:val="center"/>
          </w:tcPr>
          <w:p w14:paraId="321C59A0">
            <w:pPr>
              <w:jc w:val="center"/>
            </w:pPr>
            <w:r>
              <w:rPr>
                <w:rFonts w:ascii="宋体" w:hAnsi="宋体" w:eastAsia="宋体"/>
                <w:sz w:val="24"/>
              </w:rPr>
              <w:t>项目支出绩效自评表</w:t>
            </w:r>
          </w:p>
        </w:tc>
      </w:tr>
      <w:tr w14:paraId="601A9E0C">
        <w:tblPrEx>
          <w:tblCellMar>
            <w:top w:w="0" w:type="dxa"/>
            <w:left w:w="108" w:type="dxa"/>
            <w:bottom w:w="0" w:type="dxa"/>
            <w:right w:w="108" w:type="dxa"/>
          </w:tblCellMar>
        </w:tblPrEx>
        <w:tc>
          <w:tcPr>
            <w:tcW w:w="8912" w:type="dxa"/>
            <w:gridSpan w:val="14"/>
            <w:vAlign w:val="center"/>
          </w:tcPr>
          <w:p w14:paraId="62266912">
            <w:pPr>
              <w:jc w:val="center"/>
            </w:pPr>
            <w:r>
              <w:rPr>
                <w:rFonts w:ascii="宋体" w:hAnsi="宋体" w:eastAsia="宋体"/>
                <w:sz w:val="24"/>
              </w:rPr>
              <w:t>(2024年度)</w:t>
            </w:r>
          </w:p>
        </w:tc>
      </w:tr>
      <w:tr w14:paraId="23D7FD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B187">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167FE3">
            <w:pPr>
              <w:jc w:val="center"/>
            </w:pPr>
            <w:r>
              <w:rPr>
                <w:rFonts w:ascii="宋体" w:hAnsi="宋体" w:eastAsia="宋体"/>
                <w:sz w:val="16"/>
              </w:rPr>
              <w:t>2024年自治区财政扶持农机化发展项目</w:t>
            </w:r>
          </w:p>
        </w:tc>
      </w:tr>
      <w:tr w14:paraId="1718C9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ACF9">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9243E6">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B37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807875">
            <w:pPr>
              <w:jc w:val="center"/>
            </w:pPr>
            <w:r>
              <w:rPr>
                <w:rFonts w:ascii="宋体" w:hAnsi="宋体" w:eastAsia="宋体"/>
                <w:sz w:val="16"/>
              </w:rPr>
              <w:t>克孜勒苏柯尔克孜自治州农业农村机械化发展中心</w:t>
            </w:r>
          </w:p>
        </w:tc>
      </w:tr>
      <w:tr w14:paraId="4FC043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ACD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90FE4">
            <w:pPr>
              <w:jc w:val="center"/>
            </w:pPr>
          </w:p>
        </w:tc>
        <w:tc>
          <w:tcPr>
            <w:tcW w:w="14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167DF">
            <w:pPr>
              <w:jc w:val="center"/>
            </w:pPr>
            <w:r>
              <w:rPr>
                <w:rFonts w:ascii="宋体" w:hAnsi="宋体" w:eastAsia="宋体"/>
                <w:sz w:val="16"/>
              </w:rPr>
              <w:t>年初预算数</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B2A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CD2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2C1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9A6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4CF1">
            <w:pPr>
              <w:jc w:val="center"/>
            </w:pPr>
            <w:r>
              <w:rPr>
                <w:rFonts w:ascii="宋体" w:hAnsi="宋体" w:eastAsia="宋体"/>
                <w:sz w:val="16"/>
              </w:rPr>
              <w:t>得分</w:t>
            </w:r>
          </w:p>
        </w:tc>
      </w:tr>
      <w:tr w14:paraId="3284B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ED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DCA2F">
            <w:pPr>
              <w:jc w:val="center"/>
            </w:pPr>
            <w:r>
              <w:rPr>
                <w:rFonts w:ascii="宋体" w:hAnsi="宋体" w:eastAsia="宋体"/>
                <w:sz w:val="16"/>
              </w:rPr>
              <w:t>年度资金总额</w:t>
            </w:r>
          </w:p>
        </w:tc>
        <w:tc>
          <w:tcPr>
            <w:tcW w:w="14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DCB21">
            <w:pPr>
              <w:jc w:val="center"/>
            </w:pPr>
            <w:r>
              <w:rPr>
                <w:rFonts w:ascii="宋体" w:hAnsi="宋体" w:eastAsia="宋体"/>
                <w:sz w:val="16"/>
              </w:rPr>
              <w:t>20.00</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920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708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67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D33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25CD">
            <w:pPr>
              <w:jc w:val="center"/>
            </w:pPr>
            <w:r>
              <w:rPr>
                <w:rFonts w:ascii="宋体" w:hAnsi="宋体" w:eastAsia="宋体"/>
                <w:sz w:val="16"/>
              </w:rPr>
              <w:t>10.00分</w:t>
            </w:r>
          </w:p>
        </w:tc>
      </w:tr>
      <w:tr w14:paraId="3B373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AF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AF289">
            <w:pPr>
              <w:jc w:val="center"/>
            </w:pPr>
            <w:r>
              <w:rPr>
                <w:rFonts w:ascii="宋体" w:hAnsi="宋体" w:eastAsia="宋体"/>
                <w:sz w:val="16"/>
              </w:rPr>
              <w:t>其中：当年财政拨款</w:t>
            </w:r>
          </w:p>
        </w:tc>
        <w:tc>
          <w:tcPr>
            <w:tcW w:w="14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5A3B">
            <w:pPr>
              <w:jc w:val="center"/>
            </w:pPr>
            <w:r>
              <w:rPr>
                <w:rFonts w:ascii="宋体" w:hAnsi="宋体" w:eastAsia="宋体"/>
                <w:sz w:val="16"/>
              </w:rPr>
              <w:t>20.00</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AECC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53FE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AA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2A5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BDF4">
            <w:pPr>
              <w:jc w:val="center"/>
            </w:pPr>
            <w:r>
              <w:rPr>
                <w:rFonts w:ascii="宋体" w:hAnsi="宋体" w:eastAsia="宋体"/>
                <w:sz w:val="16"/>
              </w:rPr>
              <w:t>—</w:t>
            </w:r>
          </w:p>
        </w:tc>
      </w:tr>
      <w:tr w14:paraId="279E9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142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4F574">
            <w:pPr>
              <w:jc w:val="center"/>
            </w:pPr>
            <w:r>
              <w:rPr>
                <w:rFonts w:ascii="宋体" w:hAnsi="宋体" w:eastAsia="宋体"/>
                <w:sz w:val="16"/>
              </w:rPr>
              <w:t xml:space="preserve">  其他资金</w:t>
            </w:r>
          </w:p>
        </w:tc>
        <w:tc>
          <w:tcPr>
            <w:tcW w:w="14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A51C">
            <w:pPr>
              <w:jc w:val="center"/>
            </w:pPr>
            <w:r>
              <w:rPr>
                <w:rFonts w:ascii="宋体" w:hAnsi="宋体" w:eastAsia="宋体"/>
                <w:sz w:val="16"/>
              </w:rPr>
              <w:t>0.00</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4CD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8CB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2AA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2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C9A9">
            <w:pPr>
              <w:jc w:val="center"/>
            </w:pPr>
            <w:r>
              <w:rPr>
                <w:rFonts w:ascii="宋体" w:hAnsi="宋体" w:eastAsia="宋体"/>
                <w:sz w:val="16"/>
              </w:rPr>
              <w:t>—</w:t>
            </w:r>
          </w:p>
        </w:tc>
      </w:tr>
      <w:tr w14:paraId="782098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BA457">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B47A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A64909">
            <w:pPr>
              <w:jc w:val="center"/>
            </w:pPr>
            <w:r>
              <w:rPr>
                <w:rFonts w:ascii="宋体" w:hAnsi="宋体" w:eastAsia="宋体"/>
                <w:sz w:val="16"/>
              </w:rPr>
              <w:t>实际完成情况</w:t>
            </w:r>
          </w:p>
        </w:tc>
      </w:tr>
      <w:tr w14:paraId="77903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5D49C"/>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53A42">
            <w:pPr>
              <w:jc w:val="both"/>
            </w:pPr>
            <w:r>
              <w:rPr>
                <w:rFonts w:ascii="宋体" w:hAnsi="宋体" w:eastAsia="宋体"/>
                <w:sz w:val="16"/>
              </w:rPr>
              <w:t>2024年自治区农机化发展中心下达财政扶持农机化发展项目专项资金总投资20万元其中：财政资金20万元，其他资金0万元，主要用于使用葡萄藤枝加工粉碎转化为饲料，在葡萄藤枝加工机械化技术示范、推广过程中形成一套新型、实用、使用安全可靠，操作方便的葡萄藤枝及农作物秸秆加工流程，结束多年以来牲畜饲料加工只吃“软”不沾“硬”的历史。将是阿图什市饲料加工机械化历史上一次突破性的变革，并能有力促进阿图什市畜牧业、林果业可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C459BD">
            <w:pPr>
              <w:jc w:val="both"/>
            </w:pPr>
            <w:r>
              <w:rPr>
                <w:rFonts w:ascii="宋体" w:hAnsi="宋体" w:eastAsia="宋体"/>
                <w:sz w:val="16"/>
              </w:rPr>
              <w:t>截至2024年12月31日，该项目执行数为20万元，已完成</w:t>
            </w:r>
            <w:r>
              <w:rPr>
                <w:rFonts w:hint="eastAsia" w:ascii="宋体" w:hAnsi="宋体"/>
                <w:sz w:val="16"/>
                <w:lang w:eastAsia="zh-CN"/>
              </w:rPr>
              <w:t>：</w:t>
            </w:r>
            <w:r>
              <w:rPr>
                <w:rFonts w:ascii="宋体" w:hAnsi="宋体" w:eastAsia="宋体"/>
                <w:sz w:val="16"/>
              </w:rPr>
              <w:t>试验示范农机化技术示范区1个点、葡萄藤枝加工面积200亩、开展现场培训会1场、葡萄藤枝搬运费和劳务费2.5万元</w:t>
            </w:r>
            <w:r>
              <w:rPr>
                <w:rFonts w:hint="eastAsia" w:ascii="宋体" w:hAnsi="宋体"/>
                <w:sz w:val="16"/>
                <w:lang w:eastAsia="zh-CN"/>
              </w:rPr>
              <w:t>；</w:t>
            </w:r>
            <w:r>
              <w:rPr>
                <w:rFonts w:ascii="宋体" w:hAnsi="宋体" w:eastAsia="宋体"/>
                <w:sz w:val="16"/>
              </w:rPr>
              <w:t>打包机等机具租赁费16万元</w:t>
            </w:r>
            <w:r>
              <w:rPr>
                <w:rFonts w:hint="eastAsia" w:ascii="宋体" w:hAnsi="宋体"/>
                <w:sz w:val="16"/>
                <w:lang w:eastAsia="zh-CN"/>
              </w:rPr>
              <w:t>；</w:t>
            </w:r>
            <w:r>
              <w:rPr>
                <w:rFonts w:ascii="宋体" w:hAnsi="宋体" w:eastAsia="宋体"/>
                <w:sz w:val="16"/>
              </w:rPr>
              <w:t>新技术指导、宣传资料费、操作人员培训费1.5万元，通过提高财政资金使用效益，确保本年度预算项目顺利完成、资金合规使用，发挥财政资金预期效益。</w:t>
            </w:r>
          </w:p>
        </w:tc>
      </w:tr>
      <w:tr w14:paraId="6F6A6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93F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DF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5CF0">
            <w:pPr>
              <w:jc w:val="center"/>
            </w:pPr>
            <w:r>
              <w:rPr>
                <w:rFonts w:ascii="宋体" w:hAnsi="宋体" w:eastAsia="宋体"/>
                <w:sz w:val="16"/>
              </w:rPr>
              <w:t>二级指标</w:t>
            </w:r>
          </w:p>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096A38F8">
            <w:pPr>
              <w:jc w:val="center"/>
            </w:pPr>
            <w:r>
              <w:rPr>
                <w:rFonts w:ascii="宋体" w:hAnsi="宋体" w:eastAsia="宋体"/>
                <w:sz w:val="16"/>
              </w:rPr>
              <w:t>三级指标</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1C59E943">
            <w:pPr>
              <w:jc w:val="center"/>
            </w:pPr>
            <w:r>
              <w:rPr>
                <w:rFonts w:ascii="宋体" w:hAnsi="宋体" w:eastAsia="宋体"/>
                <w:sz w:val="16"/>
              </w:rPr>
              <w:t>年度指标值</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4C5224B">
            <w:pPr>
              <w:jc w:val="center"/>
            </w:pPr>
            <w:r>
              <w:rPr>
                <w:rFonts w:ascii="宋体" w:hAnsi="宋体" w:eastAsia="宋体"/>
                <w:sz w:val="16"/>
              </w:rPr>
              <w:t>指标值设定依据</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6534ED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7D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55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3A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48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FF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2E70">
            <w:pPr>
              <w:jc w:val="center"/>
            </w:pPr>
            <w:r>
              <w:rPr>
                <w:rFonts w:ascii="宋体" w:hAnsi="宋体" w:eastAsia="宋体"/>
                <w:sz w:val="16"/>
              </w:rPr>
              <w:t>偏差原因分析及改进措施</w:t>
            </w:r>
          </w:p>
        </w:tc>
      </w:tr>
      <w:tr w14:paraId="312942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E22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199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1FFF5">
            <w:pPr>
              <w:jc w:val="center"/>
            </w:pPr>
            <w:r>
              <w:rPr>
                <w:rFonts w:ascii="宋体" w:hAnsi="宋体" w:eastAsia="宋体"/>
                <w:sz w:val="16"/>
              </w:rPr>
              <w:t>数量指标</w:t>
            </w:r>
          </w:p>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13210F80">
            <w:pPr>
              <w:jc w:val="center"/>
            </w:pPr>
            <w:r>
              <w:rPr>
                <w:rFonts w:ascii="宋体" w:hAnsi="宋体" w:eastAsia="宋体"/>
                <w:sz w:val="16"/>
              </w:rPr>
              <w:t>试验示范农机化技术示范区(点)数量（个）</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7CE70441">
            <w:pPr>
              <w:jc w:val="center"/>
            </w:pPr>
            <w:r>
              <w:rPr>
                <w:rFonts w:ascii="宋体" w:hAnsi="宋体" w:eastAsia="宋体"/>
                <w:sz w:val="16"/>
              </w:rPr>
              <w:t>&gt;=1个</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4592C50F">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4A81F7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D2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78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CE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A65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6CF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9041A">
            <w:pPr>
              <w:jc w:val="center"/>
            </w:pPr>
          </w:p>
        </w:tc>
      </w:tr>
      <w:tr w14:paraId="19FB2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B8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57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7ED5A"/>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15E51234">
            <w:pPr>
              <w:jc w:val="center"/>
            </w:pPr>
            <w:r>
              <w:rPr>
                <w:rFonts w:ascii="宋体" w:hAnsi="宋体" w:eastAsia="宋体"/>
                <w:sz w:val="16"/>
              </w:rPr>
              <w:t>葡萄藤枝加工面积（亩）</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0956297C">
            <w:pPr>
              <w:jc w:val="center"/>
            </w:pPr>
            <w:r>
              <w:rPr>
                <w:rFonts w:ascii="宋体" w:hAnsi="宋体" w:eastAsia="宋体"/>
                <w:sz w:val="16"/>
              </w:rPr>
              <w:t>=200亩</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8F37525">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7C6049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D6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03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F3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3704">
            <w:pPr>
              <w:jc w:val="center"/>
            </w:pPr>
            <w:r>
              <w:rPr>
                <w:rFonts w:ascii="宋体" w:hAnsi="宋体" w:eastAsia="宋体"/>
                <w:sz w:val="16"/>
              </w:rPr>
              <w:t>=200亩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A28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DF5E9">
            <w:pPr>
              <w:jc w:val="center"/>
            </w:pPr>
          </w:p>
        </w:tc>
      </w:tr>
      <w:tr w14:paraId="656F9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80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C4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0A35E"/>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675582C5">
            <w:pPr>
              <w:jc w:val="center"/>
            </w:pPr>
            <w:r>
              <w:rPr>
                <w:rFonts w:ascii="宋体" w:hAnsi="宋体" w:eastAsia="宋体"/>
                <w:sz w:val="16"/>
              </w:rPr>
              <w:t>开展现场培训会（场）</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4418BA1A">
            <w:pPr>
              <w:jc w:val="center"/>
            </w:pPr>
            <w:r>
              <w:rPr>
                <w:rFonts w:ascii="宋体" w:hAnsi="宋体" w:eastAsia="宋体"/>
                <w:sz w:val="16"/>
              </w:rPr>
              <w:t>&gt;=1场</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38FF1D94">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5ED7F6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95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4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CD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2836">
            <w:pPr>
              <w:jc w:val="center"/>
            </w:pPr>
            <w:r>
              <w:rPr>
                <w:rFonts w:ascii="宋体" w:hAnsi="宋体" w:eastAsia="宋体"/>
                <w:sz w:val="16"/>
              </w:rPr>
              <w:t>=1场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456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30988">
            <w:pPr>
              <w:jc w:val="center"/>
            </w:pPr>
          </w:p>
        </w:tc>
      </w:tr>
      <w:tr w14:paraId="7DE65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8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63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BE3E">
            <w:pPr>
              <w:jc w:val="center"/>
            </w:pPr>
            <w:r>
              <w:rPr>
                <w:rFonts w:ascii="宋体" w:hAnsi="宋体" w:eastAsia="宋体"/>
                <w:sz w:val="16"/>
              </w:rPr>
              <w:t>质量指标</w:t>
            </w:r>
          </w:p>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237E685C">
            <w:pPr>
              <w:jc w:val="center"/>
            </w:pPr>
            <w:r>
              <w:rPr>
                <w:rFonts w:ascii="宋体" w:hAnsi="宋体" w:eastAsia="宋体"/>
                <w:sz w:val="16"/>
              </w:rPr>
              <w:t>葡萄藤枝加工使用率（%）</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13DAA322">
            <w:pPr>
              <w:jc w:val="center"/>
            </w:pPr>
            <w:r>
              <w:rPr>
                <w:rFonts w:ascii="宋体" w:hAnsi="宋体" w:eastAsia="宋体"/>
                <w:sz w:val="16"/>
              </w:rPr>
              <w:t>=85%</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2A1706E1">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4213F0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4C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AA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D6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23F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BE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772F2">
            <w:pPr>
              <w:jc w:val="center"/>
            </w:pPr>
          </w:p>
        </w:tc>
      </w:tr>
      <w:tr w14:paraId="0F599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3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B4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E421">
            <w:pPr>
              <w:jc w:val="center"/>
            </w:pPr>
            <w:r>
              <w:rPr>
                <w:rFonts w:ascii="宋体" w:hAnsi="宋体" w:eastAsia="宋体"/>
                <w:sz w:val="16"/>
              </w:rPr>
              <w:t>时效指标</w:t>
            </w:r>
          </w:p>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42DA29F3">
            <w:pPr>
              <w:jc w:val="center"/>
            </w:pPr>
            <w:r>
              <w:rPr>
                <w:rFonts w:ascii="宋体" w:hAnsi="宋体" w:eastAsia="宋体"/>
                <w:sz w:val="16"/>
              </w:rPr>
              <w:t>建设项目按计划完工时间（月）</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5B5DE5D9">
            <w:pPr>
              <w:jc w:val="center"/>
            </w:pPr>
            <w:r>
              <w:rPr>
                <w:rFonts w:ascii="宋体" w:hAnsi="宋体" w:eastAsia="宋体"/>
                <w:sz w:val="16"/>
              </w:rPr>
              <w:t>&lt;=10个月</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47EF824">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7CF98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DE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F4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D0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8795">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D42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479C0">
            <w:pPr>
              <w:jc w:val="center"/>
            </w:pPr>
          </w:p>
        </w:tc>
      </w:tr>
      <w:tr w14:paraId="088DD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778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D80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79BCE">
            <w:pPr>
              <w:jc w:val="center"/>
            </w:pPr>
            <w:r>
              <w:rPr>
                <w:rFonts w:ascii="宋体" w:hAnsi="宋体" w:eastAsia="宋体"/>
                <w:sz w:val="16"/>
              </w:rPr>
              <w:t>经济成本指标</w:t>
            </w:r>
          </w:p>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37BE21EB">
            <w:pPr>
              <w:jc w:val="center"/>
            </w:pPr>
            <w:r>
              <w:rPr>
                <w:rFonts w:ascii="宋体" w:hAnsi="宋体" w:eastAsia="宋体"/>
                <w:sz w:val="16"/>
              </w:rPr>
              <w:t>葡萄藤枝搬运费和劳务费（万元）</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440BE0C7">
            <w:pPr>
              <w:jc w:val="center"/>
            </w:pPr>
            <w:r>
              <w:rPr>
                <w:rFonts w:ascii="宋体" w:hAnsi="宋体" w:eastAsia="宋体"/>
                <w:sz w:val="16"/>
              </w:rPr>
              <w:t>&lt;=2.5万元</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0A6618E9">
            <w:pPr>
              <w:jc w:val="center"/>
            </w:pPr>
            <w:r>
              <w:rPr>
                <w:rFonts w:ascii="宋体" w:hAnsi="宋体" w:eastAsia="宋体"/>
                <w:sz w:val="16"/>
              </w:rPr>
              <w:t>预算支出标准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43831A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8A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A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C3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C477">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E7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4BB14">
            <w:pPr>
              <w:jc w:val="center"/>
            </w:pPr>
          </w:p>
        </w:tc>
      </w:tr>
      <w:tr w14:paraId="0656F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5E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D94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3A53"/>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71952CA3">
            <w:pPr>
              <w:jc w:val="center"/>
            </w:pPr>
            <w:r>
              <w:rPr>
                <w:rFonts w:ascii="宋体" w:hAnsi="宋体" w:eastAsia="宋体"/>
                <w:sz w:val="16"/>
              </w:rPr>
              <w:t>打包机等机具租赁费（万元）</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5F7A5BA9">
            <w:pPr>
              <w:jc w:val="center"/>
            </w:pPr>
            <w:r>
              <w:rPr>
                <w:rFonts w:ascii="宋体" w:hAnsi="宋体" w:eastAsia="宋体"/>
                <w:sz w:val="16"/>
              </w:rPr>
              <w:t>&lt;=16万元</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558DAB9D">
            <w:pPr>
              <w:jc w:val="center"/>
            </w:pPr>
            <w:r>
              <w:rPr>
                <w:rFonts w:ascii="宋体" w:hAnsi="宋体" w:eastAsia="宋体"/>
                <w:sz w:val="16"/>
              </w:rPr>
              <w:t>预算支出标准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556178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13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8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07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F7C8">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59D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A681A">
            <w:pPr>
              <w:jc w:val="center"/>
            </w:pPr>
          </w:p>
        </w:tc>
      </w:tr>
      <w:tr w14:paraId="7A7E8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85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9B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CBCC9"/>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62ECF40E">
            <w:pPr>
              <w:jc w:val="center"/>
            </w:pPr>
            <w:r>
              <w:rPr>
                <w:rFonts w:ascii="宋体" w:hAnsi="宋体" w:eastAsia="宋体"/>
                <w:sz w:val="16"/>
              </w:rPr>
              <w:t>新技术指导、宣传资料费、操作人员培训费（万元）</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29290A11">
            <w:pPr>
              <w:jc w:val="center"/>
            </w:pPr>
            <w:r>
              <w:rPr>
                <w:rFonts w:ascii="宋体" w:hAnsi="宋体" w:eastAsia="宋体"/>
                <w:sz w:val="16"/>
              </w:rPr>
              <w:t>&lt;=1.5万元</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C936ADB">
            <w:pPr>
              <w:jc w:val="center"/>
            </w:pPr>
            <w:r>
              <w:rPr>
                <w:rFonts w:ascii="宋体" w:hAnsi="宋体" w:eastAsia="宋体"/>
                <w:sz w:val="16"/>
              </w:rPr>
              <w:t>预算支出标准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61B2AA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99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3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1E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25F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24D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9EDD1">
            <w:pPr>
              <w:jc w:val="center"/>
            </w:pPr>
          </w:p>
        </w:tc>
      </w:tr>
      <w:tr w14:paraId="30608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13B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9D3A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5BA77">
            <w:pPr>
              <w:jc w:val="center"/>
            </w:pPr>
            <w:r>
              <w:rPr>
                <w:rFonts w:ascii="宋体" w:hAnsi="宋体" w:eastAsia="宋体"/>
                <w:sz w:val="16"/>
              </w:rPr>
              <w:t>社会效益指标</w:t>
            </w:r>
          </w:p>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1C465CD6">
            <w:pPr>
              <w:jc w:val="center"/>
            </w:pPr>
            <w:r>
              <w:rPr>
                <w:rFonts w:ascii="宋体" w:hAnsi="宋体" w:eastAsia="宋体"/>
                <w:sz w:val="16"/>
              </w:rPr>
              <w:t>提高机械化水平</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4FF7B654">
            <w:pPr>
              <w:jc w:val="center"/>
            </w:pPr>
            <w:r>
              <w:rPr>
                <w:rFonts w:ascii="宋体" w:hAnsi="宋体" w:eastAsia="宋体"/>
                <w:sz w:val="16"/>
              </w:rPr>
              <w:t>有所提升</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743B107E">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194064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7D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201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95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DAC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F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49CB">
            <w:pPr>
              <w:jc w:val="center"/>
            </w:pPr>
          </w:p>
        </w:tc>
      </w:tr>
      <w:tr w14:paraId="3BED2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80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A0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CE3FA"/>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3D436A6B">
            <w:pPr>
              <w:jc w:val="center"/>
            </w:pPr>
            <w:r>
              <w:rPr>
                <w:rFonts w:ascii="宋体" w:hAnsi="宋体" w:eastAsia="宋体"/>
                <w:sz w:val="16"/>
              </w:rPr>
              <w:t>葡萄藤枝利用程度</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5F484BC7">
            <w:pPr>
              <w:jc w:val="center"/>
            </w:pPr>
            <w:r>
              <w:rPr>
                <w:rFonts w:ascii="宋体" w:hAnsi="宋体" w:eastAsia="宋体"/>
                <w:sz w:val="16"/>
              </w:rPr>
              <w:t>有所提升</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7505564C">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6E3EBC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B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0D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A6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B3F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36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98FC0">
            <w:pPr>
              <w:jc w:val="center"/>
            </w:pPr>
          </w:p>
        </w:tc>
      </w:tr>
      <w:tr w14:paraId="736A4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6F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5A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C178">
            <w:pPr>
              <w:jc w:val="center"/>
            </w:pPr>
            <w:r>
              <w:rPr>
                <w:rFonts w:ascii="宋体" w:hAnsi="宋体" w:eastAsia="宋体"/>
                <w:sz w:val="16"/>
              </w:rPr>
              <w:t>满意度指标</w:t>
            </w:r>
          </w:p>
        </w:tc>
        <w:tc>
          <w:tcPr>
            <w:tcW w:w="907" w:type="dxa"/>
            <w:tcBorders>
              <w:top w:val="single" w:color="auto" w:sz="10" w:space="0"/>
              <w:left w:val="single" w:color="auto" w:sz="10" w:space="0"/>
              <w:bottom w:val="single" w:color="auto" w:sz="10" w:space="0"/>
              <w:right w:val="single" w:color="auto" w:sz="10" w:space="0"/>
              <w:insideV w:val="single" w:sz="10" w:space="0"/>
            </w:tcBorders>
            <w:vAlign w:val="center"/>
          </w:tcPr>
          <w:p w14:paraId="71E80B0E">
            <w:pPr>
              <w:jc w:val="center"/>
            </w:pPr>
            <w:r>
              <w:rPr>
                <w:rFonts w:ascii="宋体" w:hAnsi="宋体" w:eastAsia="宋体"/>
                <w:sz w:val="16"/>
              </w:rPr>
              <w:t>群众满意度（%）</w:t>
            </w:r>
          </w:p>
        </w:tc>
        <w:tc>
          <w:tcPr>
            <w:tcW w:w="552" w:type="dxa"/>
            <w:tcBorders>
              <w:top w:val="single" w:color="auto" w:sz="10" w:space="0"/>
              <w:left w:val="single" w:color="auto" w:sz="10" w:space="0"/>
              <w:bottom w:val="single" w:color="auto" w:sz="10" w:space="0"/>
              <w:right w:val="single" w:color="auto" w:sz="10" w:space="0"/>
              <w:insideV w:val="single" w:sz="10" w:space="0"/>
            </w:tcBorders>
            <w:vAlign w:val="center"/>
          </w:tcPr>
          <w:p w14:paraId="2D688D00">
            <w:pPr>
              <w:jc w:val="center"/>
            </w:pPr>
            <w:r>
              <w:rPr>
                <w:rFonts w:ascii="宋体" w:hAnsi="宋体" w:eastAsia="宋体"/>
                <w:sz w:val="16"/>
              </w:rPr>
              <w:t>&gt;=90%</w:t>
            </w:r>
          </w:p>
        </w:tc>
        <w:tc>
          <w:tcPr>
            <w:tcW w:w="731" w:type="dxa"/>
            <w:tcBorders>
              <w:top w:val="single" w:color="auto" w:sz="10" w:space="0"/>
              <w:left w:val="single" w:color="auto" w:sz="10" w:space="0"/>
              <w:bottom w:val="single" w:color="auto" w:sz="10" w:space="0"/>
              <w:right w:val="single" w:color="auto" w:sz="10" w:space="0"/>
              <w:insideV w:val="single" w:sz="10" w:space="0"/>
            </w:tcBorders>
            <w:vAlign w:val="center"/>
          </w:tcPr>
          <w:p w14:paraId="6B3555F3">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2C666A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A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9B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2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2CD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D0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C3F2">
            <w:pPr>
              <w:jc w:val="center"/>
            </w:pPr>
          </w:p>
        </w:tc>
      </w:tr>
      <w:tr w14:paraId="5691FA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566B">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18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435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F880F">
            <w:pPr>
              <w:jc w:val="center"/>
            </w:pPr>
            <w:r>
              <w:rPr>
                <w:rFonts w:ascii="宋体" w:hAnsi="宋体" w:eastAsia="宋体"/>
                <w:sz w:val="16"/>
              </w:rPr>
              <w:t>100分</w:t>
            </w:r>
          </w:p>
        </w:tc>
      </w:tr>
    </w:tbl>
    <w:p w14:paraId="07D761D2">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811"/>
        <w:gridCol w:w="581"/>
        <w:gridCol w:w="632"/>
        <w:gridCol w:w="696"/>
        <w:gridCol w:w="632"/>
        <w:gridCol w:w="632"/>
        <w:gridCol w:w="632"/>
        <w:gridCol w:w="632"/>
        <w:gridCol w:w="632"/>
        <w:gridCol w:w="632"/>
        <w:gridCol w:w="632"/>
      </w:tblGrid>
      <w:tr w14:paraId="4FBD9885">
        <w:tblPrEx>
          <w:tblCellMar>
            <w:top w:w="0" w:type="dxa"/>
            <w:left w:w="108" w:type="dxa"/>
            <w:bottom w:w="0" w:type="dxa"/>
            <w:right w:w="108" w:type="dxa"/>
          </w:tblCellMar>
        </w:tblPrEx>
        <w:tc>
          <w:tcPr>
            <w:tcW w:w="9040" w:type="dxa"/>
            <w:gridSpan w:val="14"/>
            <w:vAlign w:val="center"/>
          </w:tcPr>
          <w:p w14:paraId="1074E61F">
            <w:pPr>
              <w:jc w:val="center"/>
            </w:pPr>
            <w:r>
              <w:rPr>
                <w:rFonts w:ascii="宋体" w:hAnsi="宋体" w:eastAsia="宋体"/>
                <w:sz w:val="24"/>
              </w:rPr>
              <w:t>项目支出绩效自评表</w:t>
            </w:r>
          </w:p>
        </w:tc>
      </w:tr>
      <w:tr w14:paraId="5AB51017">
        <w:tblPrEx>
          <w:tblCellMar>
            <w:top w:w="0" w:type="dxa"/>
            <w:left w:w="108" w:type="dxa"/>
            <w:bottom w:w="0" w:type="dxa"/>
            <w:right w:w="108" w:type="dxa"/>
          </w:tblCellMar>
        </w:tblPrEx>
        <w:tc>
          <w:tcPr>
            <w:tcW w:w="9040" w:type="dxa"/>
            <w:gridSpan w:val="14"/>
            <w:vAlign w:val="center"/>
          </w:tcPr>
          <w:p w14:paraId="30904EBB">
            <w:pPr>
              <w:jc w:val="center"/>
            </w:pPr>
            <w:r>
              <w:rPr>
                <w:rFonts w:ascii="宋体" w:hAnsi="宋体" w:eastAsia="宋体"/>
                <w:sz w:val="24"/>
              </w:rPr>
              <w:t>(2024年度)</w:t>
            </w:r>
          </w:p>
        </w:tc>
      </w:tr>
      <w:tr w14:paraId="59E2FC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CB4C2">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0D7C64">
            <w:pPr>
              <w:jc w:val="center"/>
            </w:pPr>
            <w:r>
              <w:rPr>
                <w:rFonts w:ascii="宋体" w:hAnsi="宋体" w:eastAsia="宋体"/>
                <w:sz w:val="16"/>
              </w:rPr>
              <w:t>为民办实事和第一书记工作经费</w:t>
            </w:r>
          </w:p>
        </w:tc>
      </w:tr>
      <w:tr w14:paraId="74D471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335F">
            <w:pPr>
              <w:jc w:val="center"/>
            </w:pPr>
            <w:r>
              <w:rPr>
                <w:rFonts w:ascii="宋体" w:hAnsi="宋体" w:eastAsia="宋体"/>
                <w:sz w:val="16"/>
              </w:rPr>
              <w:t>主管部门</w:t>
            </w:r>
          </w:p>
        </w:tc>
        <w:tc>
          <w:tcPr>
            <w:tcW w:w="46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D3CCA">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3A5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FAE46">
            <w:pPr>
              <w:jc w:val="center"/>
            </w:pPr>
            <w:r>
              <w:rPr>
                <w:rFonts w:ascii="宋体" w:hAnsi="宋体" w:eastAsia="宋体"/>
                <w:sz w:val="16"/>
              </w:rPr>
              <w:t>克孜勒苏柯尔克孜自治州农业农村机械化发展中心</w:t>
            </w:r>
          </w:p>
        </w:tc>
      </w:tr>
      <w:tr w14:paraId="509EAB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39A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BEF42">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53B5F">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21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BEE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279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0C6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65F9">
            <w:pPr>
              <w:jc w:val="center"/>
            </w:pPr>
            <w:r>
              <w:rPr>
                <w:rFonts w:ascii="宋体" w:hAnsi="宋体" w:eastAsia="宋体"/>
                <w:sz w:val="16"/>
              </w:rPr>
              <w:t>得分</w:t>
            </w:r>
          </w:p>
        </w:tc>
      </w:tr>
      <w:tr w14:paraId="37AB8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1E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2522E">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3FDEB">
            <w:pPr>
              <w:jc w:val="center"/>
            </w:pPr>
            <w:r>
              <w:rPr>
                <w:rFonts w:ascii="宋体" w:hAnsi="宋体" w:eastAsia="宋体"/>
                <w:sz w:val="16"/>
              </w:rPr>
              <w:t>17.00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7823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C41E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01F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5782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7B92">
            <w:pPr>
              <w:jc w:val="center"/>
            </w:pPr>
            <w:r>
              <w:rPr>
                <w:rFonts w:ascii="宋体" w:hAnsi="宋体" w:eastAsia="宋体"/>
                <w:sz w:val="16"/>
              </w:rPr>
              <w:t>10.00分</w:t>
            </w:r>
          </w:p>
        </w:tc>
      </w:tr>
      <w:tr w14:paraId="39CB5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AF6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FA0EC">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9629D">
            <w:pPr>
              <w:jc w:val="center"/>
            </w:pPr>
            <w:r>
              <w:rPr>
                <w:rFonts w:ascii="宋体" w:hAnsi="宋体" w:eastAsia="宋体"/>
                <w:sz w:val="16"/>
              </w:rPr>
              <w:t>17.00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BFB7">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EE9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4DE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37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7207">
            <w:pPr>
              <w:jc w:val="center"/>
            </w:pPr>
            <w:r>
              <w:rPr>
                <w:rFonts w:ascii="宋体" w:hAnsi="宋体" w:eastAsia="宋体"/>
                <w:sz w:val="16"/>
              </w:rPr>
              <w:t>—</w:t>
            </w:r>
          </w:p>
        </w:tc>
      </w:tr>
      <w:tr w14:paraId="24133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88E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16C72">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49F2">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9BD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05E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BD7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72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216C9">
            <w:pPr>
              <w:jc w:val="center"/>
            </w:pPr>
            <w:r>
              <w:rPr>
                <w:rFonts w:ascii="宋体" w:hAnsi="宋体" w:eastAsia="宋体"/>
                <w:sz w:val="16"/>
              </w:rPr>
              <w:t>—</w:t>
            </w:r>
          </w:p>
        </w:tc>
      </w:tr>
      <w:tr w14:paraId="04FF39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40899">
            <w:pPr>
              <w:jc w:val="center"/>
            </w:pPr>
            <w:r>
              <w:rPr>
                <w:rFonts w:ascii="宋体" w:hAnsi="宋体" w:eastAsia="宋体"/>
                <w:sz w:val="16"/>
              </w:rPr>
              <w:t>三、目标完成情况</w:t>
            </w:r>
          </w:p>
        </w:tc>
        <w:tc>
          <w:tcPr>
            <w:tcW w:w="46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A1C9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CC50F">
            <w:pPr>
              <w:jc w:val="center"/>
            </w:pPr>
            <w:r>
              <w:rPr>
                <w:rFonts w:ascii="宋体" w:hAnsi="宋体" w:eastAsia="宋体"/>
                <w:sz w:val="16"/>
              </w:rPr>
              <w:t>实际完成情况</w:t>
            </w:r>
          </w:p>
        </w:tc>
      </w:tr>
      <w:tr w14:paraId="54D9F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457E4"/>
        </w:tc>
        <w:tc>
          <w:tcPr>
            <w:tcW w:w="46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A5E3E">
            <w:pPr>
              <w:jc w:val="both"/>
            </w:pPr>
            <w:r>
              <w:rPr>
                <w:rFonts w:ascii="宋体" w:hAnsi="宋体" w:eastAsia="宋体"/>
                <w:sz w:val="16"/>
              </w:rPr>
              <w:t>该项目资金投入总额17万元，其中：财政资金17万元、其他资金0万元，联合带领阿克陶县巴仁乡墩巴格</w:t>
            </w:r>
            <w:r>
              <w:rPr>
                <w:rFonts w:hint="eastAsia" w:ascii="宋体" w:hAnsi="宋体"/>
                <w:sz w:val="16"/>
                <w:lang w:eastAsia="zh-CN"/>
              </w:rPr>
              <w:t>村“两委”班子</w:t>
            </w:r>
            <w:r>
              <w:rPr>
                <w:rFonts w:ascii="宋体" w:hAnsi="宋体" w:eastAsia="宋体"/>
                <w:sz w:val="16"/>
              </w:rPr>
              <w:t>充分发挥优势，加强乡村振兴工作，通过深入基层，解决生产生活中的实际困难，加强民族团结、增进民族互信，突出现代文化引领，落实民生建设任务，增强农牧民收入，关心关爱困难群众。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D85BBB">
            <w:pPr>
              <w:jc w:val="both"/>
            </w:pPr>
            <w:r>
              <w:rPr>
                <w:rFonts w:ascii="宋体" w:hAnsi="宋体" w:eastAsia="宋体"/>
                <w:sz w:val="16"/>
              </w:rPr>
              <w:t>截至2024年12月31日，已完成：保障开展群众工作</w:t>
            </w:r>
            <w:r>
              <w:rPr>
                <w:rFonts w:hint="eastAsia" w:ascii="宋体" w:hAnsi="宋体"/>
                <w:sz w:val="16"/>
                <w:lang w:eastAsia="zh-CN"/>
              </w:rPr>
              <w:t>为民办实事</w:t>
            </w:r>
            <w:r>
              <w:rPr>
                <w:rFonts w:ascii="宋体" w:hAnsi="宋体" w:eastAsia="宋体"/>
                <w:sz w:val="16"/>
              </w:rPr>
              <w:t>点1个，新建涵洞、大棚数量2次,群众活动及走访慰问总次数11次,加强基层建设8次，通过该项目实施，联合带领阿克陶县巴仁乡墩巴格</w:t>
            </w:r>
            <w:r>
              <w:rPr>
                <w:rFonts w:hint="eastAsia" w:ascii="宋体" w:hAnsi="宋体"/>
                <w:sz w:val="16"/>
                <w:lang w:eastAsia="zh-CN"/>
              </w:rPr>
              <w:t>村“两委”班子</w:t>
            </w:r>
            <w:r>
              <w:rPr>
                <w:rFonts w:ascii="宋体" w:hAnsi="宋体" w:eastAsia="宋体"/>
                <w:sz w:val="16"/>
              </w:rPr>
              <w:t>充分发挥优势，加强乡村振兴工作，深入基层，解决生产生活中的实际困难，加强民族团结、增进民族互信，突出现代文化引领，落实民生建设任务，增强农牧民收入，关心关爱困难群众。</w:t>
            </w:r>
          </w:p>
        </w:tc>
      </w:tr>
      <w:tr w14:paraId="389E92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963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3E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4600">
            <w:pPr>
              <w:jc w:val="center"/>
            </w:pPr>
            <w:r>
              <w:rPr>
                <w:rFonts w:ascii="宋体" w:hAnsi="宋体" w:eastAsia="宋体"/>
                <w:sz w:val="16"/>
              </w:rPr>
              <w:t>二级指标</w:t>
            </w:r>
          </w:p>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0DE0E169">
            <w:pPr>
              <w:jc w:val="center"/>
            </w:pPr>
            <w:r>
              <w:rPr>
                <w:rFonts w:ascii="宋体" w:hAnsi="宋体" w:eastAsia="宋体"/>
                <w:sz w:val="16"/>
              </w:rPr>
              <w:t>三级指标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6282B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91EE">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A0A2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28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EA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6D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C89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78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78A55">
            <w:pPr>
              <w:jc w:val="center"/>
            </w:pPr>
            <w:r>
              <w:rPr>
                <w:rFonts w:ascii="宋体" w:hAnsi="宋体" w:eastAsia="宋体"/>
                <w:sz w:val="16"/>
              </w:rPr>
              <w:t>偏差原因分析及改进措施</w:t>
            </w:r>
          </w:p>
        </w:tc>
      </w:tr>
      <w:tr w14:paraId="09214B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563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52FC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2C873">
            <w:pPr>
              <w:jc w:val="center"/>
            </w:pPr>
            <w:r>
              <w:rPr>
                <w:rFonts w:ascii="宋体" w:hAnsi="宋体" w:eastAsia="宋体"/>
                <w:sz w:val="16"/>
              </w:rPr>
              <w:t>数量指标</w:t>
            </w:r>
          </w:p>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04665A43">
            <w:pPr>
              <w:jc w:val="center"/>
            </w:pPr>
            <w:r>
              <w:rPr>
                <w:rFonts w:ascii="宋体" w:hAnsi="宋体" w:eastAsia="宋体"/>
                <w:sz w:val="16"/>
              </w:rPr>
              <w:t>保障开展群众工作</w:t>
            </w:r>
            <w:r>
              <w:rPr>
                <w:rFonts w:hint="eastAsia" w:ascii="宋体" w:hAnsi="宋体"/>
                <w:sz w:val="16"/>
                <w:lang w:eastAsia="zh-CN"/>
              </w:rPr>
              <w:t>为民办实事</w:t>
            </w:r>
            <w:r>
              <w:rPr>
                <w:rFonts w:ascii="宋体" w:hAnsi="宋体" w:eastAsia="宋体"/>
                <w:sz w:val="16"/>
              </w:rPr>
              <w:t>点（个）</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575828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9683">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04246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3B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AD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BD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37F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AD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54CCD">
            <w:pPr>
              <w:jc w:val="center"/>
            </w:pPr>
          </w:p>
        </w:tc>
      </w:tr>
      <w:tr w14:paraId="71B3D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B8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F8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14B3A"/>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11F4BF1F">
            <w:pPr>
              <w:jc w:val="center"/>
            </w:pPr>
            <w:r>
              <w:rPr>
                <w:rFonts w:ascii="宋体" w:hAnsi="宋体" w:eastAsia="宋体"/>
                <w:sz w:val="16"/>
              </w:rPr>
              <w:t>新建涵洞、大棚数量（次）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0D8151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4CD6">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6B9EB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77C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1F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75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C58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A0D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E57E">
            <w:pPr>
              <w:jc w:val="center"/>
            </w:pPr>
          </w:p>
        </w:tc>
      </w:tr>
      <w:tr w14:paraId="56D2B8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F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BB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E002"/>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2EED797C">
            <w:pPr>
              <w:jc w:val="center"/>
            </w:pPr>
            <w:r>
              <w:rPr>
                <w:rFonts w:ascii="宋体" w:hAnsi="宋体" w:eastAsia="宋体"/>
                <w:sz w:val="16"/>
              </w:rPr>
              <w:t>群众活动及走访慰问总次数（次）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EBBE6FE">
            <w:pPr>
              <w:jc w:val="center"/>
            </w:pPr>
            <w:r>
              <w:rPr>
                <w:rFonts w:ascii="宋体" w:hAnsi="宋体" w:eastAsia="宋体"/>
                <w:sz w:val="16"/>
              </w:rPr>
              <w:t>&gt;=11次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C780">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1EAE90">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47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7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AE6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6F89">
            <w:pPr>
              <w:jc w:val="center"/>
            </w:pPr>
            <w:r>
              <w:rPr>
                <w:rFonts w:ascii="宋体" w:hAnsi="宋体" w:eastAsia="宋体"/>
                <w:sz w:val="16"/>
              </w:rPr>
              <w:t>=11次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164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C1C6">
            <w:pPr>
              <w:jc w:val="center"/>
            </w:pPr>
          </w:p>
        </w:tc>
      </w:tr>
      <w:tr w14:paraId="0DEEA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6A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8A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42CFC"/>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28809890">
            <w:pPr>
              <w:jc w:val="center"/>
            </w:pPr>
            <w:r>
              <w:rPr>
                <w:rFonts w:ascii="宋体" w:hAnsi="宋体" w:eastAsia="宋体"/>
                <w:sz w:val="16"/>
              </w:rPr>
              <w:t>加强基层建设经费（万元）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D78A7C1">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943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861A9B">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53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F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F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464D">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779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3A9F">
            <w:pPr>
              <w:jc w:val="center"/>
            </w:pPr>
          </w:p>
        </w:tc>
      </w:tr>
      <w:tr w14:paraId="2D2CD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72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9B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7B74">
            <w:pPr>
              <w:jc w:val="center"/>
            </w:pPr>
            <w:r>
              <w:rPr>
                <w:rFonts w:ascii="宋体" w:hAnsi="宋体" w:eastAsia="宋体"/>
                <w:sz w:val="16"/>
              </w:rPr>
              <w:t>质量指标</w:t>
            </w:r>
          </w:p>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4538B788">
            <w:pPr>
              <w:jc w:val="center"/>
            </w:pPr>
            <w:r>
              <w:rPr>
                <w:rFonts w:ascii="宋体" w:hAnsi="宋体" w:eastAsia="宋体"/>
                <w:sz w:val="16"/>
              </w:rPr>
              <w:t>完善设施验收合格率（%）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88C6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25B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777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88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50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B9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C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035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BA20C">
            <w:pPr>
              <w:jc w:val="center"/>
            </w:pPr>
          </w:p>
        </w:tc>
      </w:tr>
      <w:tr w14:paraId="4DADF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F6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39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85F2">
            <w:pPr>
              <w:jc w:val="center"/>
            </w:pPr>
            <w:r>
              <w:rPr>
                <w:rFonts w:ascii="宋体" w:hAnsi="宋体" w:eastAsia="宋体"/>
                <w:sz w:val="16"/>
              </w:rPr>
              <w:t>时效指标</w:t>
            </w:r>
          </w:p>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06B3720E">
            <w:pPr>
              <w:jc w:val="center"/>
            </w:pPr>
            <w:r>
              <w:rPr>
                <w:rFonts w:ascii="宋体" w:hAnsi="宋体" w:eastAsia="宋体"/>
                <w:sz w:val="16"/>
              </w:rPr>
              <w:t>慰问活动开展及时率（%）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06EA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BF9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FB7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4E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A26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2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E3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FCB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56F0">
            <w:pPr>
              <w:jc w:val="center"/>
            </w:pPr>
          </w:p>
        </w:tc>
      </w:tr>
      <w:tr w14:paraId="0CEA8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8B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8B69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A18C3">
            <w:pPr>
              <w:jc w:val="center"/>
            </w:pPr>
            <w:r>
              <w:rPr>
                <w:rFonts w:ascii="宋体" w:hAnsi="宋体" w:eastAsia="宋体"/>
                <w:sz w:val="16"/>
              </w:rPr>
              <w:t>经济成本指标</w:t>
            </w:r>
          </w:p>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0BE1F2F7">
            <w:pPr>
              <w:jc w:val="center"/>
            </w:pPr>
            <w:r>
              <w:rPr>
                <w:rFonts w:ascii="宋体" w:hAnsi="宋体" w:eastAsia="宋体"/>
                <w:sz w:val="16"/>
              </w:rPr>
              <w:t>解决群众实际困难经费（万元）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5EEC0A8">
            <w:pPr>
              <w:jc w:val="center"/>
            </w:pPr>
            <w:r>
              <w:rPr>
                <w:rFonts w:ascii="宋体" w:hAnsi="宋体" w:eastAsia="宋体"/>
                <w:sz w:val="16"/>
              </w:rPr>
              <w:t>&lt;=9.5万元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6744">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81325F">
            <w:pPr>
              <w:jc w:val="center"/>
            </w:pPr>
            <w:r>
              <w:rPr>
                <w:rFonts w:ascii="宋体" w:hAnsi="宋体" w:eastAsia="宋体"/>
                <w:sz w:val="16"/>
              </w:rPr>
              <w:t>&lt;=7.10万元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C5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F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28A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9731">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BA6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D04BA">
            <w:pPr>
              <w:jc w:val="center"/>
            </w:pPr>
          </w:p>
        </w:tc>
      </w:tr>
      <w:tr w14:paraId="6C2DC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C7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DF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8BC3A"/>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0F27A276">
            <w:pPr>
              <w:jc w:val="center"/>
            </w:pPr>
            <w:r>
              <w:rPr>
                <w:rFonts w:ascii="宋体" w:hAnsi="宋体" w:eastAsia="宋体"/>
                <w:sz w:val="16"/>
              </w:rPr>
              <w:t>走访慰问经费（万元）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5801972">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5B78">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7AA594">
            <w:pPr>
              <w:jc w:val="center"/>
            </w:pPr>
            <w:r>
              <w:rPr>
                <w:rFonts w:ascii="宋体" w:hAnsi="宋体" w:eastAsia="宋体"/>
                <w:sz w:val="16"/>
              </w:rPr>
              <w:t>&lt;=5.76万元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75D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C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E8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EEF6">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683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DAFC8">
            <w:pPr>
              <w:jc w:val="center"/>
            </w:pPr>
          </w:p>
        </w:tc>
      </w:tr>
      <w:tr w14:paraId="630D8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6C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C95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5A344"/>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027B3411">
            <w:pPr>
              <w:jc w:val="center"/>
            </w:pPr>
            <w:r>
              <w:rPr>
                <w:rFonts w:ascii="宋体" w:hAnsi="宋体" w:eastAsia="宋体"/>
                <w:sz w:val="16"/>
              </w:rPr>
              <w:t>新建涵洞、大棚（万元）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519CFBD">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66D2">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E76BF0">
            <w:pPr>
              <w:jc w:val="center"/>
            </w:pPr>
            <w:r>
              <w:rPr>
                <w:rFonts w:ascii="宋体" w:hAnsi="宋体" w:eastAsia="宋体"/>
                <w:sz w:val="16"/>
              </w:rPr>
              <w:t>&lt;=4.14万元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D3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1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BE7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A88B">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2D8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92FB2">
            <w:pPr>
              <w:jc w:val="center"/>
            </w:pPr>
          </w:p>
        </w:tc>
      </w:tr>
      <w:tr w14:paraId="050AB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DD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089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FECE">
            <w:pPr>
              <w:jc w:val="center"/>
            </w:pPr>
            <w:r>
              <w:rPr>
                <w:rFonts w:ascii="宋体" w:hAnsi="宋体" w:eastAsia="宋体"/>
                <w:sz w:val="16"/>
              </w:rPr>
              <w:t>社会效益指标</w:t>
            </w:r>
          </w:p>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4F1F7905">
            <w:pPr>
              <w:jc w:val="center"/>
            </w:pPr>
            <w:r>
              <w:rPr>
                <w:rFonts w:ascii="宋体" w:hAnsi="宋体" w:eastAsia="宋体"/>
                <w:sz w:val="16"/>
              </w:rPr>
              <w:t>提升公共服务能力</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B36A39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66E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2EA03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AB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5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7A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27D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21D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CFA73">
            <w:pPr>
              <w:jc w:val="center"/>
            </w:pPr>
          </w:p>
        </w:tc>
      </w:tr>
      <w:tr w14:paraId="6FB31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EC0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0CC1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7FFED">
            <w:pPr>
              <w:jc w:val="center"/>
            </w:pPr>
            <w:r>
              <w:rPr>
                <w:rFonts w:ascii="宋体" w:hAnsi="宋体" w:eastAsia="宋体"/>
                <w:sz w:val="16"/>
              </w:rPr>
              <w:t>满意度指标</w:t>
            </w:r>
          </w:p>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41C4F2C0">
            <w:pPr>
              <w:jc w:val="center"/>
            </w:pPr>
            <w:r>
              <w:rPr>
                <w:rFonts w:ascii="宋体" w:hAnsi="宋体" w:eastAsia="宋体"/>
                <w:sz w:val="16"/>
              </w:rPr>
              <w:t>受益工作人员满意度（%）</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F997F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9FC1">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859A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57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3C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3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6A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A5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9387D">
            <w:pPr>
              <w:jc w:val="center"/>
            </w:pPr>
          </w:p>
        </w:tc>
      </w:tr>
      <w:tr w14:paraId="2ED20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E8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2D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A1829"/>
        </w:tc>
        <w:tc>
          <w:tcPr>
            <w:tcW w:w="811" w:type="dxa"/>
            <w:tcBorders>
              <w:top w:val="single" w:color="auto" w:sz="10" w:space="0"/>
              <w:left w:val="single" w:color="auto" w:sz="10" w:space="0"/>
              <w:bottom w:val="single" w:color="auto" w:sz="10" w:space="0"/>
              <w:right w:val="single" w:color="auto" w:sz="10" w:space="0"/>
              <w:insideV w:val="single" w:sz="10" w:space="0"/>
            </w:tcBorders>
            <w:vAlign w:val="center"/>
          </w:tcPr>
          <w:p w14:paraId="35489F2A">
            <w:pPr>
              <w:jc w:val="center"/>
            </w:pPr>
            <w:r>
              <w:rPr>
                <w:rFonts w:ascii="宋体" w:hAnsi="宋体" w:eastAsia="宋体"/>
                <w:sz w:val="16"/>
              </w:rPr>
              <w:t>受益群众满意度（%）</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3CD81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6F0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02C0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3D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E4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11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74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2A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54AA4">
            <w:pPr>
              <w:jc w:val="center"/>
            </w:pPr>
          </w:p>
        </w:tc>
      </w:tr>
      <w:tr w14:paraId="70AC99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8F22">
            <w:pPr>
              <w:jc w:val="center"/>
            </w:pPr>
            <w:r>
              <w:rPr>
                <w:rFonts w:ascii="宋体" w:hAnsi="宋体" w:eastAsia="宋体"/>
                <w:sz w:val="16"/>
              </w:rPr>
              <w:t>总分</w:t>
            </w:r>
          </w:p>
        </w:tc>
        <w:tc>
          <w:tcPr>
            <w:tcW w:w="46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679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979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93CE51">
            <w:pPr>
              <w:jc w:val="center"/>
            </w:pPr>
            <w:r>
              <w:rPr>
                <w:rFonts w:ascii="宋体" w:hAnsi="宋体" w:eastAsia="宋体"/>
                <w:sz w:val="16"/>
              </w:rPr>
              <w:t>100分</w:t>
            </w:r>
          </w:p>
        </w:tc>
      </w:tr>
    </w:tbl>
    <w:p w14:paraId="6BC68AD8">
      <w:r>
        <w:br w:type="page"/>
      </w:r>
    </w:p>
    <w:p w14:paraId="5E0320FF">
      <w:pPr>
        <w:spacing w:line="640" w:lineRule="exact"/>
        <w:ind w:firstLine="640"/>
        <w:jc w:val="both"/>
        <w:outlineLvl w:val="2"/>
      </w:pPr>
      <w:r>
        <w:rPr>
          <w:rFonts w:ascii="黑体" w:hAnsi="黑体" w:eastAsia="黑体"/>
          <w:sz w:val="32"/>
        </w:rPr>
        <w:t>十二、其他需说明的事项</w:t>
      </w:r>
    </w:p>
    <w:p w14:paraId="7C8156D8">
      <w:pPr>
        <w:spacing w:line="580" w:lineRule="exact"/>
        <w:ind w:firstLine="640"/>
        <w:jc w:val="both"/>
      </w:pPr>
      <w:r>
        <w:rPr>
          <w:rFonts w:ascii="仿宋_GB2312" w:hAnsi="仿宋_GB2312" w:eastAsia="仿宋_GB2312"/>
          <w:b w:val="0"/>
          <w:sz w:val="32"/>
        </w:rPr>
        <w:t>本单位无其他需说明的事项。</w:t>
      </w:r>
    </w:p>
    <w:p w14:paraId="01C8E0B2">
      <w:r>
        <w:br w:type="page"/>
      </w:r>
    </w:p>
    <w:p w14:paraId="4AD2E4DF">
      <w:pPr>
        <w:spacing w:line="240" w:lineRule="auto"/>
        <w:jc w:val="center"/>
        <w:outlineLvl w:val="1"/>
      </w:pPr>
      <w:r>
        <w:rPr>
          <w:rFonts w:ascii="黑体" w:hAnsi="黑体" w:eastAsia="黑体"/>
          <w:sz w:val="32"/>
        </w:rPr>
        <w:t>第三部分 专业名词解释</w:t>
      </w:r>
    </w:p>
    <w:p w14:paraId="55937E2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6E563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3B3F7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76322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21D3CF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2CE14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36F704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82DA7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4D51A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72E75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517202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E3931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5184A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B62A6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71BC8B">
      <w:r>
        <w:br w:type="page"/>
      </w:r>
    </w:p>
    <w:p w14:paraId="39E5AFB9">
      <w:pPr>
        <w:spacing w:line="240" w:lineRule="auto"/>
        <w:jc w:val="center"/>
        <w:outlineLvl w:val="1"/>
      </w:pPr>
      <w:r>
        <w:rPr>
          <w:rFonts w:ascii="黑体" w:hAnsi="黑体" w:eastAsia="黑体"/>
          <w:sz w:val="32"/>
        </w:rPr>
        <w:t>第四部分 部门决算报表（见附表）</w:t>
      </w:r>
    </w:p>
    <w:p w14:paraId="5AE443DF">
      <w:pPr>
        <w:spacing w:line="240" w:lineRule="auto"/>
        <w:ind w:firstLine="640"/>
        <w:jc w:val="both"/>
      </w:pPr>
      <w:r>
        <w:rPr>
          <w:rFonts w:ascii="仿宋_GB2312" w:hAnsi="仿宋_GB2312" w:eastAsia="仿宋_GB2312"/>
          <w:b w:val="0"/>
          <w:sz w:val="32"/>
        </w:rPr>
        <w:t>一、《收入支出决算总表》</w:t>
      </w:r>
    </w:p>
    <w:p w14:paraId="77A02090">
      <w:pPr>
        <w:spacing w:line="240" w:lineRule="auto"/>
        <w:ind w:firstLine="640"/>
        <w:jc w:val="both"/>
      </w:pPr>
      <w:r>
        <w:rPr>
          <w:rFonts w:ascii="仿宋_GB2312" w:hAnsi="仿宋_GB2312" w:eastAsia="仿宋_GB2312"/>
          <w:b w:val="0"/>
          <w:sz w:val="32"/>
        </w:rPr>
        <w:t>二、《收入决算表》</w:t>
      </w:r>
    </w:p>
    <w:p w14:paraId="1FF41260">
      <w:pPr>
        <w:spacing w:line="240" w:lineRule="auto"/>
        <w:ind w:firstLine="640"/>
        <w:jc w:val="both"/>
      </w:pPr>
      <w:r>
        <w:rPr>
          <w:rFonts w:ascii="仿宋_GB2312" w:hAnsi="仿宋_GB2312" w:eastAsia="仿宋_GB2312"/>
          <w:b w:val="0"/>
          <w:sz w:val="32"/>
        </w:rPr>
        <w:t>三、《支出决算表》</w:t>
      </w:r>
    </w:p>
    <w:p w14:paraId="797A45E5">
      <w:pPr>
        <w:spacing w:line="240" w:lineRule="auto"/>
        <w:ind w:firstLine="640"/>
        <w:jc w:val="both"/>
      </w:pPr>
      <w:r>
        <w:rPr>
          <w:rFonts w:ascii="仿宋_GB2312" w:hAnsi="仿宋_GB2312" w:eastAsia="仿宋_GB2312"/>
          <w:b w:val="0"/>
          <w:sz w:val="32"/>
        </w:rPr>
        <w:t>四、《财政拨款收入支出决算总表》</w:t>
      </w:r>
    </w:p>
    <w:p w14:paraId="2AFAC389">
      <w:pPr>
        <w:spacing w:line="240" w:lineRule="auto"/>
        <w:ind w:firstLine="640"/>
        <w:jc w:val="both"/>
      </w:pPr>
      <w:r>
        <w:rPr>
          <w:rFonts w:ascii="仿宋_GB2312" w:hAnsi="仿宋_GB2312" w:eastAsia="仿宋_GB2312"/>
          <w:b w:val="0"/>
          <w:sz w:val="32"/>
        </w:rPr>
        <w:t>五、《一般公共预算财政拨款支出决算表》</w:t>
      </w:r>
    </w:p>
    <w:p w14:paraId="48D92158">
      <w:pPr>
        <w:spacing w:line="240" w:lineRule="auto"/>
        <w:ind w:firstLine="640"/>
        <w:jc w:val="both"/>
      </w:pPr>
      <w:r>
        <w:rPr>
          <w:rFonts w:ascii="仿宋_GB2312" w:hAnsi="仿宋_GB2312" w:eastAsia="仿宋_GB2312"/>
          <w:b w:val="0"/>
          <w:sz w:val="32"/>
        </w:rPr>
        <w:t>六、《一般公共预算财政拨款基本支出决算表》</w:t>
      </w:r>
    </w:p>
    <w:p w14:paraId="209B9042">
      <w:pPr>
        <w:spacing w:line="240" w:lineRule="auto"/>
        <w:ind w:firstLine="640"/>
        <w:jc w:val="both"/>
      </w:pPr>
      <w:r>
        <w:rPr>
          <w:rFonts w:ascii="仿宋_GB2312" w:hAnsi="仿宋_GB2312" w:eastAsia="仿宋_GB2312"/>
          <w:b w:val="0"/>
          <w:sz w:val="32"/>
        </w:rPr>
        <w:t>七、《政府性基金预算财政拨款收入支出决算表》</w:t>
      </w:r>
    </w:p>
    <w:p w14:paraId="072763FF">
      <w:pPr>
        <w:spacing w:line="240" w:lineRule="auto"/>
        <w:ind w:firstLine="640"/>
        <w:jc w:val="both"/>
      </w:pPr>
      <w:r>
        <w:rPr>
          <w:rFonts w:ascii="仿宋_GB2312" w:hAnsi="仿宋_GB2312" w:eastAsia="仿宋_GB2312"/>
          <w:b w:val="0"/>
          <w:sz w:val="32"/>
        </w:rPr>
        <w:t>八、《国有资本经营预算财政拨款收入支出决算表》</w:t>
      </w:r>
    </w:p>
    <w:p w14:paraId="7C34D659">
      <w:pPr>
        <w:spacing w:line="240" w:lineRule="auto"/>
        <w:ind w:firstLine="640"/>
        <w:jc w:val="both"/>
      </w:pPr>
      <w:r>
        <w:rPr>
          <w:rFonts w:ascii="仿宋_GB2312" w:hAnsi="仿宋_GB2312" w:eastAsia="仿宋_GB2312"/>
          <w:b w:val="0"/>
          <w:sz w:val="32"/>
        </w:rPr>
        <w:t>九、《财政拨款“三公”经费支出决算表》</w:t>
      </w:r>
    </w:p>
    <w:p w14:paraId="721B7D35">
      <w:pPr>
        <w:spacing w:line="240" w:lineRule="auto"/>
        <w:ind w:firstLine="640"/>
        <w:jc w:val="both"/>
      </w:pPr>
    </w:p>
    <w:p w14:paraId="76139071">
      <w:pPr>
        <w:spacing w:line="240" w:lineRule="auto"/>
        <w:ind w:firstLine="640"/>
        <w:jc w:val="both"/>
      </w:pPr>
    </w:p>
    <w:p w14:paraId="14DF6E68">
      <w:pPr>
        <w:spacing w:line="240" w:lineRule="auto"/>
        <w:ind w:firstLine="640"/>
        <w:jc w:val="both"/>
      </w:pPr>
    </w:p>
    <w:p w14:paraId="6F961859">
      <w:pPr>
        <w:spacing w:line="240" w:lineRule="auto"/>
        <w:ind w:firstLine="640"/>
        <w:jc w:val="both"/>
      </w:pPr>
    </w:p>
    <w:p w14:paraId="22BB7A6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F1209B"/>
    <w:rsid w:val="2FD27414"/>
    <w:rsid w:val="3124183A"/>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5455</Words>
  <Characters>6302</Characters>
  <Lines>0</Lines>
  <Paragraphs>0</Paragraphs>
  <TotalTime>6</TotalTime>
  <ScaleCrop>false</ScaleCrop>
  <LinksUpToDate>false</LinksUpToDate>
  <CharactersWithSpaces>6310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2025-09-02T04:46:39Z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