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克孜勒苏柯尔克孜自治州卫生健康综合监督执法局2024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A85C0E">
      <w:r>
        <w:br w:type="page"/>
      </w:r>
    </w:p>
    <w:p w14:paraId="1ED2441A">
      <w:pPr>
        <w:spacing w:line="640" w:lineRule="exact"/>
        <w:jc w:val="center"/>
        <w:outlineLvl w:val="1"/>
      </w:pPr>
      <w:r>
        <w:rPr>
          <w:rFonts w:ascii="黑体" w:hAnsi="黑体" w:eastAsia="黑体"/>
          <w:sz w:val="32"/>
        </w:rPr>
        <w:t>第一部分 单位概况</w:t>
      </w:r>
    </w:p>
    <w:p w14:paraId="289FA53A">
      <w:pPr>
        <w:spacing w:line="640" w:lineRule="exact"/>
        <w:ind w:firstLine="640"/>
        <w:jc w:val="both"/>
        <w:outlineLvl w:val="2"/>
      </w:pPr>
      <w:r>
        <w:rPr>
          <w:rFonts w:ascii="黑体" w:hAnsi="黑体" w:eastAsia="黑体"/>
          <w:sz w:val="32"/>
        </w:rPr>
        <w:t>一、主要职能</w:t>
      </w:r>
    </w:p>
    <w:p w14:paraId="7CA9280D">
      <w:pPr>
        <w:spacing w:line="580" w:lineRule="exact"/>
        <w:ind w:firstLine="640"/>
        <w:jc w:val="both"/>
      </w:pPr>
      <w:r>
        <w:rPr>
          <w:rFonts w:ascii="仿宋_GB2312" w:hAnsi="仿宋_GB2312" w:eastAsia="仿宋_GB2312"/>
          <w:sz w:val="32"/>
        </w:rPr>
        <w:t>(一)承担供水单位和公共场所等卫生条件的卫生行政许可的受理、初审工作。</w:t>
      </w:r>
    </w:p>
    <w:p w14:paraId="316EFFA5">
      <w:pPr>
        <w:spacing w:line="580" w:lineRule="exact"/>
        <w:ind w:firstLine="640"/>
        <w:jc w:val="both"/>
      </w:pPr>
      <w:r>
        <w:rPr>
          <w:rFonts w:ascii="仿宋_GB2312" w:hAnsi="仿宋_GB2312" w:eastAsia="仿宋_GB2312"/>
          <w:sz w:val="32"/>
        </w:rPr>
        <w:t>(二)负责对消毒产品、生活饮用水、涉及饮用水卫生安全产品及其他健康相关产品的卫生及其生产经营活动进行卫生监督检查，查处违法行为。</w:t>
      </w:r>
    </w:p>
    <w:p w14:paraId="3698FCB7">
      <w:pPr>
        <w:spacing w:line="580" w:lineRule="exact"/>
        <w:ind w:firstLine="640"/>
        <w:jc w:val="both"/>
      </w:pPr>
      <w:r>
        <w:rPr>
          <w:rFonts w:ascii="仿宋_GB2312" w:hAnsi="仿宋_GB2312" w:eastAsia="仿宋_GB2312"/>
          <w:sz w:val="32"/>
        </w:rPr>
        <w:t>(三)负责对公共场所的卫生条件及其从业人员的健康管理进行卫生监督检查，查处违法行为。</w:t>
      </w:r>
    </w:p>
    <w:p w14:paraId="241D60E8">
      <w:pPr>
        <w:spacing w:line="580" w:lineRule="exact"/>
        <w:ind w:firstLine="640"/>
        <w:jc w:val="both"/>
      </w:pPr>
      <w:r>
        <w:rPr>
          <w:rFonts w:ascii="仿宋_GB2312" w:hAnsi="仿宋_GB2312" w:eastAsia="仿宋_GB2312"/>
          <w:sz w:val="32"/>
        </w:rPr>
        <w:t>(四)负责对医疗机构的执业资格、执业范围及其医务人员的执业资格、执业注册进行监督检查，规范医疗服务行为，打击非法行医。</w:t>
      </w:r>
    </w:p>
    <w:p w14:paraId="5272A493">
      <w:pPr>
        <w:spacing w:line="580" w:lineRule="exact"/>
        <w:ind w:firstLine="640"/>
        <w:jc w:val="both"/>
      </w:pPr>
      <w:r>
        <w:rPr>
          <w:rFonts w:ascii="仿宋_GB2312" w:hAnsi="仿宋_GB2312" w:eastAsia="仿宋_GB2312"/>
          <w:sz w:val="32"/>
        </w:rPr>
        <w:t>(五)负责对医疗机构与采供血机构的传染病</w:t>
      </w:r>
      <w:r>
        <w:rPr>
          <w:rFonts w:hint="eastAsia" w:ascii="仿宋_GB2312" w:hAnsi="仿宋_GB2312" w:eastAsia="仿宋_GB2312"/>
          <w:sz w:val="32"/>
          <w:lang w:eastAsia="zh-CN"/>
        </w:rPr>
        <w:t>YQ</w:t>
      </w:r>
      <w:r>
        <w:rPr>
          <w:rFonts w:ascii="仿宋_GB2312" w:hAnsi="仿宋_GB2312" w:eastAsia="仿宋_GB2312"/>
          <w:sz w:val="32"/>
        </w:rPr>
        <w:t>报告、</w:t>
      </w:r>
      <w:r>
        <w:rPr>
          <w:rFonts w:hint="eastAsia" w:ascii="仿宋_GB2312" w:hAnsi="仿宋_GB2312" w:eastAsia="仿宋_GB2312"/>
          <w:sz w:val="32"/>
          <w:lang w:eastAsia="zh-CN"/>
        </w:rPr>
        <w:t>YQ</w:t>
      </w:r>
      <w:r>
        <w:rPr>
          <w:rFonts w:ascii="仿宋_GB2312" w:hAnsi="仿宋_GB2312" w:eastAsia="仿宋_GB2312"/>
          <w:sz w:val="32"/>
        </w:rPr>
        <w:t>控制措施、消毒隔离制度执行情况和医疗废物处置情况进行监督检查，查处违法行为。</w:t>
      </w:r>
    </w:p>
    <w:p w14:paraId="6F959E0C">
      <w:pPr>
        <w:spacing w:line="580" w:lineRule="exact"/>
        <w:ind w:firstLine="640"/>
        <w:jc w:val="both"/>
      </w:pPr>
      <w:r>
        <w:rPr>
          <w:rFonts w:ascii="仿宋_GB2312" w:hAnsi="仿宋_GB2312" w:eastAsia="仿宋_GB2312"/>
          <w:sz w:val="32"/>
        </w:rPr>
        <w:t>(六)负责对采供血机构的执业资格、执业范围、采供血活动及其从业人员的资格进行监督检查，打击非法采供血行为。</w:t>
      </w:r>
    </w:p>
    <w:p w14:paraId="1CBA3C85">
      <w:pPr>
        <w:spacing w:line="580" w:lineRule="exact"/>
        <w:ind w:firstLine="640"/>
        <w:jc w:val="both"/>
      </w:pPr>
      <w:r>
        <w:rPr>
          <w:rFonts w:ascii="仿宋_GB2312" w:hAnsi="仿宋_GB2312" w:eastAsia="仿宋_GB2312"/>
          <w:sz w:val="32"/>
        </w:rPr>
        <w:t>(七)负责全州卫生监督信息的收集、核实和上报；开展卫生法律法规宣传教育，受理违法行为的投诉、举报。</w:t>
      </w:r>
    </w:p>
    <w:p w14:paraId="541FC679">
      <w:pPr>
        <w:spacing w:line="580" w:lineRule="exact"/>
        <w:ind w:firstLine="640"/>
        <w:jc w:val="both"/>
      </w:pPr>
      <w:r>
        <w:rPr>
          <w:rFonts w:ascii="仿宋_GB2312" w:hAnsi="仿宋_GB2312" w:eastAsia="仿宋_GB2312"/>
          <w:sz w:val="32"/>
        </w:rPr>
        <w:t>(八)承办卫生行政主管部门交办的其他事项。</w:t>
      </w:r>
    </w:p>
    <w:p w14:paraId="4411D79D">
      <w:pPr>
        <w:spacing w:line="640" w:lineRule="exact"/>
        <w:ind w:firstLine="640"/>
        <w:jc w:val="both"/>
        <w:outlineLvl w:val="2"/>
      </w:pPr>
      <w:r>
        <w:rPr>
          <w:rFonts w:ascii="黑体" w:hAnsi="黑体" w:eastAsia="黑体"/>
          <w:sz w:val="32"/>
        </w:rPr>
        <w:t>二、机构设置及人员情况</w:t>
      </w:r>
    </w:p>
    <w:p w14:paraId="313683F4">
      <w:pPr>
        <w:spacing w:line="580" w:lineRule="exact"/>
        <w:ind w:firstLine="640"/>
        <w:jc w:val="both"/>
      </w:pPr>
      <w:r>
        <w:rPr>
          <w:rFonts w:ascii="仿宋_GB2312" w:hAnsi="仿宋_GB2312" w:eastAsia="仿宋_GB2312"/>
          <w:sz w:val="32"/>
        </w:rPr>
        <w:t>克孜勒苏柯尔克孜自治州卫生健康综合监督执法局2024年度，实有人数11人，其中：在职人员5人，增加1人；离休人员0人，增加0人；退休人员6人,增加1人。</w:t>
      </w:r>
    </w:p>
    <w:p w14:paraId="190D66C0">
      <w:pPr>
        <w:spacing w:line="580" w:lineRule="exact"/>
        <w:ind w:firstLine="640"/>
        <w:jc w:val="both"/>
      </w:pPr>
      <w:r>
        <w:rPr>
          <w:rFonts w:ascii="仿宋_GB2312" w:hAnsi="仿宋_GB2312" w:eastAsia="仿宋_GB2312"/>
          <w:sz w:val="32"/>
        </w:rPr>
        <w:t>克孜勒苏柯尔克孜自治州卫生健康综合监督执法局无下属预算单位，下设2个科室，分别是：综合科、监督执法科。</w:t>
      </w:r>
    </w:p>
    <w:p w14:paraId="0804CD66">
      <w:r>
        <w:br w:type="page"/>
      </w:r>
    </w:p>
    <w:p w14:paraId="28099F15">
      <w:pPr>
        <w:spacing w:line="240" w:lineRule="auto"/>
        <w:jc w:val="center"/>
        <w:outlineLvl w:val="1"/>
      </w:pPr>
      <w:r>
        <w:rPr>
          <w:rFonts w:ascii="黑体" w:hAnsi="黑体" w:eastAsia="黑体"/>
          <w:sz w:val="32"/>
        </w:rPr>
        <w:t>第二部分 部门决算情况说明</w:t>
      </w:r>
    </w:p>
    <w:p w14:paraId="1C6DE58B">
      <w:pPr>
        <w:spacing w:line="640" w:lineRule="exact"/>
        <w:ind w:firstLine="640"/>
        <w:jc w:val="both"/>
        <w:outlineLvl w:val="2"/>
      </w:pPr>
      <w:r>
        <w:rPr>
          <w:rFonts w:ascii="黑体" w:hAnsi="黑体" w:eastAsia="黑体"/>
          <w:sz w:val="32"/>
        </w:rPr>
        <w:t>一、收入支出决算总体情况说明</w:t>
      </w:r>
    </w:p>
    <w:p w14:paraId="653D6094">
      <w:pPr>
        <w:spacing w:line="580" w:lineRule="exact"/>
        <w:ind w:firstLine="640"/>
        <w:jc w:val="both"/>
      </w:pPr>
      <w:r>
        <w:rPr>
          <w:rFonts w:ascii="仿宋_GB2312" w:hAnsi="仿宋_GB2312" w:eastAsia="仿宋_GB2312"/>
          <w:b/>
          <w:sz w:val="32"/>
        </w:rPr>
        <w:t>2024年度收入总计116.66万元，</w:t>
      </w:r>
      <w:r>
        <w:rPr>
          <w:rFonts w:ascii="仿宋_GB2312" w:hAnsi="仿宋_GB2312" w:eastAsia="仿宋_GB2312"/>
          <w:b w:val="0"/>
          <w:sz w:val="32"/>
        </w:rPr>
        <w:t>其中：本年收入合计116.63万元，使用非财政拨款结余（含专用结余）0.00万元，年初结转和结余0.03万元。</w:t>
      </w:r>
    </w:p>
    <w:p w14:paraId="4D502A94">
      <w:pPr>
        <w:spacing w:line="580" w:lineRule="exact"/>
        <w:ind w:firstLine="640"/>
        <w:jc w:val="both"/>
      </w:pPr>
      <w:r>
        <w:rPr>
          <w:rFonts w:ascii="仿宋_GB2312" w:hAnsi="仿宋_GB2312" w:eastAsia="仿宋_GB2312"/>
          <w:b/>
          <w:sz w:val="32"/>
        </w:rPr>
        <w:t>2024年度支出总计116.66万元，</w:t>
      </w:r>
      <w:r>
        <w:rPr>
          <w:rFonts w:ascii="仿宋_GB2312" w:hAnsi="仿宋_GB2312" w:eastAsia="仿宋_GB2312"/>
          <w:b w:val="0"/>
          <w:sz w:val="32"/>
        </w:rPr>
        <w:t>其中：本年支出合计116.63万元，结余分配0.00万元，年末结转和结余0.03万元。</w:t>
      </w:r>
    </w:p>
    <w:p w14:paraId="66C84F45">
      <w:pPr>
        <w:spacing w:line="580" w:lineRule="exact"/>
        <w:ind w:firstLine="640"/>
        <w:jc w:val="both"/>
      </w:pPr>
      <w:r>
        <w:rPr>
          <w:rFonts w:ascii="仿宋_GB2312" w:hAnsi="仿宋_GB2312" w:eastAsia="仿宋_GB2312"/>
          <w:b w:val="0"/>
          <w:sz w:val="32"/>
        </w:rPr>
        <w:t>收入支出总体与上年相比，减少16.51万元，下降12.40%，主要原因是：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本年中央基本公共卫生服务资金减少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二是退休人员较上年减少，职业年金缴费减少</w:t>
      </w:r>
      <w:r>
        <w:rPr>
          <w:rFonts w:ascii="仿宋_GB2312" w:hAnsi="仿宋_GB2312" w:eastAsia="仿宋_GB2312"/>
          <w:b w:val="0"/>
          <w:sz w:val="32"/>
        </w:rPr>
        <w:t>。</w:t>
      </w:r>
    </w:p>
    <w:p w14:paraId="1B195369">
      <w:pPr>
        <w:spacing w:line="640" w:lineRule="exact"/>
        <w:ind w:firstLine="640"/>
        <w:jc w:val="both"/>
        <w:outlineLvl w:val="2"/>
      </w:pPr>
      <w:r>
        <w:rPr>
          <w:rFonts w:ascii="黑体" w:hAnsi="黑体" w:eastAsia="黑体"/>
          <w:sz w:val="32"/>
        </w:rPr>
        <w:t>二、收入决算情况说明</w:t>
      </w:r>
    </w:p>
    <w:p w14:paraId="3CA28CA8">
      <w:pPr>
        <w:spacing w:line="580" w:lineRule="exact"/>
        <w:ind w:firstLine="640"/>
        <w:jc w:val="both"/>
      </w:pPr>
      <w:r>
        <w:rPr>
          <w:rFonts w:ascii="仿宋_GB2312" w:hAnsi="仿宋_GB2312" w:eastAsia="仿宋_GB2312"/>
          <w:b/>
          <w:sz w:val="32"/>
        </w:rPr>
        <w:t>本年收入116.63万元，</w:t>
      </w:r>
      <w:r>
        <w:rPr>
          <w:rFonts w:ascii="仿宋_GB2312" w:hAnsi="仿宋_GB2312" w:eastAsia="仿宋_GB2312"/>
          <w:b w:val="0"/>
          <w:sz w:val="32"/>
        </w:rPr>
        <w:t>其中：财政拨款收入116.63万元，占100.00%；上级补助收入0.00万元，占0.00%；事业收入0.00万元，占0.00%；经营收入0.00万元，占0.00%；附属单位上缴收入0.00万元，占0.00%；其他收入0.00万元，占0.00%。</w:t>
      </w:r>
    </w:p>
    <w:p w14:paraId="57B890E9">
      <w:pPr>
        <w:spacing w:line="640" w:lineRule="exact"/>
        <w:ind w:firstLine="640"/>
        <w:jc w:val="both"/>
        <w:outlineLvl w:val="2"/>
      </w:pPr>
      <w:r>
        <w:rPr>
          <w:rFonts w:ascii="黑体" w:hAnsi="黑体" w:eastAsia="黑体"/>
          <w:sz w:val="32"/>
        </w:rPr>
        <w:t>三、支出决算情况说明</w:t>
      </w:r>
    </w:p>
    <w:p w14:paraId="4ADCCF4E">
      <w:pPr>
        <w:spacing w:line="580" w:lineRule="exact"/>
        <w:ind w:firstLine="640"/>
        <w:jc w:val="both"/>
      </w:pPr>
      <w:r>
        <w:rPr>
          <w:rFonts w:ascii="仿宋_GB2312" w:hAnsi="仿宋_GB2312" w:eastAsia="仿宋_GB2312"/>
          <w:b/>
          <w:sz w:val="32"/>
        </w:rPr>
        <w:t>本年支出116.63万元，</w:t>
      </w:r>
      <w:r>
        <w:rPr>
          <w:rFonts w:ascii="仿宋_GB2312" w:hAnsi="仿宋_GB2312" w:eastAsia="仿宋_GB2312"/>
          <w:b w:val="0"/>
          <w:sz w:val="32"/>
        </w:rPr>
        <w:t>其中：基本支出109.45万元，占93.84%；项目支出7.18万元，占6.16%；上缴上级支出0.00万元，占0.00%；经营支出0.00万元，占0.00%；对附属单位补助支出0.00万元，占0.00%。</w:t>
      </w:r>
    </w:p>
    <w:p w14:paraId="17FC6BCE">
      <w:pPr>
        <w:spacing w:line="640" w:lineRule="exact"/>
        <w:ind w:firstLine="640"/>
        <w:jc w:val="both"/>
        <w:outlineLvl w:val="2"/>
      </w:pPr>
      <w:r>
        <w:rPr>
          <w:rFonts w:ascii="黑体" w:hAnsi="黑体" w:eastAsia="黑体"/>
          <w:sz w:val="32"/>
        </w:rPr>
        <w:t>四、财政拨款收入支出决算总体情况说明</w:t>
      </w:r>
    </w:p>
    <w:p w14:paraId="3E4C8B07">
      <w:pPr>
        <w:spacing w:line="580" w:lineRule="exact"/>
        <w:ind w:firstLine="640"/>
        <w:jc w:val="both"/>
      </w:pPr>
      <w:r>
        <w:rPr>
          <w:rFonts w:ascii="仿宋_GB2312" w:hAnsi="仿宋_GB2312" w:eastAsia="仿宋_GB2312"/>
          <w:b/>
          <w:sz w:val="32"/>
        </w:rPr>
        <w:t>2024年度财政拨款收入总计116.63万元，</w:t>
      </w:r>
      <w:r>
        <w:rPr>
          <w:rFonts w:ascii="仿宋_GB2312" w:hAnsi="仿宋_GB2312" w:eastAsia="仿宋_GB2312"/>
          <w:b w:val="0"/>
          <w:sz w:val="32"/>
        </w:rPr>
        <w:t>其中：年初财政拨款结转和结余0.00万元，本年财政拨款收入116.63万元。</w:t>
      </w:r>
      <w:r>
        <w:rPr>
          <w:rFonts w:ascii="仿宋_GB2312" w:hAnsi="仿宋_GB2312" w:eastAsia="仿宋_GB2312"/>
          <w:b/>
          <w:sz w:val="32"/>
        </w:rPr>
        <w:t>财政拨款支出总计116.63万元，</w:t>
      </w:r>
      <w:r>
        <w:rPr>
          <w:rFonts w:ascii="仿宋_GB2312" w:hAnsi="仿宋_GB2312" w:eastAsia="仿宋_GB2312"/>
          <w:b w:val="0"/>
          <w:sz w:val="32"/>
        </w:rPr>
        <w:t>其中：年末财政拨款结转和结余0.00万元，本年财政拨款支出116.63万元。</w:t>
      </w:r>
    </w:p>
    <w:p w14:paraId="551EAC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减少14.22万元，下降10.87%，主要原因是：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本年中央基本公共卫生服务资金减少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二是退休人员较上年减少，职业年金缴费减少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年初预算数93.18万元，决算数116.63万元，预决算差异率25.17%，主要原因是：年中追加人员工资、社保、公积金基数调增部分资金，追加见习生就业补贴项目，导致预决算存在差异。</w:t>
      </w:r>
    </w:p>
    <w:p w14:paraId="52BA34CF">
      <w:pPr>
        <w:spacing w:line="640" w:lineRule="exact"/>
        <w:ind w:firstLine="640"/>
        <w:jc w:val="both"/>
        <w:outlineLvl w:val="2"/>
      </w:pPr>
      <w:r>
        <w:rPr>
          <w:rFonts w:ascii="黑体" w:hAnsi="黑体" w:eastAsia="黑体"/>
          <w:sz w:val="32"/>
        </w:rPr>
        <w:t>五、一般公共预算财政拨款支出决算情况说明</w:t>
      </w:r>
    </w:p>
    <w:p w14:paraId="47862AB9">
      <w:pPr>
        <w:spacing w:line="640" w:lineRule="exact"/>
        <w:ind w:firstLine="640"/>
        <w:jc w:val="both"/>
        <w:outlineLvl w:val="3"/>
      </w:pPr>
      <w:r>
        <w:rPr>
          <w:rFonts w:ascii="楷体_GB2312" w:hAnsi="楷体_GB2312" w:eastAsia="楷体_GB2312"/>
          <w:b/>
          <w:sz w:val="32"/>
        </w:rPr>
        <w:t>（一）一般公共预算财政拨款支出决算总体情况</w:t>
      </w:r>
    </w:p>
    <w:p w14:paraId="248D2224">
      <w:pPr>
        <w:spacing w:line="580" w:lineRule="exact"/>
        <w:ind w:firstLine="640"/>
        <w:jc w:val="both"/>
      </w:pPr>
      <w:r>
        <w:rPr>
          <w:rFonts w:ascii="仿宋_GB2312" w:hAnsi="仿宋_GB2312" w:eastAsia="仿宋_GB2312"/>
          <w:b/>
          <w:sz w:val="32"/>
        </w:rPr>
        <w:t>2024年度一般公共预算财政拨款支出116.63万元，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减少14.22万元，下降10.87%，主要原因是：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本年中央基本公共卫生服务资金减少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二是退休人员较上年减少，职业年金缴费减少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年初预算数93.18万元，决算数116.63万元，预决算差异率25.17%，主要原因是：年中追加人员工资、社保、公积金基数调增部分资金，追加见习生就业补贴项目，导致预决算存在差异。</w:t>
      </w:r>
    </w:p>
    <w:p w14:paraId="6CAC019F">
      <w:pPr>
        <w:spacing w:line="640" w:lineRule="exact"/>
        <w:ind w:firstLine="640"/>
        <w:jc w:val="both"/>
        <w:outlineLvl w:val="3"/>
      </w:pPr>
      <w:r>
        <w:rPr>
          <w:rFonts w:ascii="楷体_GB2312" w:hAnsi="楷体_GB2312" w:eastAsia="楷体_GB2312"/>
          <w:b/>
          <w:sz w:val="32"/>
        </w:rPr>
        <w:t>（二）一般公共预算财政拨款支出决算结构情况</w:t>
      </w:r>
    </w:p>
    <w:p w14:paraId="0CF14D9C">
      <w:pPr>
        <w:spacing w:line="580" w:lineRule="exact"/>
        <w:ind w:firstLine="640"/>
        <w:jc w:val="both"/>
      </w:pPr>
      <w:r>
        <w:rPr>
          <w:rFonts w:ascii="仿宋_GB2312" w:hAnsi="仿宋_GB2312" w:eastAsia="仿宋_GB2312"/>
          <w:b w:val="0"/>
          <w:sz w:val="32"/>
        </w:rPr>
        <w:t>1.社会保障和就业支出(类)20.33万元,占17.43%。</w:t>
      </w:r>
    </w:p>
    <w:p w14:paraId="1488E998">
      <w:pPr>
        <w:spacing w:line="580" w:lineRule="exact"/>
        <w:ind w:firstLine="640"/>
        <w:jc w:val="both"/>
      </w:pPr>
      <w:r>
        <w:rPr>
          <w:rFonts w:ascii="仿宋_GB2312" w:hAnsi="仿宋_GB2312" w:eastAsia="仿宋_GB2312"/>
          <w:b w:val="0"/>
          <w:sz w:val="32"/>
        </w:rPr>
        <w:t>2.卫生健康支出(类)96.30万元,占82.57%。</w:t>
      </w:r>
    </w:p>
    <w:p w14:paraId="53E0B682">
      <w:pPr>
        <w:spacing w:line="640" w:lineRule="exact"/>
        <w:ind w:firstLine="640"/>
        <w:jc w:val="both"/>
        <w:outlineLvl w:val="3"/>
      </w:pPr>
      <w:r>
        <w:rPr>
          <w:rFonts w:ascii="楷体_GB2312" w:hAnsi="楷体_GB2312" w:eastAsia="楷体_GB2312"/>
          <w:b/>
          <w:sz w:val="32"/>
        </w:rPr>
        <w:t>（三）一般公共预算财政拨款支出决算具体情况</w:t>
      </w:r>
    </w:p>
    <w:p w14:paraId="32E16673">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9.23万元，比上年决算增加0.54万元，增长6.21%,主要原因是：本年在职人员工资基数调增，养老缴费基数上涨，相应支出增加。</w:t>
      </w:r>
    </w:p>
    <w:p w14:paraId="7B3792A4">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6.70万元，比上年决算减少12.16万元，下降64.48%,主要原因是：本年新增退休人员较上年减少，职业年金缴费较上年减少。</w:t>
      </w:r>
    </w:p>
    <w:p w14:paraId="4CDCFC23">
      <w:pPr>
        <w:spacing w:line="580" w:lineRule="exact"/>
        <w:ind w:firstLine="640"/>
        <w:jc w:val="both"/>
      </w:pPr>
      <w:r>
        <w:rPr>
          <w:rFonts w:ascii="仿宋_GB2312" w:hAnsi="仿宋_GB2312" w:eastAsia="仿宋_GB2312"/>
          <w:b w:val="0"/>
          <w:sz w:val="32"/>
        </w:rPr>
        <w:t>3.社会保障和就业支出(类)就业补助(款)就业见习补贴(项):支出决算数为4.40万元，比上年决算增加4.40万元，增长100.00%,主要原因是：本年新增见习生就业补贴项目。</w:t>
      </w:r>
    </w:p>
    <w:p w14:paraId="1C3D607C">
      <w:pPr>
        <w:spacing w:line="580" w:lineRule="exact"/>
        <w:ind w:firstLine="640"/>
        <w:jc w:val="both"/>
      </w:pPr>
      <w:r>
        <w:rPr>
          <w:rFonts w:ascii="仿宋_GB2312" w:hAnsi="仿宋_GB2312" w:eastAsia="仿宋_GB2312"/>
          <w:b w:val="0"/>
          <w:sz w:val="32"/>
        </w:rPr>
        <w:t>4.卫生健康支出(类)公共卫生(款)卫生监督机构(项):支出决算数为93.52万元，比上年决算减少4.65万元，下降4.74%,主要原因是：本年人员调入调出，职级不同、工资基数不同，相关人员经费减少。</w:t>
      </w:r>
    </w:p>
    <w:p w14:paraId="36058448">
      <w:pPr>
        <w:spacing w:line="580" w:lineRule="exact"/>
        <w:ind w:firstLine="640"/>
        <w:jc w:val="both"/>
      </w:pPr>
      <w:r>
        <w:rPr>
          <w:rFonts w:ascii="仿宋_GB2312" w:hAnsi="仿宋_GB2312" w:eastAsia="仿宋_GB2312"/>
          <w:b w:val="0"/>
          <w:sz w:val="32"/>
        </w:rPr>
        <w:t>5.卫生健康支出(类)公共卫生(款)基本公共卫生服务(项):支出决算数为2.78万元，比上年决算减少2.34万元，下降45.70%,主要原因是：本年中央基本公共卫生服务资金减少。</w:t>
      </w:r>
    </w:p>
    <w:p w14:paraId="2151F794">
      <w:pPr>
        <w:spacing w:line="640" w:lineRule="exact"/>
        <w:ind w:firstLine="640"/>
        <w:jc w:val="both"/>
        <w:outlineLvl w:val="2"/>
      </w:pPr>
      <w:r>
        <w:rPr>
          <w:rFonts w:ascii="黑体" w:hAnsi="黑体" w:eastAsia="黑体"/>
          <w:sz w:val="32"/>
        </w:rPr>
        <w:t>六、一般公共预算财政拨款基本支出决算情况说明</w:t>
      </w:r>
    </w:p>
    <w:p w14:paraId="6EE161B1">
      <w:pPr>
        <w:spacing w:line="580" w:lineRule="exact"/>
        <w:ind w:firstLine="640"/>
        <w:jc w:val="both"/>
      </w:pPr>
      <w:r>
        <w:rPr>
          <w:rFonts w:ascii="仿宋_GB2312" w:hAnsi="仿宋_GB2312" w:eastAsia="仿宋_GB2312"/>
          <w:b w:val="0"/>
          <w:sz w:val="32"/>
        </w:rPr>
        <w:t>2024年度一般公共预算财政拨款基本支出109.45万元，其中：</w:t>
      </w:r>
      <w:r>
        <w:rPr>
          <w:rFonts w:ascii="仿宋_GB2312" w:hAnsi="仿宋_GB2312" w:eastAsia="仿宋_GB2312"/>
          <w:b/>
          <w:sz w:val="32"/>
        </w:rPr>
        <w:t>人员经费102.87万元，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包括：基本工资、津贴补贴、奖金、机关事业单位基本养老保险缴费、职业年金缴费、职工基本医疗保险缴费、其他社会保障缴费、住房公积金、退休费、奖励金。</w:t>
      </w:r>
    </w:p>
    <w:p w14:paraId="0C725646">
      <w:pPr>
        <w:spacing w:line="580" w:lineRule="exact"/>
        <w:ind w:firstLine="640"/>
        <w:jc w:val="both"/>
      </w:pPr>
      <w:r>
        <w:rPr>
          <w:rFonts w:ascii="仿宋_GB2312" w:hAnsi="仿宋_GB2312" w:eastAsia="仿宋_GB2312"/>
          <w:b/>
          <w:sz w:val="32"/>
        </w:rPr>
        <w:t>公用经费6.58万元，</w:t>
      </w:r>
      <w:r>
        <w:rPr>
          <w:rFonts w:ascii="仿宋_GB2312" w:hAnsi="仿宋_GB2312" w:eastAsia="仿宋_GB2312"/>
          <w:b w:val="0"/>
          <w:sz w:val="32"/>
        </w:rPr>
        <w:t>包括：办公费、邮电费、差旅费、工会经费、福利费、公务用车运行维护费、其他交通费用、其他商品和服务支出。</w:t>
      </w:r>
    </w:p>
    <w:p w14:paraId="26497306">
      <w:pPr>
        <w:spacing w:line="640" w:lineRule="exact"/>
        <w:ind w:firstLine="640"/>
        <w:jc w:val="both"/>
        <w:outlineLvl w:val="2"/>
      </w:pPr>
      <w:r>
        <w:rPr>
          <w:rFonts w:ascii="黑体" w:hAnsi="黑体" w:eastAsia="黑体"/>
          <w:sz w:val="32"/>
        </w:rPr>
        <w:t>七、政府性基金预算财政拨款收入支出决算情况说明</w:t>
      </w:r>
    </w:p>
    <w:p w14:paraId="5E00770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024EA1B">
      <w:pPr>
        <w:spacing w:line="640" w:lineRule="exact"/>
        <w:ind w:firstLine="640"/>
        <w:jc w:val="both"/>
        <w:outlineLvl w:val="2"/>
      </w:pPr>
      <w:r>
        <w:rPr>
          <w:rFonts w:ascii="黑体" w:hAnsi="黑体" w:eastAsia="黑体"/>
          <w:sz w:val="32"/>
        </w:rPr>
        <w:t>八、国有资本经营预算财政拨款收入支出决算情况说明</w:t>
      </w:r>
    </w:p>
    <w:p w14:paraId="5CD88C6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E087DAB">
      <w:pPr>
        <w:spacing w:line="640" w:lineRule="exact"/>
        <w:ind w:firstLine="640"/>
        <w:jc w:val="both"/>
        <w:outlineLvl w:val="2"/>
      </w:pPr>
      <w:r>
        <w:rPr>
          <w:rFonts w:ascii="黑体" w:hAnsi="黑体" w:eastAsia="黑体"/>
          <w:sz w:val="32"/>
        </w:rPr>
        <w:t>九、财政拨款“三公”经费支出决算情况说明</w:t>
      </w:r>
    </w:p>
    <w:p w14:paraId="1EB5CDB1">
      <w:pPr>
        <w:spacing w:line="580" w:lineRule="exact"/>
        <w:ind w:firstLine="640"/>
        <w:jc w:val="both"/>
      </w:pPr>
      <w:r>
        <w:rPr>
          <w:rFonts w:ascii="仿宋_GB2312" w:hAnsi="仿宋_GB2312" w:eastAsia="仿宋_GB2312"/>
          <w:b/>
          <w:sz w:val="32"/>
        </w:rPr>
        <w:t>2024年度财政拨款“三公”经费支出1.88万元，</w:t>
      </w:r>
      <w:r>
        <w:rPr>
          <w:rFonts w:ascii="仿宋_GB2312" w:hAnsi="仿宋_GB2312" w:eastAsia="仿宋_GB2312"/>
          <w:b w:val="0"/>
          <w:sz w:val="32"/>
        </w:rPr>
        <w:t>比上年增加0.88万元，增长88.00%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1.88万元，占100.00%，比上年增加0.88万元，增长88.00%，主要原因是：本单位公务用车日渐老化，维修维护成本增加，导致公务用车运行维护费较上年增加。公务接待费支出0.00万元，占0.00%，比上年增加0.00万元，增长0.00%，主要原因是：2023年与2024年均未安排公务接待费支出。</w:t>
      </w:r>
    </w:p>
    <w:p w14:paraId="11A89834">
      <w:pPr>
        <w:spacing w:line="580" w:lineRule="exact"/>
        <w:ind w:firstLine="640"/>
        <w:jc w:val="both"/>
      </w:pPr>
      <w:r>
        <w:rPr>
          <w:rFonts w:ascii="仿宋_GB2312" w:hAnsi="仿宋_GB2312" w:eastAsia="仿宋_GB2312"/>
          <w:b/>
          <w:sz w:val="32"/>
        </w:rPr>
        <w:t>具体情况如下：</w:t>
      </w:r>
    </w:p>
    <w:p w14:paraId="4649C4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40EACD">
      <w:pPr>
        <w:spacing w:line="580" w:lineRule="exact"/>
        <w:ind w:firstLine="640"/>
        <w:jc w:val="both"/>
      </w:pPr>
      <w:r>
        <w:rPr>
          <w:rFonts w:ascii="仿宋_GB2312" w:hAnsi="仿宋_GB2312" w:eastAsia="仿宋_GB2312"/>
          <w:b w:val="0"/>
          <w:sz w:val="32"/>
        </w:rPr>
        <w:t>公务用车购置及运行维护费1.88万元，其中：公务用车购置费0.00万元，公务用车运行维护费1.88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1815C6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8FF04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1.88万元，预决算差异率-6.00%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1.88万元，预决算差异率-6.00%，主要原因是：严格落实中央八项规定精神，厉行节约，减少经费支出。公务接待费全年预算数0.00万元，决算数0.00万元，预决算差异率0.00%，主要原因是：本单位无公务接待费。</w:t>
      </w:r>
    </w:p>
    <w:p w14:paraId="1C526206">
      <w:pPr>
        <w:spacing w:line="640" w:lineRule="exact"/>
        <w:ind w:firstLine="640"/>
        <w:jc w:val="both"/>
        <w:outlineLvl w:val="2"/>
      </w:pPr>
      <w:r>
        <w:rPr>
          <w:rFonts w:ascii="黑体" w:hAnsi="黑体" w:eastAsia="黑体"/>
          <w:sz w:val="32"/>
        </w:rPr>
        <w:t>十、其他重要事项的情况说明</w:t>
      </w:r>
    </w:p>
    <w:p w14:paraId="67EB7E7E">
      <w:pPr>
        <w:spacing w:line="640" w:lineRule="exact"/>
        <w:ind w:firstLine="640"/>
        <w:jc w:val="both"/>
        <w:outlineLvl w:val="3"/>
      </w:pPr>
      <w:r>
        <w:rPr>
          <w:rFonts w:ascii="楷体_GB2312" w:hAnsi="楷体_GB2312" w:eastAsia="楷体_GB2312"/>
          <w:b/>
          <w:sz w:val="32"/>
        </w:rPr>
        <w:t>（一）机关运行经费及公用经费支出情况</w:t>
      </w:r>
    </w:p>
    <w:p w14:paraId="21364E97">
      <w:pPr>
        <w:spacing w:line="580" w:lineRule="exact"/>
        <w:ind w:firstLine="640"/>
        <w:jc w:val="both"/>
      </w:pPr>
      <w:r>
        <w:rPr>
          <w:rFonts w:ascii="仿宋_GB2312" w:hAnsi="仿宋_GB2312" w:eastAsia="仿宋_GB2312"/>
          <w:b w:val="0"/>
          <w:sz w:val="32"/>
        </w:rPr>
        <w:t>2024年度克孜勒苏柯尔克孜自治州卫生健康综合监督执法局（行政单位和参照公务员法管理事业单位）机关运行经费支出6.58万元，比上年增加0.82万元，增长14.24%，主要原因是：本年更新、维护补充办公用品，导致机关运行经费较上年增加。</w:t>
      </w:r>
    </w:p>
    <w:p w14:paraId="4E2D3958">
      <w:pPr>
        <w:spacing w:line="640" w:lineRule="exact"/>
        <w:ind w:firstLine="640"/>
        <w:jc w:val="both"/>
        <w:outlineLvl w:val="3"/>
      </w:pPr>
      <w:r>
        <w:rPr>
          <w:rFonts w:ascii="楷体_GB2312" w:hAnsi="楷体_GB2312" w:eastAsia="楷体_GB2312"/>
          <w:b/>
          <w:sz w:val="32"/>
        </w:rPr>
        <w:t>（二）政府采购情况</w:t>
      </w:r>
    </w:p>
    <w:p w14:paraId="318DAA7C">
      <w:pPr>
        <w:spacing w:line="580" w:lineRule="exact"/>
        <w:ind w:firstLine="640"/>
        <w:jc w:val="both"/>
      </w:pPr>
      <w:r>
        <w:rPr>
          <w:rFonts w:ascii="仿宋_GB2312" w:hAnsi="仿宋_GB2312" w:eastAsia="仿宋_GB2312"/>
          <w:b w:val="0"/>
          <w:sz w:val="32"/>
        </w:rPr>
        <w:t>2024年度政府采购支出总额0.36万元，其中：政府采购货物支出0.00万元、政府采购工程支出0.00万元、政府采购服务支出0.36万元。</w:t>
      </w:r>
    </w:p>
    <w:p w14:paraId="6C82CF7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47E4B04">
      <w:pPr>
        <w:spacing w:line="640" w:lineRule="exact"/>
        <w:ind w:firstLine="640"/>
        <w:jc w:val="both"/>
        <w:outlineLvl w:val="3"/>
      </w:pPr>
      <w:r>
        <w:rPr>
          <w:rFonts w:ascii="楷体_GB2312" w:hAnsi="楷体_GB2312" w:eastAsia="楷体_GB2312"/>
          <w:b/>
          <w:sz w:val="32"/>
        </w:rPr>
        <w:t>（三）国有资产占用情况说明</w:t>
      </w:r>
    </w:p>
    <w:p w14:paraId="7DFAACA7">
      <w:pPr>
        <w:spacing w:line="580" w:lineRule="exact"/>
        <w:ind w:firstLine="640"/>
        <w:jc w:val="both"/>
      </w:pPr>
      <w:r>
        <w:rPr>
          <w:rFonts w:ascii="仿宋_GB2312" w:hAnsi="仿宋_GB2312" w:eastAsia="仿宋_GB2312"/>
          <w:b w:val="0"/>
          <w:sz w:val="32"/>
        </w:rPr>
        <w:t>截至2024年12月31日，房屋0.00平方米，价值0.00万元。车辆1辆，价值22.17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B8240C6">
      <w:pPr>
        <w:spacing w:line="640" w:lineRule="exact"/>
        <w:ind w:firstLine="640"/>
        <w:jc w:val="both"/>
        <w:outlineLvl w:val="2"/>
      </w:pPr>
      <w:r>
        <w:rPr>
          <w:rFonts w:ascii="黑体" w:hAnsi="黑体" w:eastAsia="黑体"/>
          <w:sz w:val="32"/>
        </w:rPr>
        <w:t>十一、预算绩效的情况说明</w:t>
      </w:r>
    </w:p>
    <w:p w14:paraId="76753FB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116.66万元，实际执行总额116.63万元；预算绩效评价项目5个，全年预算数9.18万元，全年执行数9.18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整体支出绩效自评表，项目支出绩效自评表和评价报告。</w:t>
      </w:r>
    </w:p>
    <w:p w14:paraId="2915472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C7EFC69">
        <w:tblPrEx>
          <w:tblCellMar>
            <w:top w:w="0" w:type="dxa"/>
            <w:left w:w="108" w:type="dxa"/>
            <w:bottom w:w="0" w:type="dxa"/>
            <w:right w:w="108" w:type="dxa"/>
          </w:tblCellMar>
        </w:tblPrEx>
        <w:tc>
          <w:tcPr>
            <w:tcW w:w="8840" w:type="dxa"/>
            <w:gridSpan w:val="8"/>
            <w:vAlign w:val="center"/>
          </w:tcPr>
          <w:p w14:paraId="5AC260C7">
            <w:pPr>
              <w:jc w:val="center"/>
            </w:pPr>
            <w:r>
              <w:rPr>
                <w:rFonts w:ascii="宋体" w:hAnsi="宋体" w:eastAsia="宋体"/>
                <w:sz w:val="24"/>
              </w:rPr>
              <w:t>单位整体支出绩效自评表</w:t>
            </w:r>
          </w:p>
        </w:tc>
      </w:tr>
      <w:tr w14:paraId="1AF6E765">
        <w:tblPrEx>
          <w:tblCellMar>
            <w:top w:w="0" w:type="dxa"/>
            <w:left w:w="108" w:type="dxa"/>
            <w:bottom w:w="0" w:type="dxa"/>
            <w:right w:w="108" w:type="dxa"/>
          </w:tblCellMar>
        </w:tblPrEx>
        <w:tc>
          <w:tcPr>
            <w:tcW w:w="8840" w:type="dxa"/>
            <w:gridSpan w:val="8"/>
            <w:vAlign w:val="center"/>
          </w:tcPr>
          <w:p w14:paraId="7A732957">
            <w:pPr>
              <w:jc w:val="center"/>
            </w:pPr>
            <w:r>
              <w:rPr>
                <w:rFonts w:ascii="宋体" w:hAnsi="宋体" w:eastAsia="宋体"/>
                <w:sz w:val="24"/>
              </w:rPr>
              <w:t>（2024年度）</w:t>
            </w:r>
          </w:p>
        </w:tc>
      </w:tr>
      <w:tr w14:paraId="1C56E7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9A32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F7B77">
            <w:pPr>
              <w:jc w:val="center"/>
            </w:pPr>
            <w:r>
              <w:rPr>
                <w:rFonts w:ascii="宋体" w:hAnsi="宋体" w:eastAsia="宋体"/>
                <w:sz w:val="16"/>
              </w:rPr>
              <w:t>克孜勒苏柯尔克孜自治州卫生健康综合监督执法局</w:t>
            </w:r>
          </w:p>
        </w:tc>
      </w:tr>
      <w:tr w14:paraId="20F41BA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2353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69F6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A7D8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3A55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B130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FFF1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73D4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6A041">
            <w:pPr>
              <w:jc w:val="center"/>
            </w:pPr>
            <w:r>
              <w:rPr>
                <w:rFonts w:ascii="宋体" w:hAnsi="宋体" w:eastAsia="宋体"/>
                <w:sz w:val="16"/>
              </w:rPr>
              <w:t>得分</w:t>
            </w:r>
          </w:p>
        </w:tc>
      </w:tr>
      <w:tr w14:paraId="1497EC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787B6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8CAB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A73C8">
            <w:pPr>
              <w:jc w:val="center"/>
            </w:pPr>
            <w:r>
              <w:rPr>
                <w:rFonts w:ascii="宋体" w:hAnsi="宋体" w:eastAsia="宋体"/>
                <w:sz w:val="16"/>
              </w:rPr>
              <w:t>112.58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84264">
            <w:pPr>
              <w:jc w:val="center"/>
            </w:pPr>
            <w:r>
              <w:rPr>
                <w:rFonts w:ascii="宋体" w:hAnsi="宋体" w:eastAsia="宋体"/>
                <w:sz w:val="16"/>
              </w:rPr>
              <w:t>116.66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883C66">
            <w:pPr>
              <w:jc w:val="center"/>
            </w:pPr>
            <w:r>
              <w:rPr>
                <w:rFonts w:ascii="宋体" w:hAnsi="宋体" w:eastAsia="宋体"/>
                <w:sz w:val="16"/>
              </w:rPr>
              <w:t>116.63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2AF1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FE70F">
            <w:pPr>
              <w:jc w:val="center"/>
            </w:pPr>
            <w:r>
              <w:rPr>
                <w:rFonts w:ascii="宋体" w:hAnsi="宋体" w:eastAsia="宋体"/>
                <w:sz w:val="16"/>
              </w:rPr>
              <w:t>99.97%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3606B">
            <w:pPr>
              <w:jc w:val="center"/>
              <w:rPr>
                <w:rFonts w:hint="default" w:eastAsia="宋体"/>
                <w:lang w:val="en-US" w:eastAsia="zh-CN"/>
              </w:rPr>
            </w:pPr>
            <w:r>
              <w:rPr>
                <w:rFonts w:hint="eastAsia" w:ascii="宋体" w:hAnsi="宋体"/>
                <w:sz w:val="16"/>
                <w:lang w:val="en-US" w:eastAsia="zh-CN"/>
              </w:rPr>
              <w:t>9.99</w:t>
            </w:r>
          </w:p>
        </w:tc>
      </w:tr>
      <w:tr w14:paraId="103A7B0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EA05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4608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0B468">
            <w:pPr>
              <w:jc w:val="center"/>
            </w:pPr>
            <w:r>
              <w:rPr>
                <w:rFonts w:ascii="宋体" w:hAnsi="宋体" w:eastAsia="宋体"/>
                <w:sz w:val="16"/>
              </w:rPr>
              <w:t>4.38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3991E">
            <w:pPr>
              <w:jc w:val="center"/>
            </w:pPr>
            <w:r>
              <w:rPr>
                <w:rFonts w:ascii="宋体" w:hAnsi="宋体" w:eastAsia="宋体"/>
                <w:sz w:val="16"/>
              </w:rPr>
              <w:t>2.78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6732F7">
            <w:pPr>
              <w:jc w:val="center"/>
            </w:pPr>
            <w:r>
              <w:rPr>
                <w:rFonts w:ascii="宋体" w:hAnsi="宋体" w:eastAsia="宋体"/>
                <w:sz w:val="16"/>
              </w:rPr>
              <w:t>2.78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ED95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FDE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10CAB">
            <w:pPr>
              <w:jc w:val="center"/>
            </w:pPr>
            <w:r>
              <w:rPr>
                <w:rFonts w:ascii="宋体" w:hAnsi="宋体" w:eastAsia="宋体"/>
                <w:sz w:val="16"/>
              </w:rPr>
              <w:t>—</w:t>
            </w:r>
          </w:p>
        </w:tc>
      </w:tr>
      <w:tr w14:paraId="4D9DEE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0F91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E4B8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D95A8">
            <w:pPr>
              <w:jc w:val="center"/>
            </w:pPr>
            <w:r>
              <w:rPr>
                <w:rFonts w:ascii="宋体" w:hAnsi="宋体" w:eastAsia="宋体"/>
                <w:sz w:val="16"/>
              </w:rPr>
              <w:t>88.80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A3B3A">
            <w:pPr>
              <w:jc w:val="center"/>
            </w:pPr>
            <w:r>
              <w:rPr>
                <w:rFonts w:ascii="宋体" w:hAnsi="宋体" w:eastAsia="宋体"/>
                <w:sz w:val="16"/>
              </w:rPr>
              <w:t>113.88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B0B5F">
            <w:pPr>
              <w:jc w:val="center"/>
            </w:pPr>
            <w:r>
              <w:rPr>
                <w:rFonts w:ascii="宋体" w:hAnsi="宋体" w:eastAsia="宋体"/>
                <w:sz w:val="16"/>
              </w:rPr>
              <w:t>113.85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2BA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28E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2A07A">
            <w:pPr>
              <w:jc w:val="center"/>
            </w:pPr>
            <w:r>
              <w:rPr>
                <w:rFonts w:ascii="宋体" w:hAnsi="宋体" w:eastAsia="宋体"/>
                <w:sz w:val="16"/>
              </w:rPr>
              <w:t>—</w:t>
            </w:r>
          </w:p>
        </w:tc>
      </w:tr>
      <w:tr w14:paraId="4AFA46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1D4F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0C47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5464A">
            <w:pPr>
              <w:jc w:val="center"/>
            </w:pPr>
            <w:r>
              <w:rPr>
                <w:rFonts w:ascii="宋体" w:hAnsi="宋体" w:eastAsia="宋体"/>
                <w:sz w:val="16"/>
              </w:rPr>
              <w:t>19.40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FE37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6913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040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D08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F45D2">
            <w:pPr>
              <w:jc w:val="center"/>
            </w:pPr>
            <w:r>
              <w:rPr>
                <w:rFonts w:ascii="宋体" w:hAnsi="宋体" w:eastAsia="宋体"/>
                <w:sz w:val="16"/>
              </w:rPr>
              <w:t>—</w:t>
            </w:r>
          </w:p>
        </w:tc>
      </w:tr>
      <w:tr w14:paraId="01364BB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6DD1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96583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4B2005">
            <w:pPr>
              <w:jc w:val="center"/>
            </w:pPr>
            <w:r>
              <w:rPr>
                <w:rFonts w:ascii="宋体" w:hAnsi="宋体" w:eastAsia="宋体"/>
                <w:sz w:val="16"/>
              </w:rPr>
              <w:t>实际完成情况</w:t>
            </w:r>
          </w:p>
        </w:tc>
      </w:tr>
      <w:tr w14:paraId="40C52B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E44A4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702FF0">
            <w:pPr>
              <w:jc w:val="both"/>
            </w:pPr>
            <w:r>
              <w:rPr>
                <w:rFonts w:ascii="宋体" w:hAnsi="宋体" w:eastAsia="宋体"/>
                <w:sz w:val="16"/>
              </w:rPr>
              <w:t>支持突发公共卫生应急处置，以便进一步提升和保持卫生应急队伍的快速机动能力、专业处置救援能力、自我保障能力，切实发挥卫生应急现场处置作用。支持2024年度“双随机、一公开”监督抽查及各项监督检查任务，不断提升综合监督执法队伍能力和水平，预防控制鼠疫的发生，保障我区社会经济可持续发展；持续提升跨境传染病监测预警能力。完成重点职业病监测、重点人群职业健康素养监测与干预、工作场所职业病危害因素监测、医疗卫生机构医用辐射防护监测、职业性放射性疾病监测与职业健康风险评估、非医疗机构放射性危害因素监测工作及相关专项调查等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3D703D">
            <w:pPr>
              <w:jc w:val="both"/>
            </w:pPr>
            <w:r>
              <w:rPr>
                <w:rFonts w:ascii="宋体" w:hAnsi="宋体" w:eastAsia="宋体"/>
                <w:sz w:val="16"/>
              </w:rPr>
              <w:t>于2024年6月12日-6月14日分别举办克州职业卫生分类监管培训班（职业病防治卫生监督）和卫生监督综合执法能力提升培训班，参加人次为20人，在培训中认真讲解职业卫生监督、传染病</w:t>
            </w:r>
            <w:r>
              <w:rPr>
                <w:rFonts w:hint="eastAsia" w:ascii="宋体" w:hAnsi="宋体"/>
                <w:sz w:val="16"/>
                <w:lang w:eastAsia="zh-CN"/>
              </w:rPr>
              <w:t>YQ</w:t>
            </w:r>
            <w:r>
              <w:rPr>
                <w:rFonts w:ascii="宋体" w:hAnsi="宋体" w:eastAsia="宋体"/>
                <w:sz w:val="16"/>
              </w:rPr>
              <w:t>防控卫生监督检查</w:t>
            </w:r>
            <w:r>
              <w:rPr>
                <w:rFonts w:hint="eastAsia" w:ascii="宋体" w:hAnsi="宋体"/>
                <w:sz w:val="16"/>
                <w:lang w:eastAsia="zh-CN"/>
              </w:rPr>
              <w:t>；</w:t>
            </w:r>
            <w:r>
              <w:rPr>
                <w:rFonts w:ascii="宋体" w:hAnsi="宋体" w:eastAsia="宋体"/>
                <w:sz w:val="16"/>
              </w:rPr>
              <w:t>开展医疗卫生、学校卫生、职业卫生、公共场所卫生、放射卫生、</w:t>
            </w:r>
            <w:r>
              <w:rPr>
                <w:rFonts w:hint="eastAsia" w:ascii="宋体" w:hAnsi="宋体"/>
                <w:sz w:val="16"/>
                <w:lang w:eastAsia="zh-CN"/>
              </w:rPr>
              <w:t>JHSY</w:t>
            </w:r>
            <w:r>
              <w:rPr>
                <w:rFonts w:ascii="宋体" w:hAnsi="宋体" w:eastAsia="宋体"/>
                <w:sz w:val="16"/>
              </w:rPr>
              <w:t>卫生、中医服务卫生、饮用水卫生等卫生监督业务工作。目前共监督检查93户次（其中医疗机构23户次、学校12户次、公共场所25户次、生活饮用水1户次、传染病防治工作10户次、</w:t>
            </w:r>
            <w:r>
              <w:rPr>
                <w:rFonts w:hint="eastAsia" w:ascii="宋体" w:hAnsi="宋体"/>
                <w:sz w:val="16"/>
                <w:lang w:eastAsia="zh-CN"/>
              </w:rPr>
              <w:t>JHSY</w:t>
            </w:r>
            <w:r>
              <w:rPr>
                <w:rFonts w:ascii="宋体" w:hAnsi="宋体" w:eastAsia="宋体"/>
                <w:sz w:val="16"/>
              </w:rPr>
              <w:t>服务工作3户次、药店（消毒产品）8户次，放射8户次），下达卫生监督意见书14份</w:t>
            </w:r>
            <w:r>
              <w:rPr>
                <w:rFonts w:hint="eastAsia" w:ascii="宋体" w:hAnsi="宋体"/>
                <w:sz w:val="16"/>
                <w:lang w:eastAsia="zh-CN"/>
              </w:rPr>
              <w:t>；</w:t>
            </w:r>
            <w:r>
              <w:rPr>
                <w:rFonts w:ascii="宋体" w:hAnsi="宋体" w:eastAsia="宋体"/>
                <w:sz w:val="16"/>
              </w:rPr>
              <w:t>于2024年6月12日-6月14日分别举办克州职业卫生分类监管培训班（职业病防治卫生监督）和卫生监督综合执法能力提升培训班，参加人次为20人，在培训中认真讲解职业卫生监督、传染病</w:t>
            </w:r>
            <w:r>
              <w:rPr>
                <w:rFonts w:hint="eastAsia" w:ascii="宋体" w:hAnsi="宋体"/>
                <w:sz w:val="16"/>
                <w:lang w:eastAsia="zh-CN"/>
              </w:rPr>
              <w:t>YQ</w:t>
            </w:r>
            <w:r>
              <w:rPr>
                <w:rFonts w:ascii="宋体" w:hAnsi="宋体" w:eastAsia="宋体"/>
                <w:sz w:val="16"/>
              </w:rPr>
              <w:t>防控卫生监督检查；通过以上工作的实施，保障了</w:t>
            </w:r>
            <w:r>
              <w:rPr>
                <w:rFonts w:hint="eastAsia" w:ascii="宋体" w:hAnsi="宋体"/>
                <w:sz w:val="16"/>
                <w:lang w:eastAsia="zh-CN"/>
              </w:rPr>
              <w:t>本单位</w:t>
            </w:r>
            <w:r>
              <w:rPr>
                <w:rFonts w:ascii="宋体" w:hAnsi="宋体" w:eastAsia="宋体"/>
                <w:sz w:val="16"/>
              </w:rPr>
              <w:t>5名职工的工资、福利及社保正常发放及缴纳，确保民生工作落实到位；保障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1辆公务用车的运行及维护，保障单位各项工作的正常运转，确保机构运转正常；截至2024年12月31日，举办克州卫生监督机构职业病防治卫生监督培训20人次；对三县一市用人单位开展职业病防治卫生监督</w:t>
            </w:r>
            <w:r>
              <w:rPr>
                <w:rFonts w:hint="eastAsia" w:ascii="宋体" w:hAnsi="宋体"/>
                <w:sz w:val="16"/>
                <w:lang w:eastAsia="zh-CN"/>
              </w:rPr>
              <w:t>工作</w:t>
            </w:r>
            <w:r>
              <w:rPr>
                <w:rFonts w:ascii="宋体" w:hAnsi="宋体" w:eastAsia="宋体"/>
                <w:sz w:val="16"/>
              </w:rPr>
              <w:t>10户；执法队伍能力建设培训人员20人次等工作。</w:t>
            </w:r>
          </w:p>
        </w:tc>
      </w:tr>
      <w:tr w14:paraId="64FD58F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377E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AB29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F395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4DC6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E0F4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C36C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1C58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C8BA6">
            <w:pPr>
              <w:jc w:val="center"/>
            </w:pPr>
            <w:r>
              <w:rPr>
                <w:rFonts w:ascii="宋体" w:hAnsi="宋体" w:eastAsia="宋体"/>
                <w:sz w:val="16"/>
              </w:rPr>
              <w:t>得分</w:t>
            </w:r>
          </w:p>
        </w:tc>
      </w:tr>
      <w:tr w14:paraId="4021A20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77AA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77B7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9C936">
            <w:pPr>
              <w:jc w:val="center"/>
            </w:pPr>
            <w:r>
              <w:rPr>
                <w:rFonts w:ascii="宋体" w:hAnsi="宋体" w:eastAsia="宋体"/>
                <w:sz w:val="16"/>
              </w:rPr>
              <w:t>购买公务用车（辆）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45378">
            <w:pPr>
              <w:jc w:val="center"/>
            </w:pPr>
            <w:r>
              <w:rPr>
                <w:rFonts w:ascii="宋体" w:hAnsi="宋体" w:eastAsia="宋体"/>
                <w:sz w:val="16"/>
              </w:rPr>
              <w:t>&gt;=1辆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6AD0D">
            <w:pPr>
              <w:jc w:val="center"/>
            </w:pPr>
            <w:r>
              <w:rPr>
                <w:rFonts w:ascii="宋体" w:hAnsi="宋体" w:eastAsia="宋体"/>
                <w:sz w:val="16"/>
              </w:rPr>
              <w:t>2024年克州卫生健康综合监督执法局重点工作任务清单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CA61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ADFD8">
            <w:pPr>
              <w:jc w:val="center"/>
            </w:pPr>
            <w:r>
              <w:rPr>
                <w:rFonts w:ascii="宋体" w:hAnsi="宋体" w:eastAsia="宋体"/>
                <w:sz w:val="16"/>
              </w:rPr>
              <w:t>0辆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BAB8B">
            <w:pPr>
              <w:jc w:val="center"/>
            </w:pPr>
            <w:r>
              <w:rPr>
                <w:rFonts w:ascii="宋体" w:hAnsi="宋体" w:eastAsia="宋体"/>
                <w:sz w:val="16"/>
              </w:rPr>
              <w:t>0</w:t>
            </w:r>
          </w:p>
        </w:tc>
      </w:tr>
      <w:tr w14:paraId="2155C7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9244F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548B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9F778">
            <w:pPr>
              <w:jc w:val="center"/>
            </w:pPr>
            <w:r>
              <w:rPr>
                <w:rFonts w:ascii="宋体" w:hAnsi="宋体" w:eastAsia="宋体"/>
                <w:sz w:val="16"/>
              </w:rPr>
              <w:t>举办克州卫生监督机构职业病防治卫生监督培训（人次）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F3BF2">
            <w:pPr>
              <w:jc w:val="center"/>
            </w:pPr>
            <w:r>
              <w:rPr>
                <w:rFonts w:ascii="宋体" w:hAnsi="宋体" w:eastAsia="宋体"/>
                <w:sz w:val="16"/>
              </w:rPr>
              <w:t>&gt;=20人次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ECE1D">
            <w:pPr>
              <w:jc w:val="center"/>
            </w:pPr>
            <w:r>
              <w:rPr>
                <w:rFonts w:ascii="宋体" w:hAnsi="宋体" w:eastAsia="宋体"/>
                <w:sz w:val="16"/>
              </w:rPr>
              <w:t>2024年克州卫生健康综合监督执法局重点工作任务清单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8F89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AA317">
            <w:pPr>
              <w:jc w:val="center"/>
            </w:pPr>
            <w:r>
              <w:rPr>
                <w:rFonts w:ascii="宋体" w:hAnsi="宋体" w:eastAsia="宋体"/>
                <w:sz w:val="16"/>
              </w:rPr>
              <w:t>20人次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F2DAB">
            <w:pPr>
              <w:jc w:val="center"/>
            </w:pPr>
            <w:r>
              <w:rPr>
                <w:rFonts w:ascii="宋体" w:hAnsi="宋体" w:eastAsia="宋体"/>
                <w:sz w:val="16"/>
              </w:rPr>
              <w:t>20</w:t>
            </w:r>
          </w:p>
        </w:tc>
      </w:tr>
      <w:tr w14:paraId="066BE9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BD45C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611A7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D3D91">
            <w:pPr>
              <w:jc w:val="center"/>
            </w:pPr>
            <w:r>
              <w:rPr>
                <w:rFonts w:ascii="宋体" w:hAnsi="宋体" w:eastAsia="宋体"/>
                <w:sz w:val="16"/>
              </w:rPr>
              <w:t>对三县一市用人单位开展职业病防治卫生监督工（户）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C0B47">
            <w:pPr>
              <w:jc w:val="center"/>
            </w:pPr>
            <w:r>
              <w:rPr>
                <w:rFonts w:ascii="宋体" w:hAnsi="宋体" w:eastAsia="宋体"/>
                <w:sz w:val="16"/>
              </w:rPr>
              <w:t>&gt;=10户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B48E2">
            <w:pPr>
              <w:jc w:val="center"/>
            </w:pPr>
            <w:r>
              <w:rPr>
                <w:rFonts w:ascii="宋体" w:hAnsi="宋体" w:eastAsia="宋体"/>
                <w:sz w:val="16"/>
              </w:rPr>
              <w:t>2024年克州卫生健康综合监督执法局重点工作任务清单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675C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5777AF">
            <w:pPr>
              <w:jc w:val="center"/>
            </w:pPr>
            <w:r>
              <w:rPr>
                <w:rFonts w:ascii="宋体" w:hAnsi="宋体" w:eastAsia="宋体"/>
                <w:sz w:val="16"/>
              </w:rPr>
              <w:t>10户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84E70">
            <w:pPr>
              <w:jc w:val="center"/>
            </w:pPr>
            <w:r>
              <w:rPr>
                <w:rFonts w:ascii="宋体" w:hAnsi="宋体" w:eastAsia="宋体"/>
                <w:sz w:val="16"/>
              </w:rPr>
              <w:t>20</w:t>
            </w:r>
          </w:p>
        </w:tc>
      </w:tr>
      <w:tr w14:paraId="03CE4D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72D49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F26D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0E855">
            <w:pPr>
              <w:jc w:val="center"/>
            </w:pPr>
            <w:r>
              <w:rPr>
                <w:rFonts w:ascii="宋体" w:hAnsi="宋体" w:eastAsia="宋体"/>
                <w:sz w:val="16"/>
              </w:rPr>
              <w:t>执法队伍能力建设培训人员（人次）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7C654">
            <w:pPr>
              <w:jc w:val="center"/>
            </w:pPr>
            <w:r>
              <w:rPr>
                <w:rFonts w:ascii="宋体" w:hAnsi="宋体" w:eastAsia="宋体"/>
                <w:sz w:val="16"/>
              </w:rPr>
              <w:t>&gt;=20人次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87552">
            <w:pPr>
              <w:jc w:val="center"/>
            </w:pPr>
            <w:r>
              <w:rPr>
                <w:rFonts w:ascii="宋体" w:hAnsi="宋体" w:eastAsia="宋体"/>
                <w:sz w:val="16"/>
              </w:rPr>
              <w:t>2024年克州卫生健康综合监督执法局重点工作任务清单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A6B7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885BA">
            <w:pPr>
              <w:jc w:val="center"/>
            </w:pPr>
            <w:r>
              <w:rPr>
                <w:rFonts w:ascii="宋体" w:hAnsi="宋体" w:eastAsia="宋体"/>
                <w:sz w:val="16"/>
              </w:rPr>
              <w:t>20人次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04151">
            <w:pPr>
              <w:jc w:val="center"/>
            </w:pPr>
            <w:r>
              <w:rPr>
                <w:rFonts w:ascii="宋体" w:hAnsi="宋体" w:eastAsia="宋体"/>
                <w:sz w:val="16"/>
              </w:rPr>
              <w:t>20</w:t>
            </w:r>
          </w:p>
        </w:tc>
      </w:tr>
    </w:tbl>
    <w:p w14:paraId="721EC1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1BF7AE">
        <w:tblPrEx>
          <w:tblCellMar>
            <w:top w:w="0" w:type="dxa"/>
            <w:left w:w="108" w:type="dxa"/>
            <w:bottom w:w="0" w:type="dxa"/>
            <w:right w:w="108" w:type="dxa"/>
          </w:tblCellMar>
        </w:tblPrEx>
        <w:tc>
          <w:tcPr>
            <w:tcW w:w="8848" w:type="dxa"/>
            <w:gridSpan w:val="14"/>
            <w:vAlign w:val="center"/>
          </w:tcPr>
          <w:p w14:paraId="336D8B1E">
            <w:pPr>
              <w:jc w:val="center"/>
            </w:pPr>
            <w:r>
              <w:rPr>
                <w:rFonts w:ascii="宋体" w:hAnsi="宋体" w:eastAsia="宋体"/>
                <w:sz w:val="24"/>
              </w:rPr>
              <w:t>项目支出绩效自评表</w:t>
            </w:r>
          </w:p>
        </w:tc>
      </w:tr>
      <w:tr w14:paraId="03A38986">
        <w:tblPrEx>
          <w:tblCellMar>
            <w:top w:w="0" w:type="dxa"/>
            <w:left w:w="108" w:type="dxa"/>
            <w:bottom w:w="0" w:type="dxa"/>
            <w:right w:w="108" w:type="dxa"/>
          </w:tblCellMar>
        </w:tblPrEx>
        <w:tc>
          <w:tcPr>
            <w:tcW w:w="8848" w:type="dxa"/>
            <w:gridSpan w:val="14"/>
            <w:vAlign w:val="center"/>
          </w:tcPr>
          <w:p w14:paraId="137D754D">
            <w:pPr>
              <w:jc w:val="center"/>
            </w:pPr>
            <w:r>
              <w:rPr>
                <w:rFonts w:ascii="宋体" w:hAnsi="宋体" w:eastAsia="宋体"/>
                <w:sz w:val="24"/>
              </w:rPr>
              <w:t>(2024年度)</w:t>
            </w:r>
          </w:p>
        </w:tc>
      </w:tr>
      <w:tr w14:paraId="2DA7A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A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CA03F6">
            <w:pPr>
              <w:jc w:val="center"/>
            </w:pPr>
            <w:r>
              <w:rPr>
                <w:rFonts w:ascii="宋体" w:hAnsi="宋体" w:eastAsia="宋体"/>
                <w:sz w:val="16"/>
              </w:rPr>
              <w:t>2023年自治区基本公共卫生服务补助资金（第二批）结转</w:t>
            </w:r>
          </w:p>
        </w:tc>
      </w:tr>
      <w:tr w14:paraId="10DEA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89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E5202">
            <w:pPr>
              <w:jc w:val="center"/>
            </w:pPr>
            <w:r>
              <w:rPr>
                <w:rFonts w:ascii="宋体" w:hAnsi="宋体" w:eastAsia="宋体"/>
                <w:sz w:val="16"/>
              </w:rPr>
              <w:t>克孜勒苏柯尔克孜自治州卫生健康综合监督执法局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5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7A4B86">
            <w:pPr>
              <w:jc w:val="center"/>
            </w:pPr>
            <w:r>
              <w:rPr>
                <w:rFonts w:ascii="宋体" w:hAnsi="宋体" w:eastAsia="宋体"/>
                <w:sz w:val="16"/>
              </w:rPr>
              <w:t>克孜勒苏柯尔克孜自治州卫生健康综合监督执法局</w:t>
            </w:r>
          </w:p>
        </w:tc>
      </w:tr>
      <w:tr w14:paraId="65A52E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EE4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52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FA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45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67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B4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EC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9B80">
            <w:pPr>
              <w:jc w:val="center"/>
            </w:pPr>
            <w:r>
              <w:rPr>
                <w:rFonts w:ascii="宋体" w:hAnsi="宋体" w:eastAsia="宋体"/>
                <w:sz w:val="16"/>
              </w:rPr>
              <w:t>得分</w:t>
            </w:r>
          </w:p>
        </w:tc>
      </w:tr>
      <w:tr w14:paraId="3786D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1A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99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3ED2">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A4D4">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0035">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FE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48B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3AFC">
            <w:pPr>
              <w:jc w:val="center"/>
            </w:pPr>
            <w:r>
              <w:rPr>
                <w:rFonts w:ascii="宋体" w:hAnsi="宋体" w:eastAsia="宋体"/>
                <w:sz w:val="16"/>
              </w:rPr>
              <w:t>10.00分</w:t>
            </w:r>
          </w:p>
        </w:tc>
      </w:tr>
      <w:tr w14:paraId="2AA70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37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57A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FB559">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64B2C">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2767">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265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6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9649">
            <w:pPr>
              <w:jc w:val="center"/>
            </w:pPr>
            <w:r>
              <w:rPr>
                <w:rFonts w:ascii="宋体" w:hAnsi="宋体" w:eastAsia="宋体"/>
                <w:sz w:val="16"/>
              </w:rPr>
              <w:t>—</w:t>
            </w:r>
          </w:p>
        </w:tc>
      </w:tr>
      <w:tr w14:paraId="0FF4D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7C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DE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04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BD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5AF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6C3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9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8B9A">
            <w:pPr>
              <w:jc w:val="center"/>
            </w:pPr>
            <w:r>
              <w:rPr>
                <w:rFonts w:ascii="宋体" w:hAnsi="宋体" w:eastAsia="宋体"/>
                <w:sz w:val="16"/>
              </w:rPr>
              <w:t>—</w:t>
            </w:r>
          </w:p>
        </w:tc>
      </w:tr>
      <w:tr w14:paraId="100714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B41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756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EE8EC">
            <w:pPr>
              <w:jc w:val="center"/>
            </w:pPr>
            <w:r>
              <w:rPr>
                <w:rFonts w:ascii="宋体" w:hAnsi="宋体" w:eastAsia="宋体"/>
                <w:sz w:val="16"/>
              </w:rPr>
              <w:t>实际完成情况</w:t>
            </w:r>
          </w:p>
        </w:tc>
      </w:tr>
      <w:tr w14:paraId="4BE7F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A61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4D98A">
            <w:pPr>
              <w:jc w:val="both"/>
            </w:pPr>
            <w:r>
              <w:rPr>
                <w:rFonts w:ascii="宋体" w:hAnsi="宋体" w:eastAsia="宋体"/>
                <w:sz w:val="16"/>
              </w:rPr>
              <w:t>为推动“十四五”时期克州卫生健康综合监督执法事业高质量发展，依据《中华人民共和国国民经济和社会发展第十四个五年规划和 2035 年远景目标纲要》和《卫生健康综合监督执法事业发展规划纲要(2020- -2024 年 )》及克州卫生健康综合监督执法行业发展需要，要充分发挥卫生健康综合监督执法自身优势，统筹推进核心业务，积极推进突发公共卫生应急处置，项目资金0.28万元，其中：财政资金0.28万元。全年计划开展职业病宣传1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E6DFD6">
            <w:pPr>
              <w:jc w:val="both"/>
            </w:pPr>
            <w:r>
              <w:rPr>
                <w:rFonts w:ascii="宋体" w:hAnsi="宋体" w:eastAsia="宋体"/>
                <w:sz w:val="16"/>
              </w:rPr>
              <w:t>截至2024年12月31日，已完成：开展职业病宣传1次、开展职业病宣传普及率95%，充分发挥卫生健康综合监督执法自身优势，统筹推进核心业务，积极推进突发公共卫生应急处置，项目资金0.28万元，其中：财政资金0.28万元。全年计划开展职业病宣传1次。</w:t>
            </w:r>
          </w:p>
        </w:tc>
      </w:tr>
      <w:tr w14:paraId="18259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07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C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28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52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7F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0E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20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56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2D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B9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71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38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BA7E">
            <w:pPr>
              <w:jc w:val="center"/>
            </w:pPr>
            <w:r>
              <w:rPr>
                <w:rFonts w:ascii="宋体" w:hAnsi="宋体" w:eastAsia="宋体"/>
                <w:sz w:val="16"/>
              </w:rPr>
              <w:t>偏差原因分析及改进措施</w:t>
            </w:r>
          </w:p>
        </w:tc>
      </w:tr>
      <w:tr w14:paraId="02E161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48B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D93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66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9EB5">
            <w:pPr>
              <w:jc w:val="center"/>
            </w:pPr>
            <w:r>
              <w:rPr>
                <w:rFonts w:ascii="宋体" w:hAnsi="宋体" w:eastAsia="宋体"/>
                <w:sz w:val="16"/>
              </w:rPr>
              <w:t>开展职业病宣传次数（次）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E3F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C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D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C2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8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D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9B3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0E2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C51D">
            <w:pPr>
              <w:jc w:val="center"/>
            </w:pPr>
          </w:p>
        </w:tc>
      </w:tr>
      <w:tr w14:paraId="27ECC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38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DA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11F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93E2">
            <w:pPr>
              <w:jc w:val="center"/>
            </w:pPr>
            <w:r>
              <w:rPr>
                <w:rFonts w:ascii="宋体" w:hAnsi="宋体" w:eastAsia="宋体"/>
                <w:sz w:val="16"/>
              </w:rPr>
              <w:t>开展职业病宣传普及率（%）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98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B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E8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71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9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D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6C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A6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4942F">
            <w:pPr>
              <w:jc w:val="center"/>
            </w:pPr>
          </w:p>
        </w:tc>
      </w:tr>
      <w:tr w14:paraId="12561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D7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7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70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ED2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8F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5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B4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A2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9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6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5D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29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F350">
            <w:pPr>
              <w:jc w:val="center"/>
            </w:pPr>
          </w:p>
        </w:tc>
      </w:tr>
      <w:tr w14:paraId="293B2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7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52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55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1860">
            <w:pPr>
              <w:jc w:val="center"/>
            </w:pPr>
            <w:r>
              <w:rPr>
                <w:rFonts w:ascii="宋体" w:hAnsi="宋体" w:eastAsia="宋体"/>
                <w:sz w:val="16"/>
              </w:rPr>
              <w:t>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6D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6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3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B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4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C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CF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CB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2997D">
            <w:pPr>
              <w:jc w:val="center"/>
            </w:pPr>
          </w:p>
        </w:tc>
      </w:tr>
      <w:tr w14:paraId="1CFFB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73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07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05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E8F6">
            <w:pPr>
              <w:jc w:val="center"/>
            </w:pPr>
            <w:r>
              <w:rPr>
                <w:rFonts w:ascii="宋体" w:hAnsi="宋体" w:eastAsia="宋体"/>
                <w:sz w:val="16"/>
              </w:rPr>
              <w:t>开展职业病宣传经费（万元）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2BFD">
            <w:pPr>
              <w:jc w:val="center"/>
            </w:pPr>
            <w:r>
              <w:rPr>
                <w:rFonts w:ascii="宋体" w:hAnsi="宋体" w:eastAsia="宋体"/>
                <w:sz w:val="16"/>
              </w:rPr>
              <w:t>&lt;=0.28万元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7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0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34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8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48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30DE">
            <w:pPr>
              <w:jc w:val="center"/>
            </w:pPr>
            <w:r>
              <w:rPr>
                <w:rFonts w:ascii="宋体" w:hAnsi="宋体" w:eastAsia="宋体"/>
                <w:sz w:val="16"/>
              </w:rPr>
              <w: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5B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1B2A8">
            <w:pPr>
              <w:jc w:val="center"/>
            </w:pPr>
          </w:p>
        </w:tc>
      </w:tr>
      <w:tr w14:paraId="3D589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35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BF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29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C7F4">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3F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6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6C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60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9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6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CF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3A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9B89">
            <w:pPr>
              <w:jc w:val="center"/>
            </w:pPr>
          </w:p>
        </w:tc>
      </w:tr>
      <w:tr w14:paraId="53B7D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75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4E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94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B6A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A0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D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F9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1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44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7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D6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0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C7261">
            <w:pPr>
              <w:jc w:val="center"/>
            </w:pPr>
          </w:p>
        </w:tc>
      </w:tr>
      <w:tr w14:paraId="1B8020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FF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05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32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FE0CB">
            <w:pPr>
              <w:jc w:val="center"/>
            </w:pPr>
            <w:r>
              <w:rPr>
                <w:rFonts w:ascii="宋体" w:hAnsi="宋体" w:eastAsia="宋体"/>
                <w:sz w:val="16"/>
              </w:rPr>
              <w:t>100分</w:t>
            </w:r>
          </w:p>
        </w:tc>
      </w:tr>
    </w:tbl>
    <w:p w14:paraId="767B33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36EA282">
        <w:tblPrEx>
          <w:tblCellMar>
            <w:top w:w="0" w:type="dxa"/>
            <w:left w:w="108" w:type="dxa"/>
            <w:bottom w:w="0" w:type="dxa"/>
            <w:right w:w="108" w:type="dxa"/>
          </w:tblCellMar>
        </w:tblPrEx>
        <w:tc>
          <w:tcPr>
            <w:tcW w:w="8848" w:type="dxa"/>
            <w:gridSpan w:val="14"/>
            <w:vAlign w:val="center"/>
          </w:tcPr>
          <w:p w14:paraId="04D9FDD9">
            <w:pPr>
              <w:jc w:val="center"/>
            </w:pPr>
            <w:r>
              <w:rPr>
                <w:rFonts w:ascii="宋体" w:hAnsi="宋体" w:eastAsia="宋体"/>
                <w:sz w:val="24"/>
              </w:rPr>
              <w:t>项目支出绩效自评表</w:t>
            </w:r>
          </w:p>
        </w:tc>
      </w:tr>
      <w:tr w14:paraId="33DC8687">
        <w:tblPrEx>
          <w:tblCellMar>
            <w:top w:w="0" w:type="dxa"/>
            <w:left w:w="108" w:type="dxa"/>
            <w:bottom w:w="0" w:type="dxa"/>
            <w:right w:w="108" w:type="dxa"/>
          </w:tblCellMar>
        </w:tblPrEx>
        <w:tc>
          <w:tcPr>
            <w:tcW w:w="8848" w:type="dxa"/>
            <w:gridSpan w:val="14"/>
            <w:vAlign w:val="center"/>
          </w:tcPr>
          <w:p w14:paraId="242C0C15">
            <w:pPr>
              <w:jc w:val="center"/>
            </w:pPr>
            <w:r>
              <w:rPr>
                <w:rFonts w:ascii="宋体" w:hAnsi="宋体" w:eastAsia="宋体"/>
                <w:sz w:val="24"/>
              </w:rPr>
              <w:t>(2024年度)</w:t>
            </w:r>
          </w:p>
        </w:tc>
      </w:tr>
      <w:tr w14:paraId="5D5A3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8F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6D847">
            <w:pPr>
              <w:jc w:val="center"/>
            </w:pPr>
            <w:r>
              <w:rPr>
                <w:rFonts w:ascii="宋体" w:hAnsi="宋体" w:eastAsia="宋体"/>
                <w:sz w:val="16"/>
              </w:rPr>
              <w:t>2024年基本公共卫生项目</w:t>
            </w:r>
            <w:bookmarkStart w:id="0" w:name="_GoBack"/>
            <w:r>
              <w:rPr>
                <w:rFonts w:ascii="宋体" w:hAnsi="宋体" w:eastAsia="宋体"/>
                <w:sz w:val="16"/>
              </w:rPr>
              <w:t>-</w:t>
            </w:r>
            <w:bookmarkEnd w:id="0"/>
            <w:r>
              <w:rPr>
                <w:rFonts w:ascii="宋体" w:hAnsi="宋体" w:eastAsia="宋体"/>
                <w:sz w:val="16"/>
              </w:rPr>
              <w:t>职业病防治</w:t>
            </w:r>
          </w:p>
        </w:tc>
      </w:tr>
      <w:tr w14:paraId="289581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CB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CB757">
            <w:pPr>
              <w:jc w:val="center"/>
            </w:pPr>
            <w:r>
              <w:rPr>
                <w:rFonts w:ascii="宋体" w:hAnsi="宋体" w:eastAsia="宋体"/>
                <w:sz w:val="16"/>
              </w:rPr>
              <w:t>克孜勒苏柯尔克孜自治州卫生健康综合监督执法局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DD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138101">
            <w:pPr>
              <w:jc w:val="center"/>
            </w:pPr>
            <w:r>
              <w:rPr>
                <w:rFonts w:ascii="宋体" w:hAnsi="宋体" w:eastAsia="宋体"/>
                <w:sz w:val="16"/>
              </w:rPr>
              <w:t>克孜勒苏柯尔克孜自治州卫生健康综合监督执法局</w:t>
            </w:r>
          </w:p>
        </w:tc>
      </w:tr>
      <w:tr w14:paraId="46DC6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4D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12D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FE9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0F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23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45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D54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420D">
            <w:pPr>
              <w:jc w:val="center"/>
            </w:pPr>
            <w:r>
              <w:rPr>
                <w:rFonts w:ascii="宋体" w:hAnsi="宋体" w:eastAsia="宋体"/>
                <w:sz w:val="16"/>
              </w:rPr>
              <w:t>得分</w:t>
            </w:r>
          </w:p>
        </w:tc>
      </w:tr>
      <w:tr w14:paraId="296A8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1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A0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8649F">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42B7">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A43BC">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D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9AD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D78">
            <w:pPr>
              <w:jc w:val="center"/>
            </w:pPr>
            <w:r>
              <w:rPr>
                <w:rFonts w:ascii="宋体" w:hAnsi="宋体" w:eastAsia="宋体"/>
                <w:sz w:val="16"/>
              </w:rPr>
              <w:t>10.00分</w:t>
            </w:r>
          </w:p>
        </w:tc>
      </w:tr>
      <w:tr w14:paraId="3AB79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6D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F74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BAC7">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7CE3">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562D7">
            <w:pPr>
              <w:jc w:val="center"/>
            </w:pPr>
            <w:r>
              <w:rPr>
                <w:rFonts w:ascii="宋体" w:hAnsi="宋体" w:eastAsia="宋体"/>
                <w:sz w:val="16"/>
              </w:rPr>
              <w:t>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47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D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DD5F">
            <w:pPr>
              <w:jc w:val="center"/>
            </w:pPr>
            <w:r>
              <w:rPr>
                <w:rFonts w:ascii="宋体" w:hAnsi="宋体" w:eastAsia="宋体"/>
                <w:sz w:val="16"/>
              </w:rPr>
              <w:t>—</w:t>
            </w:r>
          </w:p>
        </w:tc>
      </w:tr>
      <w:tr w14:paraId="00BD9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5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AD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052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05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7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A1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62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E357">
            <w:pPr>
              <w:jc w:val="center"/>
            </w:pPr>
            <w:r>
              <w:rPr>
                <w:rFonts w:ascii="宋体" w:hAnsi="宋体" w:eastAsia="宋体"/>
                <w:sz w:val="16"/>
              </w:rPr>
              <w:t>—</w:t>
            </w:r>
          </w:p>
        </w:tc>
      </w:tr>
      <w:tr w14:paraId="47883E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D0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041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53EAD">
            <w:pPr>
              <w:jc w:val="center"/>
            </w:pPr>
            <w:r>
              <w:rPr>
                <w:rFonts w:ascii="宋体" w:hAnsi="宋体" w:eastAsia="宋体"/>
                <w:sz w:val="16"/>
              </w:rPr>
              <w:t>实际完成情况</w:t>
            </w:r>
          </w:p>
        </w:tc>
      </w:tr>
      <w:tr w14:paraId="726B6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159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A8AEC">
            <w:pPr>
              <w:jc w:val="both"/>
            </w:pPr>
            <w:r>
              <w:rPr>
                <w:rFonts w:ascii="宋体" w:hAnsi="宋体" w:eastAsia="宋体"/>
                <w:sz w:val="16"/>
              </w:rPr>
              <w:t>为推动“十四五”时期克州卫生健康综合监督执法事业高质量发展，依据《中华人民共和国国民经济和社会发展第十四个五年规划和 2035 年远景目标纲要》和《卫生健康综合监督执法事业发展规划纲要(2020- -2024 年 )》及克州卫生健康综合监督执法行业发展需要，要充分发挥卫生健康综合监督执法自身优势，统筹推进核心业务，积极推进完成重点职业病监测、重点人群职业健康素养监测与干预、工作场所职业病危害因素监测、医疗卫生机构医用辐射防护监测、职业性放射性疾病监测与职业健康风险评估、非医疗机构放射性危害因素监测工作及相关专项调查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C5B06">
            <w:pPr>
              <w:jc w:val="both"/>
            </w:pPr>
            <w:r>
              <w:rPr>
                <w:rFonts w:ascii="宋体" w:hAnsi="宋体" w:eastAsia="宋体"/>
                <w:sz w:val="16"/>
              </w:rPr>
              <w:t>截至2024年12月31日，已完成：举办克州卫生监督机构职业病防治卫生监督培训1次、对三县一市用人单位开展职业病防治卫生监督工作10家，充分发挥卫生健康综合监督执法自身优势，统筹推进核心业务，积极推进完成重点职业病监测、重点人群职业健康素养监测与干预、工作场所职业病危害因素监测、医疗卫生机构医用辐射防护监测、职业性放射性疾病监测与职业健康风险评估、非医疗机构放射性危害因素监测工作及相关专项调查等工作。</w:t>
            </w:r>
          </w:p>
        </w:tc>
      </w:tr>
      <w:tr w14:paraId="4D0DB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65D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B4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CE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5E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FC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32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21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3B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08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72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7F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A1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46A5">
            <w:pPr>
              <w:jc w:val="center"/>
            </w:pPr>
            <w:r>
              <w:rPr>
                <w:rFonts w:ascii="宋体" w:hAnsi="宋体" w:eastAsia="宋体"/>
                <w:sz w:val="16"/>
              </w:rPr>
              <w:t>偏差原因分析及改进措施</w:t>
            </w:r>
          </w:p>
        </w:tc>
      </w:tr>
      <w:tr w14:paraId="7D8D2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FE6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611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075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9160">
            <w:pPr>
              <w:jc w:val="center"/>
            </w:pPr>
            <w:r>
              <w:rPr>
                <w:rFonts w:ascii="宋体" w:hAnsi="宋体" w:eastAsia="宋体"/>
                <w:sz w:val="16"/>
              </w:rPr>
              <w:t>举办克州卫生监督机构职业病防治卫生监督培训（次）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ECA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9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8D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F6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89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C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6E4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59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A4B02">
            <w:pPr>
              <w:jc w:val="center"/>
            </w:pPr>
          </w:p>
        </w:tc>
      </w:tr>
      <w:tr w14:paraId="022E2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01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5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E2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D10D">
            <w:pPr>
              <w:jc w:val="center"/>
            </w:pPr>
            <w:r>
              <w:rPr>
                <w:rFonts w:ascii="宋体" w:hAnsi="宋体" w:eastAsia="宋体"/>
                <w:sz w:val="16"/>
              </w:rPr>
              <w:t>对三县一市用人单位开展职业病防治卫生监督工作（家）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15F1">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8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1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DD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7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5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BDE4">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44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BECE7">
            <w:pPr>
              <w:jc w:val="center"/>
            </w:pPr>
          </w:p>
        </w:tc>
      </w:tr>
      <w:tr w14:paraId="4F480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52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B4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1C2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8B86">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7F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8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7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01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4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F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F1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E9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4655">
            <w:pPr>
              <w:jc w:val="center"/>
            </w:pPr>
          </w:p>
        </w:tc>
      </w:tr>
      <w:tr w14:paraId="0570E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1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57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49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334F">
            <w:pPr>
              <w:jc w:val="center"/>
            </w:pPr>
            <w:r>
              <w:rPr>
                <w:rFonts w:ascii="宋体" w:hAnsi="宋体" w:eastAsia="宋体"/>
                <w:sz w:val="16"/>
              </w:rPr>
              <w:t>监督工作覆盖率（%）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70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8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00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A0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0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C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62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E5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A441C">
            <w:pPr>
              <w:jc w:val="center"/>
            </w:pPr>
          </w:p>
        </w:tc>
      </w:tr>
      <w:tr w14:paraId="740D5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0D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D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E5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655E">
            <w:pPr>
              <w:jc w:val="center"/>
            </w:pPr>
            <w:r>
              <w:rPr>
                <w:rFonts w:ascii="宋体" w:hAnsi="宋体" w:eastAsia="宋体"/>
                <w:sz w:val="16"/>
              </w:rPr>
              <w:t>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4E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A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56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03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8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2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6A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8A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0C06">
            <w:pPr>
              <w:jc w:val="center"/>
            </w:pPr>
          </w:p>
        </w:tc>
      </w:tr>
      <w:tr w14:paraId="5E17F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D1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93F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6E9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638C">
            <w:pPr>
              <w:jc w:val="center"/>
            </w:pPr>
            <w:r>
              <w:rPr>
                <w:rFonts w:ascii="宋体" w:hAnsi="宋体" w:eastAsia="宋体"/>
                <w:sz w:val="16"/>
              </w:rPr>
              <w:t>开展职业病防治卫生监督工作经费（万元）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0608">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C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96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69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D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8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8B3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46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53E5">
            <w:pPr>
              <w:jc w:val="center"/>
            </w:pPr>
          </w:p>
        </w:tc>
      </w:tr>
      <w:tr w14:paraId="03441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5B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C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F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E312">
            <w:pPr>
              <w:jc w:val="center"/>
            </w:pPr>
            <w:r>
              <w:rPr>
                <w:rFonts w:ascii="宋体" w:hAnsi="宋体" w:eastAsia="宋体"/>
                <w:sz w:val="16"/>
              </w:rPr>
              <w:t>举办卫生监督培训经费（万元）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4C4A">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2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DE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A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F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79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5DB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7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8340">
            <w:pPr>
              <w:jc w:val="center"/>
            </w:pPr>
          </w:p>
        </w:tc>
      </w:tr>
      <w:tr w14:paraId="7AC5D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D2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6A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02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94C9">
            <w:pPr>
              <w:jc w:val="center"/>
            </w:pPr>
            <w:r>
              <w:rPr>
                <w:rFonts w:ascii="宋体" w:hAnsi="宋体" w:eastAsia="宋体"/>
                <w:sz w:val="16"/>
              </w:rPr>
              <w:t>有效降低职业病发生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F156">
            <w:pPr>
              <w:jc w:val="center"/>
            </w:pPr>
            <w:r>
              <w:rPr>
                <w:rFonts w:ascii="宋体" w:hAnsi="宋体" w:eastAsia="宋体"/>
                <w:sz w:val="16"/>
              </w:rPr>
              <w:t>有限降低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F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A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D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16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42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A309">
            <w:pPr>
              <w:jc w:val="center"/>
            </w:pPr>
            <w:r>
              <w:rPr>
                <w:rFonts w:ascii="宋体" w:hAnsi="宋体" w:eastAsia="宋体"/>
                <w:sz w:val="16"/>
              </w:rPr>
              <w:t>有限降低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C61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1A6AB">
            <w:pPr>
              <w:jc w:val="center"/>
            </w:pPr>
          </w:p>
        </w:tc>
      </w:tr>
      <w:tr w14:paraId="07136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9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BA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5C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980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B3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3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BB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A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14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9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0B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8F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B3229">
            <w:pPr>
              <w:jc w:val="center"/>
            </w:pPr>
          </w:p>
        </w:tc>
      </w:tr>
      <w:tr w14:paraId="59AAA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B2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AA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F6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6B3B3">
            <w:pPr>
              <w:jc w:val="center"/>
            </w:pPr>
            <w:r>
              <w:rPr>
                <w:rFonts w:ascii="宋体" w:hAnsi="宋体" w:eastAsia="宋体"/>
                <w:sz w:val="16"/>
              </w:rPr>
              <w:t>100分</w:t>
            </w:r>
          </w:p>
        </w:tc>
      </w:tr>
    </w:tbl>
    <w:p w14:paraId="230557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739C3C7">
        <w:tblPrEx>
          <w:tblCellMar>
            <w:top w:w="0" w:type="dxa"/>
            <w:left w:w="108" w:type="dxa"/>
            <w:bottom w:w="0" w:type="dxa"/>
            <w:right w:w="108" w:type="dxa"/>
          </w:tblCellMar>
        </w:tblPrEx>
        <w:tc>
          <w:tcPr>
            <w:tcW w:w="8848" w:type="dxa"/>
            <w:gridSpan w:val="14"/>
            <w:vAlign w:val="center"/>
          </w:tcPr>
          <w:p w14:paraId="2988826B">
            <w:pPr>
              <w:jc w:val="center"/>
            </w:pPr>
            <w:r>
              <w:rPr>
                <w:rFonts w:ascii="宋体" w:hAnsi="宋体" w:eastAsia="宋体"/>
                <w:sz w:val="24"/>
              </w:rPr>
              <w:t>项目支出绩效自评表</w:t>
            </w:r>
          </w:p>
        </w:tc>
      </w:tr>
      <w:tr w14:paraId="4F378D00">
        <w:tblPrEx>
          <w:tblCellMar>
            <w:top w:w="0" w:type="dxa"/>
            <w:left w:w="108" w:type="dxa"/>
            <w:bottom w:w="0" w:type="dxa"/>
            <w:right w:w="108" w:type="dxa"/>
          </w:tblCellMar>
        </w:tblPrEx>
        <w:tc>
          <w:tcPr>
            <w:tcW w:w="8848" w:type="dxa"/>
            <w:gridSpan w:val="14"/>
            <w:vAlign w:val="center"/>
          </w:tcPr>
          <w:p w14:paraId="0029B736">
            <w:pPr>
              <w:jc w:val="center"/>
            </w:pPr>
            <w:r>
              <w:rPr>
                <w:rFonts w:ascii="宋体" w:hAnsi="宋体" w:eastAsia="宋体"/>
                <w:sz w:val="24"/>
              </w:rPr>
              <w:t>(2024年度)</w:t>
            </w:r>
          </w:p>
        </w:tc>
      </w:tr>
      <w:tr w14:paraId="288FF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BA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3EE86">
            <w:pPr>
              <w:jc w:val="center"/>
            </w:pPr>
            <w:r>
              <w:rPr>
                <w:rFonts w:ascii="宋体" w:hAnsi="宋体" w:eastAsia="宋体"/>
                <w:sz w:val="16"/>
              </w:rPr>
              <w:t>2024年自治区公共卫生服务（地方公共卫生）补助项目经费</w:t>
            </w:r>
          </w:p>
        </w:tc>
      </w:tr>
      <w:tr w14:paraId="734C04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21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32156">
            <w:pPr>
              <w:jc w:val="center"/>
            </w:pPr>
            <w:r>
              <w:rPr>
                <w:rFonts w:ascii="宋体" w:hAnsi="宋体" w:eastAsia="宋体"/>
                <w:sz w:val="16"/>
              </w:rPr>
              <w:t>克孜勒苏柯尔克孜自治州卫生健康综合监督执法局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12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0AE6C">
            <w:pPr>
              <w:jc w:val="center"/>
            </w:pPr>
            <w:r>
              <w:rPr>
                <w:rFonts w:ascii="宋体" w:hAnsi="宋体" w:eastAsia="宋体"/>
                <w:sz w:val="16"/>
              </w:rPr>
              <w:t>克孜勒苏柯尔克孜自治州卫生健康综合监督执法局</w:t>
            </w:r>
          </w:p>
        </w:tc>
      </w:tr>
      <w:tr w14:paraId="79B72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088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D0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480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545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84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D6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B1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9CF3">
            <w:pPr>
              <w:jc w:val="center"/>
            </w:pPr>
            <w:r>
              <w:rPr>
                <w:rFonts w:ascii="宋体" w:hAnsi="宋体" w:eastAsia="宋体"/>
                <w:sz w:val="16"/>
              </w:rPr>
              <w:t>得分</w:t>
            </w:r>
          </w:p>
        </w:tc>
      </w:tr>
      <w:tr w14:paraId="4FA64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18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7C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4CAA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52F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5F1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CA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84D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DBEE">
            <w:pPr>
              <w:jc w:val="center"/>
            </w:pPr>
            <w:r>
              <w:rPr>
                <w:rFonts w:ascii="宋体" w:hAnsi="宋体" w:eastAsia="宋体"/>
                <w:sz w:val="16"/>
              </w:rPr>
              <w:t>10.00分</w:t>
            </w:r>
          </w:p>
        </w:tc>
      </w:tr>
      <w:tr w14:paraId="1170C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BF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71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E77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942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5C9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6B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22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5E03">
            <w:pPr>
              <w:jc w:val="center"/>
            </w:pPr>
            <w:r>
              <w:rPr>
                <w:rFonts w:ascii="宋体" w:hAnsi="宋体" w:eastAsia="宋体"/>
                <w:sz w:val="16"/>
              </w:rPr>
              <w:t>—</w:t>
            </w:r>
          </w:p>
        </w:tc>
      </w:tr>
      <w:tr w14:paraId="60B66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C2A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1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41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5E8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54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101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8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5AB1">
            <w:pPr>
              <w:jc w:val="center"/>
            </w:pPr>
            <w:r>
              <w:rPr>
                <w:rFonts w:ascii="宋体" w:hAnsi="宋体" w:eastAsia="宋体"/>
                <w:sz w:val="16"/>
              </w:rPr>
              <w:t>—</w:t>
            </w:r>
          </w:p>
        </w:tc>
      </w:tr>
      <w:tr w14:paraId="768063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B8F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4F7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AA86FB">
            <w:pPr>
              <w:jc w:val="center"/>
            </w:pPr>
            <w:r>
              <w:rPr>
                <w:rFonts w:ascii="宋体" w:hAnsi="宋体" w:eastAsia="宋体"/>
                <w:sz w:val="16"/>
              </w:rPr>
              <w:t>实际完成情况</w:t>
            </w:r>
          </w:p>
        </w:tc>
      </w:tr>
      <w:tr w14:paraId="60E79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22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1F7A5">
            <w:pPr>
              <w:jc w:val="both"/>
            </w:pPr>
            <w:r>
              <w:rPr>
                <w:rFonts w:ascii="宋体" w:hAnsi="宋体" w:eastAsia="宋体"/>
                <w:sz w:val="16"/>
              </w:rPr>
              <w:t>为推动“十四五”时期克州卫生健康综合监督执法事业高质量发展，依据《中华人民共和国国民经济和社会发展第十四个五年规划和 2035 年远景目标纲要》和《卫生健康综合监督执法事业发展规划纲要(2020- -2024 年 )》及克州卫生健康综合监督执法行业发展需要，要充分发挥卫生健康综合监督执法自身优势，统筹推进核心业务，积极推进突发公共卫生应急处置，以便进一步提升和保持卫生应急队伍的快速机动能力、专业处置救援能力、自我保障能力，切实发挥卫生应急现场处置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C4786">
            <w:pPr>
              <w:jc w:val="both"/>
            </w:pPr>
            <w:r>
              <w:rPr>
                <w:rFonts w:ascii="宋体" w:hAnsi="宋体" w:eastAsia="宋体"/>
                <w:sz w:val="16"/>
              </w:rPr>
              <w:t>截至2024年12月31日，已完成：执法队伍能力建设培训20人次、自治州双随机监督抽查完成60户，充分发挥卫生健康综合监督执法自身优势，统筹推进核心业务，积极推进突发公共卫生应急处置，以便进一步提升和保持卫生应急队伍的快速机动能力、专业处置救援能力、自我保障能力，切实发挥卫生应急现场处置作用。</w:t>
            </w:r>
          </w:p>
        </w:tc>
      </w:tr>
      <w:tr w14:paraId="3130D7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7E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B6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CE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D7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5E1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30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C1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D3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18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88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C9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E8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E535">
            <w:pPr>
              <w:jc w:val="center"/>
            </w:pPr>
            <w:r>
              <w:rPr>
                <w:rFonts w:ascii="宋体" w:hAnsi="宋体" w:eastAsia="宋体"/>
                <w:sz w:val="16"/>
              </w:rPr>
              <w:t>偏差原因分析及改进措施</w:t>
            </w:r>
          </w:p>
        </w:tc>
      </w:tr>
      <w:tr w14:paraId="71805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805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E59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9A3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AE79">
            <w:pPr>
              <w:jc w:val="center"/>
            </w:pPr>
            <w:r>
              <w:rPr>
                <w:rFonts w:ascii="宋体" w:hAnsi="宋体" w:eastAsia="宋体"/>
                <w:sz w:val="16"/>
              </w:rPr>
              <w:t>执法队伍能力建设培训人员（人次）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1C28">
            <w:pPr>
              <w:jc w:val="center"/>
            </w:pPr>
            <w:r>
              <w:rPr>
                <w:rFonts w:ascii="宋体" w:hAnsi="宋体" w:eastAsia="宋体"/>
                <w:sz w:val="16"/>
              </w:rPr>
              <w:t>&gt;=20人次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2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0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ED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3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CF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AD18">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38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231A">
            <w:pPr>
              <w:jc w:val="center"/>
            </w:pPr>
          </w:p>
        </w:tc>
      </w:tr>
      <w:tr w14:paraId="110FC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E1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CB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92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2ECC">
            <w:pPr>
              <w:jc w:val="center"/>
            </w:pPr>
            <w:r>
              <w:rPr>
                <w:rFonts w:ascii="宋体" w:hAnsi="宋体" w:eastAsia="宋体"/>
                <w:sz w:val="16"/>
              </w:rPr>
              <w:t>自治州双随机监督抽查完成户数（户）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C603">
            <w:pPr>
              <w:jc w:val="center"/>
            </w:pPr>
            <w:r>
              <w:rPr>
                <w:rFonts w:ascii="宋体" w:hAnsi="宋体" w:eastAsia="宋体"/>
                <w:sz w:val="16"/>
              </w:rPr>
              <w:t>&gt;=60户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A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02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EB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5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D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1AA3">
            <w:pPr>
              <w:jc w:val="center"/>
            </w:pPr>
            <w:r>
              <w:rPr>
                <w:rFonts w:ascii="宋体" w:hAnsi="宋体" w:eastAsia="宋体"/>
                <w:sz w:val="16"/>
              </w:rPr>
              <w:t>=60户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49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5A776">
            <w:pPr>
              <w:jc w:val="center"/>
            </w:pPr>
          </w:p>
        </w:tc>
      </w:tr>
      <w:tr w14:paraId="00AB9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23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C2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6C8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8D66">
            <w:pPr>
              <w:jc w:val="center"/>
            </w:pPr>
            <w:r>
              <w:rPr>
                <w:rFonts w:ascii="宋体" w:hAnsi="宋体" w:eastAsia="宋体"/>
                <w:sz w:val="16"/>
              </w:rPr>
              <w:t>执法队伍能力建设培训合格率（%）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1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6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2F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54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9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E9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C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29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A00D">
            <w:pPr>
              <w:jc w:val="center"/>
            </w:pPr>
          </w:p>
        </w:tc>
      </w:tr>
      <w:tr w14:paraId="1C078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56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F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6C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C968">
            <w:pPr>
              <w:jc w:val="center"/>
            </w:pPr>
            <w:r>
              <w:rPr>
                <w:rFonts w:ascii="宋体" w:hAnsi="宋体" w:eastAsia="宋体"/>
                <w:sz w:val="16"/>
              </w:rPr>
              <w:t>执法随机抽查完成率（%）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531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8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A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D4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3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A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336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C7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53DB0">
            <w:pPr>
              <w:jc w:val="center"/>
            </w:pPr>
          </w:p>
        </w:tc>
      </w:tr>
      <w:tr w14:paraId="4F6BD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D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6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D8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5A80">
            <w:pPr>
              <w:jc w:val="center"/>
            </w:pPr>
            <w:r>
              <w:rPr>
                <w:rFonts w:ascii="宋体" w:hAnsi="宋体" w:eastAsia="宋体"/>
                <w:sz w:val="16"/>
              </w:rPr>
              <w:t>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2B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2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9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8F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5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0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31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DEA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D2DEB">
            <w:pPr>
              <w:jc w:val="center"/>
            </w:pPr>
          </w:p>
        </w:tc>
      </w:tr>
      <w:tr w14:paraId="33390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22A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FDA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131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0457">
            <w:pPr>
              <w:jc w:val="center"/>
            </w:pPr>
            <w:r>
              <w:rPr>
                <w:rFonts w:ascii="宋体" w:hAnsi="宋体" w:eastAsia="宋体"/>
                <w:sz w:val="16"/>
              </w:rPr>
              <w:t>举办卫生监督培训费用（万元）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5D8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1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2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F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2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BD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7D6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96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469D">
            <w:pPr>
              <w:jc w:val="center"/>
            </w:pPr>
          </w:p>
        </w:tc>
      </w:tr>
      <w:tr w14:paraId="2CE95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D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DC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B8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6B4F">
            <w:pPr>
              <w:jc w:val="center"/>
            </w:pPr>
            <w:r>
              <w:rPr>
                <w:rFonts w:ascii="宋体" w:hAnsi="宋体" w:eastAsia="宋体"/>
                <w:sz w:val="16"/>
              </w:rPr>
              <w:t>开展双随机工作经费（万元）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4B1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5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98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4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8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DD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313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6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5A46">
            <w:pPr>
              <w:jc w:val="center"/>
            </w:pPr>
          </w:p>
        </w:tc>
      </w:tr>
      <w:tr w14:paraId="0070C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AE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7B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6F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7391">
            <w:pPr>
              <w:jc w:val="center"/>
            </w:pPr>
            <w:r>
              <w:rPr>
                <w:rFonts w:ascii="宋体" w:hAnsi="宋体" w:eastAsia="宋体"/>
                <w:sz w:val="16"/>
              </w:rPr>
              <w:t>提升执法队伍专业素质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41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7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1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9A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F9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A47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A1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F9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D12A">
            <w:pPr>
              <w:jc w:val="center"/>
            </w:pPr>
          </w:p>
        </w:tc>
      </w:tr>
      <w:tr w14:paraId="5549C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F0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A4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79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41EC">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10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F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5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EC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3C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9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24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6C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FC6F3">
            <w:pPr>
              <w:jc w:val="center"/>
            </w:pPr>
          </w:p>
        </w:tc>
      </w:tr>
      <w:tr w14:paraId="4FBAB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FD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F0D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39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675375">
            <w:pPr>
              <w:jc w:val="center"/>
            </w:pPr>
            <w:r>
              <w:rPr>
                <w:rFonts w:ascii="宋体" w:hAnsi="宋体" w:eastAsia="宋体"/>
                <w:sz w:val="16"/>
              </w:rPr>
              <w:t>100分</w:t>
            </w:r>
          </w:p>
        </w:tc>
      </w:tr>
    </w:tbl>
    <w:p w14:paraId="6F0571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B25CE60">
        <w:tblPrEx>
          <w:tblCellMar>
            <w:top w:w="0" w:type="dxa"/>
            <w:left w:w="108" w:type="dxa"/>
            <w:bottom w:w="0" w:type="dxa"/>
            <w:right w:w="108" w:type="dxa"/>
          </w:tblCellMar>
        </w:tblPrEx>
        <w:tc>
          <w:tcPr>
            <w:tcW w:w="8848" w:type="dxa"/>
            <w:gridSpan w:val="14"/>
            <w:vAlign w:val="center"/>
          </w:tcPr>
          <w:p w14:paraId="4E5C11D0">
            <w:pPr>
              <w:jc w:val="center"/>
            </w:pPr>
            <w:r>
              <w:rPr>
                <w:rFonts w:ascii="宋体" w:hAnsi="宋体" w:eastAsia="宋体"/>
                <w:sz w:val="24"/>
              </w:rPr>
              <w:t>项目支出绩效自评表</w:t>
            </w:r>
          </w:p>
        </w:tc>
      </w:tr>
      <w:tr w14:paraId="0243C005">
        <w:tblPrEx>
          <w:tblCellMar>
            <w:top w:w="0" w:type="dxa"/>
            <w:left w:w="108" w:type="dxa"/>
            <w:bottom w:w="0" w:type="dxa"/>
            <w:right w:w="108" w:type="dxa"/>
          </w:tblCellMar>
        </w:tblPrEx>
        <w:tc>
          <w:tcPr>
            <w:tcW w:w="8848" w:type="dxa"/>
            <w:gridSpan w:val="14"/>
            <w:vAlign w:val="center"/>
          </w:tcPr>
          <w:p w14:paraId="2189503C">
            <w:pPr>
              <w:jc w:val="center"/>
            </w:pPr>
            <w:r>
              <w:rPr>
                <w:rFonts w:ascii="宋体" w:hAnsi="宋体" w:eastAsia="宋体"/>
                <w:sz w:val="24"/>
              </w:rPr>
              <w:t>(2024年度)</w:t>
            </w:r>
          </w:p>
        </w:tc>
      </w:tr>
      <w:tr w14:paraId="4F56A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4E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A0E4DF">
            <w:pPr>
              <w:jc w:val="center"/>
            </w:pPr>
            <w:r>
              <w:rPr>
                <w:rFonts w:ascii="宋体" w:hAnsi="宋体" w:eastAsia="宋体"/>
                <w:sz w:val="16"/>
              </w:rPr>
              <w:t>基本公共卫生服务(  双随机项目)</w:t>
            </w:r>
          </w:p>
        </w:tc>
      </w:tr>
      <w:tr w14:paraId="0CDAF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1E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DAA53">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25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541BC4">
            <w:pPr>
              <w:jc w:val="center"/>
            </w:pPr>
            <w:r>
              <w:rPr>
                <w:rFonts w:ascii="宋体" w:hAnsi="宋体" w:eastAsia="宋体"/>
                <w:sz w:val="16"/>
              </w:rPr>
              <w:t>克孜勒苏柯尔克孜自治州卫生健康综合监督执法局</w:t>
            </w:r>
          </w:p>
        </w:tc>
      </w:tr>
      <w:tr w14:paraId="0C8DC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7BE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36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F8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61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FEC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ED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143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0729">
            <w:pPr>
              <w:jc w:val="center"/>
            </w:pPr>
            <w:r>
              <w:rPr>
                <w:rFonts w:ascii="宋体" w:hAnsi="宋体" w:eastAsia="宋体"/>
                <w:sz w:val="16"/>
              </w:rPr>
              <w:t>得分</w:t>
            </w:r>
          </w:p>
        </w:tc>
      </w:tr>
      <w:tr w14:paraId="5E3FE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B2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ACE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B8FDD">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2F66">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ADC8F">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6D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DA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19AB">
            <w:pPr>
              <w:jc w:val="center"/>
            </w:pPr>
            <w:r>
              <w:rPr>
                <w:rFonts w:ascii="宋体" w:hAnsi="宋体" w:eastAsia="宋体"/>
                <w:sz w:val="16"/>
              </w:rPr>
              <w:t>10.00分</w:t>
            </w:r>
          </w:p>
        </w:tc>
      </w:tr>
      <w:tr w14:paraId="47FB3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35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9D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3F2B">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65C8">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EC13D">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A6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D3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0FCC">
            <w:pPr>
              <w:jc w:val="center"/>
            </w:pPr>
            <w:r>
              <w:rPr>
                <w:rFonts w:ascii="宋体" w:hAnsi="宋体" w:eastAsia="宋体"/>
                <w:sz w:val="16"/>
              </w:rPr>
              <w:t>—</w:t>
            </w:r>
          </w:p>
        </w:tc>
      </w:tr>
      <w:tr w14:paraId="4F3C1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1B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EC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B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A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4B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6DB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49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0ED4">
            <w:pPr>
              <w:jc w:val="center"/>
            </w:pPr>
            <w:r>
              <w:rPr>
                <w:rFonts w:ascii="宋体" w:hAnsi="宋体" w:eastAsia="宋体"/>
                <w:sz w:val="16"/>
              </w:rPr>
              <w:t>—</w:t>
            </w:r>
          </w:p>
        </w:tc>
      </w:tr>
      <w:tr w14:paraId="3ECCC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A08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5C6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F9079">
            <w:pPr>
              <w:jc w:val="center"/>
            </w:pPr>
            <w:r>
              <w:rPr>
                <w:rFonts w:ascii="宋体" w:hAnsi="宋体" w:eastAsia="宋体"/>
                <w:sz w:val="16"/>
              </w:rPr>
              <w:t>实际完成情况</w:t>
            </w:r>
          </w:p>
        </w:tc>
      </w:tr>
      <w:tr w14:paraId="167DB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B0E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CE35C">
            <w:pPr>
              <w:jc w:val="both"/>
            </w:pPr>
            <w:r>
              <w:rPr>
                <w:rFonts w:ascii="宋体" w:hAnsi="宋体" w:eastAsia="宋体"/>
                <w:sz w:val="16"/>
              </w:rPr>
              <w:t>项目资金0.4万元，其中：中央转移支付资金0.4万元。全年计划克州卫生健康综合监督执法局在克州疾控中心或各县（市）疾控中心协议做随机工作中的检测任务，使用计划0.4万元。通过该项目的实施，进行健康宣传教育，提高健康意识，提高全民健康水平，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CA604">
            <w:pPr>
              <w:jc w:val="both"/>
            </w:pPr>
            <w:r>
              <w:rPr>
                <w:rFonts w:ascii="宋体" w:hAnsi="宋体" w:eastAsia="宋体"/>
                <w:sz w:val="16"/>
              </w:rPr>
              <w:t>截至2024年12月31日，已完成：开展食品安全培训工作1次、卫生监督协管专业巡查1次，通过该项目的实施，进行健康宣传教育，提高健康意识，提高全民健康水平，改善民生。</w:t>
            </w:r>
          </w:p>
        </w:tc>
      </w:tr>
      <w:tr w14:paraId="68E0D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CA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E5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56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B0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E4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E9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1C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6A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9A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AA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91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EC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E8E6">
            <w:pPr>
              <w:jc w:val="center"/>
            </w:pPr>
            <w:r>
              <w:rPr>
                <w:rFonts w:ascii="宋体" w:hAnsi="宋体" w:eastAsia="宋体"/>
                <w:sz w:val="16"/>
              </w:rPr>
              <w:t>偏差原因分析及改进措施</w:t>
            </w:r>
          </w:p>
        </w:tc>
      </w:tr>
      <w:tr w14:paraId="771FBC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53E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BF5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E03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706F">
            <w:pPr>
              <w:jc w:val="center"/>
            </w:pPr>
            <w:r>
              <w:rPr>
                <w:rFonts w:ascii="宋体" w:hAnsi="宋体" w:eastAsia="宋体"/>
                <w:sz w:val="16"/>
              </w:rPr>
              <w:t>开展食品安全培训工作（次）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0FF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2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9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9D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F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31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13A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5E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9D1E">
            <w:pPr>
              <w:jc w:val="center"/>
            </w:pPr>
          </w:p>
        </w:tc>
      </w:tr>
      <w:tr w14:paraId="73906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0E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A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01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ED1A">
            <w:pPr>
              <w:jc w:val="center"/>
            </w:pPr>
            <w:r>
              <w:rPr>
                <w:rFonts w:ascii="宋体" w:hAnsi="宋体" w:eastAsia="宋体"/>
                <w:sz w:val="16"/>
              </w:rPr>
              <w:t>卫生监督协管专业巡查（次）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795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4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F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8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F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9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BEE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19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AED4">
            <w:pPr>
              <w:jc w:val="center"/>
            </w:pPr>
          </w:p>
        </w:tc>
      </w:tr>
      <w:tr w14:paraId="28241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85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0D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C8A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462B">
            <w:pPr>
              <w:jc w:val="center"/>
            </w:pPr>
            <w:r>
              <w:rPr>
                <w:rFonts w:ascii="宋体" w:hAnsi="宋体" w:eastAsia="宋体"/>
                <w:sz w:val="16"/>
              </w:rPr>
              <w:t>开展食品安全标准培训达标率（%）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8D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A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E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DF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D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0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9E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C7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CD3D">
            <w:pPr>
              <w:jc w:val="center"/>
            </w:pPr>
          </w:p>
        </w:tc>
      </w:tr>
      <w:tr w14:paraId="6BAE0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E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37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BA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F335">
            <w:pPr>
              <w:jc w:val="center"/>
            </w:pPr>
            <w:r>
              <w:rPr>
                <w:rFonts w:ascii="宋体" w:hAnsi="宋体" w:eastAsia="宋体"/>
                <w:sz w:val="16"/>
              </w:rPr>
              <w:t>卫生监督协管巡查覆盖率（%）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60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3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E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66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7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A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38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AC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1F41">
            <w:pPr>
              <w:jc w:val="center"/>
            </w:pPr>
          </w:p>
        </w:tc>
      </w:tr>
      <w:tr w14:paraId="366B8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9C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4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B2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88F3">
            <w:pPr>
              <w:jc w:val="center"/>
            </w:pPr>
            <w:r>
              <w:rPr>
                <w:rFonts w:ascii="宋体" w:hAnsi="宋体" w:eastAsia="宋体"/>
                <w:sz w:val="16"/>
              </w:rPr>
              <w:t>开展工作及时性（%）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DB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C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B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A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5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8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5F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6A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1B61">
            <w:pPr>
              <w:jc w:val="center"/>
            </w:pPr>
          </w:p>
        </w:tc>
      </w:tr>
      <w:tr w14:paraId="25EC3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1B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3BE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152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2A3B">
            <w:pPr>
              <w:jc w:val="center"/>
            </w:pPr>
            <w:r>
              <w:rPr>
                <w:rFonts w:ascii="宋体" w:hAnsi="宋体" w:eastAsia="宋体"/>
                <w:sz w:val="16"/>
              </w:rPr>
              <w:t>开展食品安全标准培训工作经费（万元）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F137">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0B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9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C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1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E9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E155">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B3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8AE4F">
            <w:pPr>
              <w:jc w:val="center"/>
            </w:pPr>
          </w:p>
        </w:tc>
      </w:tr>
      <w:tr w14:paraId="2F86B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1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CD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6C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C77A">
            <w:pPr>
              <w:jc w:val="center"/>
            </w:pPr>
            <w:r>
              <w:rPr>
                <w:rFonts w:ascii="宋体" w:hAnsi="宋体" w:eastAsia="宋体"/>
                <w:sz w:val="16"/>
              </w:rPr>
              <w:t>卫生监督协管专业巡查经费（万元）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131C">
            <w:pPr>
              <w:jc w:val="center"/>
            </w:pPr>
            <w:r>
              <w:rPr>
                <w:rFonts w:ascii="宋体" w:hAnsi="宋体" w:eastAsia="宋体"/>
                <w:sz w:val="16"/>
              </w:rPr>
              <w:t>&lt;=0.10万元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EA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2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1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F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10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FBAB">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0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444A">
            <w:pPr>
              <w:jc w:val="center"/>
            </w:pPr>
          </w:p>
        </w:tc>
      </w:tr>
      <w:tr w14:paraId="14C04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3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02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27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6CF7">
            <w:pPr>
              <w:jc w:val="center"/>
            </w:pPr>
            <w:r>
              <w:rPr>
                <w:rFonts w:ascii="宋体" w:hAnsi="宋体" w:eastAsia="宋体"/>
                <w:sz w:val="16"/>
              </w:rPr>
              <w:t>提高全民健康水平，改善民生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17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A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F3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5C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58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0D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C53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08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362B">
            <w:pPr>
              <w:jc w:val="center"/>
            </w:pPr>
          </w:p>
        </w:tc>
      </w:tr>
      <w:tr w14:paraId="71B20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E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4C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D1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E2E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C4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D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E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5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61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D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8B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5D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A6B24">
            <w:pPr>
              <w:jc w:val="center"/>
            </w:pPr>
          </w:p>
        </w:tc>
      </w:tr>
      <w:tr w14:paraId="4A237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DA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B9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57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81A08">
            <w:pPr>
              <w:jc w:val="center"/>
            </w:pPr>
            <w:r>
              <w:rPr>
                <w:rFonts w:ascii="宋体" w:hAnsi="宋体" w:eastAsia="宋体"/>
                <w:sz w:val="16"/>
              </w:rPr>
              <w:t>100分</w:t>
            </w:r>
          </w:p>
        </w:tc>
      </w:tr>
    </w:tbl>
    <w:p w14:paraId="5E0550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EBBDB35">
        <w:tblPrEx>
          <w:tblCellMar>
            <w:top w:w="0" w:type="dxa"/>
            <w:left w:w="108" w:type="dxa"/>
            <w:bottom w:w="0" w:type="dxa"/>
            <w:right w:w="108" w:type="dxa"/>
          </w:tblCellMar>
        </w:tblPrEx>
        <w:tc>
          <w:tcPr>
            <w:tcW w:w="8848" w:type="dxa"/>
            <w:gridSpan w:val="14"/>
            <w:vAlign w:val="center"/>
          </w:tcPr>
          <w:p w14:paraId="4D6FE033">
            <w:pPr>
              <w:jc w:val="center"/>
            </w:pPr>
            <w:r>
              <w:rPr>
                <w:rFonts w:ascii="宋体" w:hAnsi="宋体" w:eastAsia="宋体"/>
                <w:sz w:val="24"/>
              </w:rPr>
              <w:t>项目支出绩效自评表</w:t>
            </w:r>
          </w:p>
        </w:tc>
      </w:tr>
      <w:tr w14:paraId="13C47B1D">
        <w:tblPrEx>
          <w:tblCellMar>
            <w:top w:w="0" w:type="dxa"/>
            <w:left w:w="108" w:type="dxa"/>
            <w:bottom w:w="0" w:type="dxa"/>
            <w:right w:w="108" w:type="dxa"/>
          </w:tblCellMar>
        </w:tblPrEx>
        <w:tc>
          <w:tcPr>
            <w:tcW w:w="8848" w:type="dxa"/>
            <w:gridSpan w:val="14"/>
            <w:vAlign w:val="center"/>
          </w:tcPr>
          <w:p w14:paraId="12E181F0">
            <w:pPr>
              <w:jc w:val="center"/>
            </w:pPr>
            <w:r>
              <w:rPr>
                <w:rFonts w:ascii="宋体" w:hAnsi="宋体" w:eastAsia="宋体"/>
                <w:sz w:val="24"/>
              </w:rPr>
              <w:t>(2024年度)</w:t>
            </w:r>
          </w:p>
        </w:tc>
      </w:tr>
      <w:tr w14:paraId="257397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DC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E27247">
            <w:pPr>
              <w:jc w:val="center"/>
            </w:pPr>
            <w:r>
              <w:rPr>
                <w:rFonts w:ascii="宋体" w:hAnsi="宋体" w:eastAsia="宋体"/>
                <w:sz w:val="16"/>
              </w:rPr>
              <w:t>就业补助项目</w:t>
            </w:r>
          </w:p>
        </w:tc>
      </w:tr>
      <w:tr w14:paraId="407D1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36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E7509">
            <w:pPr>
              <w:jc w:val="center"/>
            </w:pPr>
            <w:r>
              <w:rPr>
                <w:rFonts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0F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E7B18">
            <w:pPr>
              <w:jc w:val="center"/>
            </w:pPr>
            <w:r>
              <w:rPr>
                <w:rFonts w:ascii="宋体" w:hAnsi="宋体" w:eastAsia="宋体"/>
                <w:sz w:val="16"/>
              </w:rPr>
              <w:t>克孜勒苏柯尔克孜自治州卫生健康综合监督执法局</w:t>
            </w:r>
          </w:p>
        </w:tc>
      </w:tr>
      <w:tr w14:paraId="2C7F3B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C8B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0E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B76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0A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5A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8F7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A38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BD18">
            <w:pPr>
              <w:jc w:val="center"/>
            </w:pPr>
            <w:r>
              <w:rPr>
                <w:rFonts w:ascii="宋体" w:hAnsi="宋体" w:eastAsia="宋体"/>
                <w:sz w:val="16"/>
              </w:rPr>
              <w:t>得分</w:t>
            </w:r>
          </w:p>
        </w:tc>
      </w:tr>
      <w:tr w14:paraId="4E22F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E6B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3CC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FBD6">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7CA01">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CB09">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32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A8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E72E">
            <w:pPr>
              <w:jc w:val="center"/>
            </w:pPr>
            <w:r>
              <w:rPr>
                <w:rFonts w:ascii="宋体" w:hAnsi="宋体" w:eastAsia="宋体"/>
                <w:sz w:val="16"/>
              </w:rPr>
              <w:t>10.00分</w:t>
            </w:r>
          </w:p>
        </w:tc>
      </w:tr>
      <w:tr w14:paraId="15F3E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66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A5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8C16">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000D">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0D02">
            <w:pPr>
              <w:jc w:val="center"/>
            </w:pPr>
            <w:r>
              <w:rPr>
                <w:rFonts w:ascii="宋体" w:hAnsi="宋体" w:eastAsia="宋体"/>
                <w:sz w:val="16"/>
              </w:rPr>
              <w:t>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FA5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0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748F">
            <w:pPr>
              <w:jc w:val="center"/>
            </w:pPr>
            <w:r>
              <w:rPr>
                <w:rFonts w:ascii="宋体" w:hAnsi="宋体" w:eastAsia="宋体"/>
                <w:sz w:val="16"/>
              </w:rPr>
              <w:t>—</w:t>
            </w:r>
          </w:p>
        </w:tc>
      </w:tr>
      <w:tr w14:paraId="7003D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C5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72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EEE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0A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6E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B7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7B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4DD">
            <w:pPr>
              <w:jc w:val="center"/>
            </w:pPr>
            <w:r>
              <w:rPr>
                <w:rFonts w:ascii="宋体" w:hAnsi="宋体" w:eastAsia="宋体"/>
                <w:sz w:val="16"/>
              </w:rPr>
              <w:t>—</w:t>
            </w:r>
          </w:p>
        </w:tc>
      </w:tr>
      <w:tr w14:paraId="7D4FF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251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091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A7D0E2">
            <w:pPr>
              <w:jc w:val="center"/>
            </w:pPr>
            <w:r>
              <w:rPr>
                <w:rFonts w:ascii="宋体" w:hAnsi="宋体" w:eastAsia="宋体"/>
                <w:sz w:val="16"/>
              </w:rPr>
              <w:t>实际完成情况</w:t>
            </w:r>
          </w:p>
        </w:tc>
      </w:tr>
      <w:tr w14:paraId="18E3B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101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078D7C">
            <w:pPr>
              <w:jc w:val="both"/>
            </w:pPr>
            <w:r>
              <w:rPr>
                <w:rFonts w:ascii="宋体" w:hAnsi="宋体" w:eastAsia="宋体"/>
                <w:sz w:val="16"/>
              </w:rPr>
              <w:t>项目资金4.4万元，其中财政补助资金4.4万元，其他资金0万元。通过实施见习生就业补助项目，在一定周期内，有效提升见习生就业能力，增加见习生就业机会，助力其实现高质量就业，为经济社会发展提供人才支撑，优化人力资源配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CC87E">
            <w:pPr>
              <w:jc w:val="both"/>
            </w:pPr>
            <w:r>
              <w:rPr>
                <w:rFonts w:ascii="宋体" w:hAnsi="宋体" w:eastAsia="宋体"/>
                <w:sz w:val="16"/>
              </w:rPr>
              <w:t>截至2024年12月31日，已完成：见习岗位开发数量6个、见习生招募6人，通过实施见习生就业补助项目，在一定周期内，有效提升见习生就业能力，增加见习生就业机会，助力其实现高质量就业，为经济社会发展提供人才支撑，优化人力资源配置。</w:t>
            </w:r>
          </w:p>
        </w:tc>
      </w:tr>
      <w:tr w14:paraId="7E1AC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CA0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A8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2B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CB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80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72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31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41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89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7F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30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12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FDEC8">
            <w:pPr>
              <w:jc w:val="center"/>
            </w:pPr>
            <w:r>
              <w:rPr>
                <w:rFonts w:ascii="宋体" w:hAnsi="宋体" w:eastAsia="宋体"/>
                <w:sz w:val="16"/>
              </w:rPr>
              <w:t>偏差原因分析及改进措施</w:t>
            </w:r>
          </w:p>
        </w:tc>
      </w:tr>
      <w:tr w14:paraId="1E0E25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738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79D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A0C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CA76">
            <w:pPr>
              <w:jc w:val="center"/>
            </w:pPr>
            <w:r>
              <w:rPr>
                <w:rFonts w:ascii="宋体" w:hAnsi="宋体" w:eastAsia="宋体"/>
                <w:sz w:val="16"/>
              </w:rPr>
              <w:t>见习岗位开发数量（个）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ACE0">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9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DF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2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3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7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D9F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22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6B69">
            <w:pPr>
              <w:jc w:val="center"/>
            </w:pPr>
          </w:p>
        </w:tc>
      </w:tr>
      <w:tr w14:paraId="7D93C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7E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1E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D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4FE3">
            <w:pPr>
              <w:jc w:val="center"/>
            </w:pPr>
            <w:r>
              <w:rPr>
                <w:rFonts w:ascii="宋体" w:hAnsi="宋体" w:eastAsia="宋体"/>
                <w:sz w:val="16"/>
              </w:rPr>
              <w:t>见习生招募人数（人）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C6AF">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5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7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DA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F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0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0EC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D5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0090">
            <w:pPr>
              <w:jc w:val="center"/>
            </w:pPr>
          </w:p>
        </w:tc>
      </w:tr>
      <w:tr w14:paraId="1BE66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B0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6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C58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2AA1">
            <w:pPr>
              <w:jc w:val="center"/>
            </w:pPr>
            <w:r>
              <w:rPr>
                <w:rFonts w:ascii="宋体" w:hAnsi="宋体" w:eastAsia="宋体"/>
                <w:sz w:val="16"/>
              </w:rPr>
              <w:t>见习生岗位质量达标率（%）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7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5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5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EE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F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3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7D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94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0310">
            <w:pPr>
              <w:jc w:val="center"/>
            </w:pPr>
          </w:p>
        </w:tc>
      </w:tr>
      <w:tr w14:paraId="3D6A3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C1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47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1B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1CF1">
            <w:pPr>
              <w:jc w:val="center"/>
            </w:pPr>
            <w:r>
              <w:rPr>
                <w:rFonts w:ascii="宋体" w:hAnsi="宋体" w:eastAsia="宋体"/>
                <w:sz w:val="16"/>
              </w:rPr>
              <w:t>见习生补助发放准确率（%）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A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9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7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58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D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2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3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A1A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8246">
            <w:pPr>
              <w:jc w:val="center"/>
            </w:pPr>
          </w:p>
        </w:tc>
      </w:tr>
      <w:tr w14:paraId="64C58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1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EA3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C9F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083F">
            <w:pPr>
              <w:jc w:val="center"/>
            </w:pPr>
            <w:r>
              <w:rPr>
                <w:rFonts w:ascii="宋体" w:hAnsi="宋体" w:eastAsia="宋体"/>
                <w:sz w:val="16"/>
              </w:rPr>
              <w:t>补助资金发放及时性（%）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8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F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2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B1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3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5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0F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7F3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46A9D">
            <w:pPr>
              <w:jc w:val="center"/>
            </w:pPr>
          </w:p>
        </w:tc>
      </w:tr>
      <w:tr w14:paraId="193C6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F7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E6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9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E2C">
            <w:pPr>
              <w:jc w:val="center"/>
            </w:pPr>
            <w:r>
              <w:rPr>
                <w:rFonts w:ascii="宋体" w:hAnsi="宋体" w:eastAsia="宋体"/>
                <w:sz w:val="16"/>
              </w:rPr>
              <w:t>见习项目按时完成率（%）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F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9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94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CF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8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0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5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46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8D8B">
            <w:pPr>
              <w:jc w:val="center"/>
            </w:pPr>
          </w:p>
        </w:tc>
      </w:tr>
      <w:tr w14:paraId="4F253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5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32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C1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E7B3">
            <w:pPr>
              <w:jc w:val="center"/>
            </w:pPr>
            <w:r>
              <w:rPr>
                <w:rFonts w:ascii="宋体" w:hAnsi="宋体" w:eastAsia="宋体"/>
                <w:sz w:val="16"/>
              </w:rPr>
              <w:t>生活补助经费（万元）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09E7">
            <w:pPr>
              <w:jc w:val="center"/>
            </w:pPr>
            <w:r>
              <w:rPr>
                <w:rFonts w:ascii="宋体" w:hAnsi="宋体" w:eastAsia="宋体"/>
                <w:sz w:val="16"/>
              </w:rPr>
              <w:t>&lt;=4.40万元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7A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E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A7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5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7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7EF7">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5D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56F94">
            <w:pPr>
              <w:jc w:val="center"/>
            </w:pPr>
          </w:p>
        </w:tc>
      </w:tr>
      <w:tr w14:paraId="329D9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0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70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90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B66D">
            <w:pPr>
              <w:jc w:val="center"/>
            </w:pPr>
            <w:r>
              <w:rPr>
                <w:rFonts w:ascii="宋体" w:hAnsi="宋体" w:eastAsia="宋体"/>
                <w:sz w:val="16"/>
              </w:rPr>
              <w:t>青年就业能力提升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F5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C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D5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6D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0B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D2B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54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C232">
            <w:pPr>
              <w:jc w:val="center"/>
            </w:pPr>
          </w:p>
        </w:tc>
      </w:tr>
      <w:tr w14:paraId="59FAF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9F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B3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F9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060C">
            <w:pPr>
              <w:jc w:val="center"/>
            </w:pPr>
            <w:r>
              <w:rPr>
                <w:rFonts w:ascii="宋体" w:hAnsi="宋体" w:eastAsia="宋体"/>
                <w:sz w:val="16"/>
              </w:rPr>
              <w:t>见习生满意度（%）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FE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2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D4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4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3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1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6B4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24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9B9D">
            <w:pPr>
              <w:jc w:val="center"/>
            </w:pPr>
          </w:p>
        </w:tc>
      </w:tr>
      <w:tr w14:paraId="4F0C5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ED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25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AE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6091A">
            <w:pPr>
              <w:jc w:val="center"/>
            </w:pPr>
            <w:r>
              <w:rPr>
                <w:rFonts w:ascii="宋体" w:hAnsi="宋体" w:eastAsia="宋体"/>
                <w:sz w:val="16"/>
              </w:rPr>
              <w:t>100分</w:t>
            </w:r>
          </w:p>
        </w:tc>
      </w:tr>
    </w:tbl>
    <w:p w14:paraId="4CC92EDB">
      <w:r>
        <w:br w:type="page"/>
      </w:r>
    </w:p>
    <w:p w14:paraId="7013B30F">
      <w:pPr>
        <w:spacing w:line="640" w:lineRule="exact"/>
        <w:ind w:firstLine="640"/>
        <w:jc w:val="both"/>
        <w:outlineLvl w:val="2"/>
      </w:pPr>
      <w:r>
        <w:rPr>
          <w:rFonts w:ascii="黑体" w:hAnsi="黑体" w:eastAsia="黑体"/>
          <w:sz w:val="32"/>
        </w:rPr>
        <w:t>十二、其他需说明的事项</w:t>
      </w:r>
    </w:p>
    <w:p w14:paraId="2DB891F8">
      <w:pPr>
        <w:spacing w:line="580" w:lineRule="exact"/>
        <w:ind w:firstLine="640"/>
        <w:jc w:val="both"/>
      </w:pPr>
      <w:r>
        <w:rPr>
          <w:rFonts w:ascii="仿宋_GB2312" w:hAnsi="仿宋_GB2312" w:eastAsia="仿宋_GB2312"/>
          <w:b w:val="0"/>
          <w:sz w:val="32"/>
        </w:rPr>
        <w:t>本年度本单位政府采购为大型企业采购，故授予中小企业</w:t>
      </w:r>
      <w:r>
        <w:rPr>
          <w:rFonts w:hint="eastAsia" w:ascii="仿宋_GB2312" w:hAnsi="仿宋_GB2312" w:eastAsia="仿宋_GB2312"/>
          <w:b w:val="0"/>
          <w:sz w:val="32"/>
          <w:lang w:eastAsia="zh-CN"/>
        </w:rPr>
        <w:t>、</w:t>
      </w:r>
      <w:r>
        <w:rPr>
          <w:rFonts w:ascii="仿宋_GB2312" w:hAnsi="仿宋_GB2312" w:eastAsia="仿宋_GB2312"/>
          <w:b w:val="0"/>
          <w:sz w:val="32"/>
        </w:rPr>
        <w:t>小微企业合同金额为0.00万元。</w:t>
      </w:r>
    </w:p>
    <w:p w14:paraId="12746882">
      <w:r>
        <w:br w:type="page"/>
      </w:r>
    </w:p>
    <w:p w14:paraId="7B2DBF8F">
      <w:pPr>
        <w:spacing w:line="240" w:lineRule="auto"/>
        <w:jc w:val="center"/>
        <w:outlineLvl w:val="1"/>
      </w:pPr>
      <w:r>
        <w:rPr>
          <w:rFonts w:ascii="黑体" w:hAnsi="黑体" w:eastAsia="黑体"/>
          <w:sz w:val="32"/>
        </w:rPr>
        <w:t>第三部分 专业名词解释</w:t>
      </w:r>
    </w:p>
    <w:p w14:paraId="5EB8727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0CB58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9F223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9BC6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B8CC1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39E9B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F344C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A4D3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DE509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1853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1F712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8B75D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43376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BA0E0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9D3C5E">
      <w:r>
        <w:br w:type="page"/>
      </w:r>
    </w:p>
    <w:p w14:paraId="37D4F4ED">
      <w:pPr>
        <w:spacing w:line="240" w:lineRule="auto"/>
        <w:jc w:val="center"/>
        <w:outlineLvl w:val="1"/>
      </w:pPr>
      <w:r>
        <w:rPr>
          <w:rFonts w:ascii="黑体" w:hAnsi="黑体" w:eastAsia="黑体"/>
          <w:sz w:val="32"/>
        </w:rPr>
        <w:t>第四部分 部门决算报表（见附表）</w:t>
      </w:r>
    </w:p>
    <w:p w14:paraId="0DE6251C">
      <w:pPr>
        <w:spacing w:line="240" w:lineRule="auto"/>
        <w:ind w:firstLine="640"/>
        <w:jc w:val="both"/>
      </w:pPr>
      <w:r>
        <w:rPr>
          <w:rFonts w:ascii="仿宋_GB2312" w:hAnsi="仿宋_GB2312" w:eastAsia="仿宋_GB2312"/>
          <w:b w:val="0"/>
          <w:sz w:val="32"/>
        </w:rPr>
        <w:t>一、《收入支出决算总表》</w:t>
      </w:r>
    </w:p>
    <w:p w14:paraId="7A8A6AD5">
      <w:pPr>
        <w:spacing w:line="240" w:lineRule="auto"/>
        <w:ind w:firstLine="640"/>
        <w:jc w:val="both"/>
      </w:pPr>
      <w:r>
        <w:rPr>
          <w:rFonts w:ascii="仿宋_GB2312" w:hAnsi="仿宋_GB2312" w:eastAsia="仿宋_GB2312"/>
          <w:b w:val="0"/>
          <w:sz w:val="32"/>
        </w:rPr>
        <w:t>二、《收入决算表》</w:t>
      </w:r>
    </w:p>
    <w:p w14:paraId="24095DAA">
      <w:pPr>
        <w:spacing w:line="240" w:lineRule="auto"/>
        <w:ind w:firstLine="640"/>
        <w:jc w:val="both"/>
      </w:pPr>
      <w:r>
        <w:rPr>
          <w:rFonts w:ascii="仿宋_GB2312" w:hAnsi="仿宋_GB2312" w:eastAsia="仿宋_GB2312"/>
          <w:b w:val="0"/>
          <w:sz w:val="32"/>
        </w:rPr>
        <w:t>三、《支出决算表》</w:t>
      </w:r>
    </w:p>
    <w:p w14:paraId="59819BE3">
      <w:pPr>
        <w:spacing w:line="240" w:lineRule="auto"/>
        <w:ind w:firstLine="640"/>
        <w:jc w:val="both"/>
      </w:pPr>
      <w:r>
        <w:rPr>
          <w:rFonts w:ascii="仿宋_GB2312" w:hAnsi="仿宋_GB2312" w:eastAsia="仿宋_GB2312"/>
          <w:b w:val="0"/>
          <w:sz w:val="32"/>
        </w:rPr>
        <w:t>四、《财政拨款收入支出决算总表》</w:t>
      </w:r>
    </w:p>
    <w:p w14:paraId="2DC707FB">
      <w:pPr>
        <w:spacing w:line="240" w:lineRule="auto"/>
        <w:ind w:firstLine="640"/>
        <w:jc w:val="both"/>
      </w:pPr>
      <w:r>
        <w:rPr>
          <w:rFonts w:ascii="仿宋_GB2312" w:hAnsi="仿宋_GB2312" w:eastAsia="仿宋_GB2312"/>
          <w:b w:val="0"/>
          <w:sz w:val="32"/>
        </w:rPr>
        <w:t>五、《一般公共预算财政拨款支出决算表》</w:t>
      </w:r>
    </w:p>
    <w:p w14:paraId="35C6E8F5">
      <w:pPr>
        <w:spacing w:line="240" w:lineRule="auto"/>
        <w:ind w:firstLine="640"/>
        <w:jc w:val="both"/>
      </w:pPr>
      <w:r>
        <w:rPr>
          <w:rFonts w:ascii="仿宋_GB2312" w:hAnsi="仿宋_GB2312" w:eastAsia="仿宋_GB2312"/>
          <w:b w:val="0"/>
          <w:sz w:val="32"/>
        </w:rPr>
        <w:t>六、《一般公共预算财政拨款基本支出决算表》</w:t>
      </w:r>
    </w:p>
    <w:p w14:paraId="602568F4">
      <w:pPr>
        <w:spacing w:line="240" w:lineRule="auto"/>
        <w:ind w:firstLine="640"/>
        <w:jc w:val="both"/>
      </w:pPr>
      <w:r>
        <w:rPr>
          <w:rFonts w:ascii="仿宋_GB2312" w:hAnsi="仿宋_GB2312" w:eastAsia="仿宋_GB2312"/>
          <w:b w:val="0"/>
          <w:sz w:val="32"/>
        </w:rPr>
        <w:t>七、《政府性基金预算财政拨款收入支出决算表》</w:t>
      </w:r>
    </w:p>
    <w:p w14:paraId="0507AA3D">
      <w:pPr>
        <w:spacing w:line="240" w:lineRule="auto"/>
        <w:ind w:firstLine="640"/>
        <w:jc w:val="both"/>
      </w:pPr>
      <w:r>
        <w:rPr>
          <w:rFonts w:ascii="仿宋_GB2312" w:hAnsi="仿宋_GB2312" w:eastAsia="仿宋_GB2312"/>
          <w:b w:val="0"/>
          <w:sz w:val="32"/>
        </w:rPr>
        <w:t>八、《国有资本经营预算财政拨款收入支出决算表》</w:t>
      </w:r>
    </w:p>
    <w:p w14:paraId="08FE7D71">
      <w:pPr>
        <w:spacing w:line="240" w:lineRule="auto"/>
        <w:ind w:firstLine="640"/>
        <w:jc w:val="both"/>
      </w:pPr>
      <w:r>
        <w:rPr>
          <w:rFonts w:ascii="仿宋_GB2312" w:hAnsi="仿宋_GB2312" w:eastAsia="仿宋_GB2312"/>
          <w:b w:val="0"/>
          <w:sz w:val="32"/>
        </w:rPr>
        <w:t>九、《财政拨款“三公”经费支出决算表》</w:t>
      </w:r>
    </w:p>
    <w:p w14:paraId="1BCC59CD">
      <w:pPr>
        <w:spacing w:line="240" w:lineRule="auto"/>
        <w:ind w:firstLine="640"/>
        <w:jc w:val="both"/>
      </w:pPr>
    </w:p>
    <w:p w14:paraId="01C4BA29">
      <w:pPr>
        <w:spacing w:line="240" w:lineRule="auto"/>
        <w:ind w:firstLine="640"/>
        <w:jc w:val="both"/>
      </w:pPr>
    </w:p>
    <w:p w14:paraId="11E3D5B9">
      <w:pPr>
        <w:spacing w:line="240" w:lineRule="auto"/>
        <w:ind w:firstLine="640"/>
        <w:jc w:val="both"/>
      </w:pPr>
    </w:p>
    <w:p w14:paraId="6CDA8D5D">
      <w:pPr>
        <w:spacing w:line="240" w:lineRule="auto"/>
        <w:ind w:firstLine="640"/>
        <w:jc w:val="both"/>
      </w:pPr>
    </w:p>
    <w:p w14:paraId="03668F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9C158A-C255-4F60-8010-E4769DC00E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1061A4E-BF43-4116-9172-A4AE5233D9B6}"/>
  </w:font>
  <w:font w:name="仿宋_GB2312">
    <w:panose1 w:val="02010609030101010101"/>
    <w:charset w:val="86"/>
    <w:family w:val="modern"/>
    <w:pitch w:val="default"/>
    <w:sig w:usb0="00000001" w:usb1="080E0000" w:usb2="00000000" w:usb3="00000000" w:csb0="00040000" w:csb1="00000000"/>
    <w:embedRegular r:id="rId3" w:fontKey="{B45AC509-D31C-49DA-8D9F-12E0B0EF7DB1}"/>
  </w:font>
  <w:font w:name="楷体_GB2312">
    <w:altName w:val="楷体"/>
    <w:panose1 w:val="00000000000000000000"/>
    <w:charset w:val="00"/>
    <w:family w:val="auto"/>
    <w:pitch w:val="default"/>
    <w:sig w:usb0="00000000" w:usb1="00000000" w:usb2="00000000" w:usb3="00000000" w:csb0="00000000" w:csb1="00000000"/>
    <w:embedRegular r:id="rId4" w:fontKey="{7B240752-4B5A-4238-9090-AB626A275694}"/>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10B7B"/>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9A70A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36467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77029"/>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4578</Words>
  <Characters>5146</Characters>
  <Lines>0</Lines>
  <Paragraphs>0</Paragraphs>
  <TotalTime>3</TotalTime>
  <ScaleCrop>false</ScaleCrop>
  <LinksUpToDate>false</LinksUpToDate>
  <CharactersWithSpaces>5154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